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p>
    <w:p>
      <w:pPr>
        <w:ind w:right="300"/>
        <w:jc w:val="center"/>
        <w:rPr>
          <w:rFonts w:ascii="Times New Roman" w:hAnsi="Times New Roman" w:eastAsia="黑体" w:cs="Times New Roman"/>
          <w:sz w:val="48"/>
          <w:szCs w:val="48"/>
        </w:rPr>
      </w:pPr>
    </w:p>
    <w:p>
      <w:pPr>
        <w:ind w:right="300"/>
        <w:jc w:val="center"/>
        <w:rPr>
          <w:rFonts w:ascii="Times New Roman" w:hAnsi="Times New Roman" w:eastAsia="黑体" w:cs="Times New Roman"/>
          <w:sz w:val="30"/>
          <w:szCs w:val="30"/>
        </w:rPr>
      </w:pPr>
    </w:p>
    <w:p>
      <w:pPr>
        <w:ind w:right="300"/>
        <w:jc w:val="left"/>
        <w:rPr>
          <w:rFonts w:ascii="Times New Roman" w:hAnsi="Times New Roman" w:eastAsia="黑体" w:cs="Times New Roman"/>
          <w:sz w:val="30"/>
          <w:szCs w:val="30"/>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四、内保外贷</w:t>
      </w:r>
      <w:r>
        <w:rPr>
          <w:rFonts w:hint="eastAsia" w:ascii="Times New Roman" w:hAnsi="黑体" w:eastAsia="黑体" w:cs="Times New Roman"/>
          <w:sz w:val="30"/>
          <w:szCs w:val="30"/>
          <w:lang w:eastAsia="zh-CN"/>
        </w:rPr>
        <w:t>担保</w:t>
      </w:r>
      <w:r>
        <w:rPr>
          <w:rFonts w:ascii="Times New Roman" w:hAnsi="黑体" w:eastAsia="黑体" w:cs="Times New Roman"/>
          <w:sz w:val="30"/>
          <w:szCs w:val="30"/>
        </w:rPr>
        <w:t>履约对外债权登记</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（一）办理依据</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1.《中华人民共和国外汇管理条例》（国务院令第532号）。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2.《国家外汇管理局关于发布〈跨境担保外汇管理规定〉的通知》（汇发〔2014〕29号）。</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3.《国家外汇管理局关于进一步推进外汇管理改革完善真实合规性审核的通知》（汇发〔2017〕3号）。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585"/>
        <w:rPr>
          <w:rFonts w:ascii="Times New Roman" w:hAnsi="Times New Roman" w:eastAsia="黑体" w:cs="Times New Roman"/>
          <w:sz w:val="30"/>
          <w:szCs w:val="30"/>
        </w:rPr>
      </w:pPr>
      <w:r>
        <w:rPr>
          <w:rFonts w:ascii="Times New Roman" w:hAnsi="黑体"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黑体" w:eastAsia="黑体" w:cs="Times New Roman"/>
          <w:sz w:val="30"/>
          <w:szCs w:val="30"/>
        </w:rPr>
        <w:t>（五）办事条件</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1.内保外贷发生担保履约的，成为对外债权人的境内担保人或境内反担保人，应办理对外债权登记。</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2.债权人为非银行机构的，应在担保履约后15个工作日内到所在地外汇局办理对外债权登记，并按规定办理与对外债权相关的变更、注销手续。</w:t>
      </w:r>
    </w:p>
    <w:p>
      <w:pPr>
        <w:widowControl/>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3.禁止性要求：如符合上述条件，不存在不予许可的情况。</w:t>
      </w:r>
    </w:p>
    <w:p>
      <w:pPr>
        <w:widowControl/>
        <w:ind w:firstLine="600"/>
        <w:rPr>
          <w:rFonts w:ascii="Times New Roman" w:hAnsi="Times New Roman" w:eastAsia="仿宋_GB2312" w:cs="Times New Roman"/>
          <w:sz w:val="30"/>
          <w:szCs w:val="30"/>
        </w:rPr>
      </w:pPr>
      <w:r>
        <w:rPr>
          <w:rFonts w:ascii="Times New Roman" w:hAnsi="黑体" w:eastAsia="黑体" w:cs="Times New Roman"/>
          <w:sz w:val="30"/>
          <w:szCs w:val="30"/>
        </w:rPr>
        <w:t>（六）申请材料</w:t>
      </w:r>
    </w:p>
    <w:tbl>
      <w:tblPr>
        <w:tblStyle w:val="17"/>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
        <w:gridCol w:w="3222"/>
        <w:gridCol w:w="1701"/>
        <w:gridCol w:w="425"/>
        <w:gridCol w:w="993"/>
        <w:gridCol w:w="425"/>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8"/>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222" w:type="dxa"/>
            <w:vAlign w:val="center"/>
          </w:tcPr>
          <w:p>
            <w:pPr>
              <w:ind w:left="-84" w:leftChars="-40" w:right="-11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701" w:type="dxa"/>
            <w:vAlign w:val="center"/>
          </w:tcPr>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ind w:left="-126" w:leftChars="-60" w:right="-12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ind w:left="-90" w:leftChars="-43" w:right="-104"/>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ind w:left="-111" w:leftChars="-53" w:right="-89" w:firstLine="111" w:firstLineChars="46"/>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425" w:type="dxa"/>
            <w:vAlign w:val="center"/>
          </w:tcPr>
          <w:p>
            <w:pPr>
              <w:ind w:left="-141" w:leftChars="-67" w:right="-121"/>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vAlign w:val="center"/>
          </w:tcPr>
          <w:p>
            <w:pPr>
              <w:ind w:left="-94" w:leftChars="-45" w:right="-73" w:firstLine="94" w:firstLineChars="39"/>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0" w:type="dxa"/>
            <w:vAlign w:val="center"/>
          </w:tcPr>
          <w:p>
            <w:pPr>
              <w:ind w:left="-141" w:leftChars="-67" w:right="-107" w:rightChars="-51"/>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包括内保外贷签约登记办理情况、担保履约的原因、履约资金来源、境外债务人还款计划及未来还款资金来源等</w:t>
            </w:r>
            <w:r>
              <w:rPr>
                <w:rFonts w:hint="eastAsia" w:ascii="Times New Roman" w:hAnsi="Times New Roman" w:eastAsia="仿宋_GB2312" w:cs="Times New Roman"/>
                <w:sz w:val="24"/>
                <w:szCs w:val="24"/>
              </w:rPr>
              <w:t>）</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430" w:type="dxa"/>
            <w:vAlign w:val="center"/>
          </w:tcPr>
          <w:p>
            <w:pPr>
              <w:ind w:left="-141" w:leftChars="-67" w:right="-108"/>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222" w:type="dxa"/>
            <w:vAlign w:val="center"/>
          </w:tcPr>
          <w:p>
            <w:pPr>
              <w:ind w:left="-2" w:right="33"/>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担保履约证明材料</w:t>
            </w:r>
          </w:p>
        </w:tc>
        <w:tc>
          <w:tcPr>
            <w:tcW w:w="1701" w:type="dxa"/>
            <w:vAlign w:val="center"/>
          </w:tcPr>
          <w:p>
            <w:pPr>
              <w:ind w:right="-125"/>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25" w:type="dxa"/>
            <w:vAlign w:val="center"/>
          </w:tcPr>
          <w:p>
            <w:pPr>
              <w:ind w:left="-90" w:leftChars="-43" w:right="-104"/>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ind w:left="-111" w:leftChars="-53" w:right="-89" w:firstLine="110" w:firstLineChars="46"/>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25" w:type="dxa"/>
            <w:vAlign w:val="center"/>
          </w:tcPr>
          <w:p>
            <w:pPr>
              <w:ind w:right="300"/>
              <w:jc w:val="left"/>
              <w:rPr>
                <w:rFonts w:ascii="Times New Roman" w:hAnsi="Times New Roman" w:eastAsia="仿宋_GB2312" w:cs="Times New Roman"/>
                <w:sz w:val="24"/>
                <w:szCs w:val="24"/>
              </w:rPr>
            </w:pPr>
          </w:p>
        </w:tc>
        <w:tc>
          <w:tcPr>
            <w:tcW w:w="1206" w:type="dxa"/>
            <w:vAlign w:val="center"/>
          </w:tcPr>
          <w:p>
            <w:pPr>
              <w:ind w:right="-73"/>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（八）基本办理流程</w:t>
      </w:r>
    </w:p>
    <w:p>
      <w:pPr>
        <w:tabs>
          <w:tab w:val="left" w:pos="615"/>
        </w:tabs>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（十一）审批收费依据及标准</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不收费。</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w:t>
      </w:r>
      <w:r>
        <w:rPr>
          <w:rFonts w:ascii="Times New Roman" w:hAnsi="黑体"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rPr>
          <w:rFonts w:ascii="Times New Roman" w:hAnsi="Times New Roman" w:eastAsia="黑体" w:cs="Times New Roman"/>
          <w:sz w:val="30"/>
          <w:szCs w:val="30"/>
        </w:rPr>
      </w:pPr>
      <w:r>
        <w:rPr>
          <w:rFonts w:ascii="Times New Roman" w:hAnsi="Times New Roman" w:eastAsia="黑体" w:cs="Times New Roman"/>
          <w:sz w:val="30"/>
          <w:szCs w:val="30"/>
        </w:rPr>
        <w:t>（十五）咨询途径、监督和投诉、公开查询方式等</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向国家外汇管理局深圳市分局咨询、监督投诉等可通过国家外汇管理局深圳市分局官方互联网站咨询反馈栏目进行。网址为www.safe.gov.cn/shenzhen/。</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hint="eastAsia" w:ascii="Times New Roman" w:hAnsi="Times New Roman" w:eastAsia="黑体" w:cs="Times New Roman"/>
          <w:sz w:val="30"/>
          <w:szCs w:val="30"/>
        </w:rPr>
        <w:t>办公地址和时间</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widowControl/>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上午8:30至中午12:00</w:t>
      </w:r>
    </w:p>
    <w:p>
      <w:pPr>
        <w:widowControl/>
        <w:ind w:firstLine="600" w:firstLineChars="200"/>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下午14:00至下午17:30</w:t>
      </w:r>
      <w:r>
        <w:rPr>
          <w:rFonts w:ascii="Times New Roman" w:hAnsi="Times New Roman" w:eastAsia="仿宋_GB2312" w:cs="Times New Roman"/>
          <w:sz w:val="30"/>
          <w:szCs w:val="30"/>
        </w:rPr>
        <w:br w:type="page"/>
      </w:r>
    </w:p>
    <w:p>
      <w:pPr>
        <w:ind w:right="300"/>
        <w:rPr>
          <w:rFonts w:ascii="Times New Roman" w:hAnsi="Times New Roman" w:eastAsia="仿宋_GB2312" w:cs="Times New Roman"/>
          <w:sz w:val="30"/>
          <w:szCs w:val="30"/>
        </w:rPr>
      </w:pPr>
      <w:bookmarkStart w:id="0" w:name="_GoBack"/>
      <w:bookmarkEnd w:id="0"/>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149" o:spid="_x0000_s1027" style="position:absolute;left:0;margin-left:-13.25pt;margin-top:14.1pt;height:586.05pt;width:446.05pt;rotation:0f;z-index:251658240;" coordorigin="0,0" coordsize="8921,11721">
            <o:lock v:ext="edit" position="f" selection="f" grouping="f" rotation="f" cropping="f" text="f" aspectratio="f"/>
            <v:rect id="Rectangle 1150"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151"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152"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153" o:spid="_x0000_s1031" type="#_x0000_t32" style="position:absolute;left:4382;top:7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4" o:spid="_x0000_s1032" type="#_x0000_t32" style="position:absolute;left:6331;top:9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5" o:spid="_x0000_s1033" type="#_x0000_t32" style="position:absolute;left:2358;top:9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56" o:spid="_x0000_s1034" type="#_x0000_t32" style="position:absolute;left:4383;top:8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57" o:spid="_x0000_s1035" type="#_x0000_t32" style="position:absolute;left:2359;top:9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58" o:spid="_x0000_s1036" style="position:absolute;left:0;top:0;height:7693;width:8921;rotation:0f;" coordorigin="0,0" coordsize="8921,7693">
              <o:lock v:ext="edit" position="f" selection="f" grouping="f" rotation="f" cropping="f" text="f" aspectratio="f"/>
              <v:shape id="AutoShape 1159" o:spid="_x0000_s1037" type="#_x0000_t32" style="position:absolute;left:5893;top:6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160" o:spid="_x0000_s1038" style="position:absolute;left:0;top:0;height:7693;width:8921;rotation:0f;" coordorigin="0,0" coordsize="8921,7693">
                <o:lock v:ext="edit" position="f" selection="f" grouping="f" rotation="f" cropping="f" text="f" aspectratio="f"/>
                <v:shape id="AutoShape 1161" o:spid="_x0000_s1039" type="#_x0000_t34" style="position:absolute;left:6366;top:3154;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162"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163" o:spid="_x0000_s1041" type="#_x0000_t32" style="position:absolute;left:5893;top:4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64"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165"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166"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167"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68"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169" o:spid="_x0000_s1047" style="position:absolute;left:0;top:0;height:7424;width:4594;rotation:0f;" coordorigin="0,0" coordsize="4594,7424">
                  <o:lock v:ext="edit" position="f" selection="f" grouping="f" rotation="f" cropping="f" text="f" aspectratio="f"/>
                  <v:shape id="AutoShape 1170" o:spid="_x0000_s1048" type="#_x0000_t32" style="position:absolute;left:3663;top:3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1" o:spid="_x0000_s1049" type="#_x0000_t32" style="position:absolute;left:1355;top:3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72" o:spid="_x0000_s1050" style="position:absolute;left:0;top:0;height:3986;width:3629;rotation:0f;" coordorigin="0,0" coordsize="3629,3986">
                    <o:lock v:ext="edit" position="f" selection="f" grouping="f" rotation="f" cropping="f" text="f" aspectratio="f"/>
                    <v:shape id="AutoShape 1173" o:spid="_x0000_s1051" type="#_x0000_t32" style="position:absolute;left:1396;top:1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4" o:spid="_x0000_s1052" type="#_x0000_t32" style="position:absolute;left:2400;top:2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75"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176"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177" o:spid="_x0000_s1055" type="#_x0000_t32" style="position:absolute;left:1355;top:7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78" o:spid="_x0000_s1056" type="#_x0000_t32" style="position:absolute;left:3663;top:1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179" o:spid="_x0000_s1057" type="#_x0000_t32" style="position:absolute;left:3663;top:1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180"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181"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182" o:spid="_x0000_s1060" type="#_x0000_t32" style="position:absolute;left:7384;top:1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1．问：对于担保人在境内、债务人在境外的其他形式的跨境担保，担保履约后构成对外债权的，是否应当办理对外债权登记。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答：应当办理。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2．问：境内银行发生内保外贷履约，如有反担保人，是否应当办理对外债权登记，由谁来申请？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答：境内银行发生内保外贷履约，如有反担保人，应由反担保人申请办理对外债权登记。</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3．问：银行</w:t>
      </w:r>
      <w:r>
        <w:rPr>
          <w:rFonts w:ascii="Times New Roman" w:hAnsi="Times New Roman" w:eastAsia="仿宋_GB2312" w:cs="Times New Roman"/>
          <w:kern w:val="0"/>
          <w:sz w:val="30"/>
          <w:szCs w:val="30"/>
        </w:rPr>
        <w:t>银行发生内保外贷担保履约的</w:t>
      </w:r>
      <w:r>
        <w:rPr>
          <w:rFonts w:ascii="Times New Roman" w:hAnsi="Times New Roman" w:eastAsia="仿宋_GB2312" w:cs="Times New Roman"/>
          <w:sz w:val="30"/>
          <w:szCs w:val="30"/>
        </w:rPr>
        <w:t>，应注意什么问题？</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银行发生内保外贷担保履约的，相关结售汇纳入银行自身结售汇管理。《国家外汇管理局关于进一步推进外汇管理改革完善真实合规性审核的通知》（汇发〔2017〕3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4．问：境内企业发生内保外贷履约形成对外债权的，其对外债权余额是否应纳入该企业境外放款额度管理？</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答：境内企业发生内保外贷履约形成对外债权的，其对外债权余额应纳入该企业境外放款额度管理。境内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2</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2563F"/>
    <w:rsid w:val="00041960"/>
    <w:rsid w:val="00042B58"/>
    <w:rsid w:val="00054B00"/>
    <w:rsid w:val="00055270"/>
    <w:rsid w:val="0006560A"/>
    <w:rsid w:val="00072F8A"/>
    <w:rsid w:val="000750C8"/>
    <w:rsid w:val="0007570E"/>
    <w:rsid w:val="00080630"/>
    <w:rsid w:val="00091661"/>
    <w:rsid w:val="00092D53"/>
    <w:rsid w:val="00092E02"/>
    <w:rsid w:val="00096CBB"/>
    <w:rsid w:val="00097F7B"/>
    <w:rsid w:val="000A4B83"/>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0135"/>
    <w:rsid w:val="00181D3E"/>
    <w:rsid w:val="0018645B"/>
    <w:rsid w:val="00192486"/>
    <w:rsid w:val="00196FAE"/>
    <w:rsid w:val="001A3E49"/>
    <w:rsid w:val="001A72AA"/>
    <w:rsid w:val="001B1E2C"/>
    <w:rsid w:val="001C44C7"/>
    <w:rsid w:val="001D65A2"/>
    <w:rsid w:val="001E1407"/>
    <w:rsid w:val="001E3099"/>
    <w:rsid w:val="001F4BD4"/>
    <w:rsid w:val="001F7297"/>
    <w:rsid w:val="00205D07"/>
    <w:rsid w:val="00212F39"/>
    <w:rsid w:val="00217116"/>
    <w:rsid w:val="00231EED"/>
    <w:rsid w:val="0023368C"/>
    <w:rsid w:val="00233841"/>
    <w:rsid w:val="00235F24"/>
    <w:rsid w:val="002417D2"/>
    <w:rsid w:val="00241FE8"/>
    <w:rsid w:val="0024527E"/>
    <w:rsid w:val="00253F7B"/>
    <w:rsid w:val="00263B1F"/>
    <w:rsid w:val="002915D6"/>
    <w:rsid w:val="00291C17"/>
    <w:rsid w:val="0029313A"/>
    <w:rsid w:val="002B0B1C"/>
    <w:rsid w:val="002B598D"/>
    <w:rsid w:val="002B61C1"/>
    <w:rsid w:val="002C0B13"/>
    <w:rsid w:val="002C0FF3"/>
    <w:rsid w:val="002E1323"/>
    <w:rsid w:val="002F1C6E"/>
    <w:rsid w:val="002F3868"/>
    <w:rsid w:val="00302119"/>
    <w:rsid w:val="00302E87"/>
    <w:rsid w:val="00310261"/>
    <w:rsid w:val="00312CA6"/>
    <w:rsid w:val="00343044"/>
    <w:rsid w:val="00344B01"/>
    <w:rsid w:val="00353AC4"/>
    <w:rsid w:val="003570D7"/>
    <w:rsid w:val="003616B4"/>
    <w:rsid w:val="00383001"/>
    <w:rsid w:val="00387F6E"/>
    <w:rsid w:val="00395E56"/>
    <w:rsid w:val="003A57B2"/>
    <w:rsid w:val="003B05BF"/>
    <w:rsid w:val="003C7132"/>
    <w:rsid w:val="003D77A5"/>
    <w:rsid w:val="003E6BF6"/>
    <w:rsid w:val="003F221D"/>
    <w:rsid w:val="003F3097"/>
    <w:rsid w:val="003F6213"/>
    <w:rsid w:val="00402AE8"/>
    <w:rsid w:val="00405FE6"/>
    <w:rsid w:val="004105BC"/>
    <w:rsid w:val="00421C27"/>
    <w:rsid w:val="00440A1F"/>
    <w:rsid w:val="00443603"/>
    <w:rsid w:val="00443604"/>
    <w:rsid w:val="004472DB"/>
    <w:rsid w:val="004501EA"/>
    <w:rsid w:val="004504C7"/>
    <w:rsid w:val="00460458"/>
    <w:rsid w:val="0046792D"/>
    <w:rsid w:val="004767DF"/>
    <w:rsid w:val="00487F57"/>
    <w:rsid w:val="0049008B"/>
    <w:rsid w:val="00493CCC"/>
    <w:rsid w:val="004A01C7"/>
    <w:rsid w:val="004A0218"/>
    <w:rsid w:val="004A7840"/>
    <w:rsid w:val="004B545A"/>
    <w:rsid w:val="004B7E80"/>
    <w:rsid w:val="004C457E"/>
    <w:rsid w:val="004C48D5"/>
    <w:rsid w:val="004D03B7"/>
    <w:rsid w:val="004D1436"/>
    <w:rsid w:val="004D1CAF"/>
    <w:rsid w:val="004D57AE"/>
    <w:rsid w:val="005056D4"/>
    <w:rsid w:val="00507B04"/>
    <w:rsid w:val="00526B2B"/>
    <w:rsid w:val="00526BF1"/>
    <w:rsid w:val="005362B0"/>
    <w:rsid w:val="00542447"/>
    <w:rsid w:val="00564312"/>
    <w:rsid w:val="005A2981"/>
    <w:rsid w:val="005C6937"/>
    <w:rsid w:val="005C7F02"/>
    <w:rsid w:val="005F0A86"/>
    <w:rsid w:val="005F144A"/>
    <w:rsid w:val="005F1C00"/>
    <w:rsid w:val="00605BF9"/>
    <w:rsid w:val="00607F26"/>
    <w:rsid w:val="0061621E"/>
    <w:rsid w:val="00630AA8"/>
    <w:rsid w:val="00630B2E"/>
    <w:rsid w:val="00640F76"/>
    <w:rsid w:val="00643D2A"/>
    <w:rsid w:val="00651530"/>
    <w:rsid w:val="00664E11"/>
    <w:rsid w:val="00673B30"/>
    <w:rsid w:val="00674A78"/>
    <w:rsid w:val="00693524"/>
    <w:rsid w:val="00696E5D"/>
    <w:rsid w:val="00697F1B"/>
    <w:rsid w:val="006A252F"/>
    <w:rsid w:val="006B5B86"/>
    <w:rsid w:val="006C5908"/>
    <w:rsid w:val="006C633E"/>
    <w:rsid w:val="006D734F"/>
    <w:rsid w:val="006E043F"/>
    <w:rsid w:val="006E4695"/>
    <w:rsid w:val="006E4B8B"/>
    <w:rsid w:val="006E5901"/>
    <w:rsid w:val="0071091C"/>
    <w:rsid w:val="00714961"/>
    <w:rsid w:val="00743987"/>
    <w:rsid w:val="00744BD5"/>
    <w:rsid w:val="00745748"/>
    <w:rsid w:val="00750369"/>
    <w:rsid w:val="00750E36"/>
    <w:rsid w:val="00753CB0"/>
    <w:rsid w:val="00755460"/>
    <w:rsid w:val="007612D9"/>
    <w:rsid w:val="00761FB7"/>
    <w:rsid w:val="00762107"/>
    <w:rsid w:val="00764CB9"/>
    <w:rsid w:val="00765B05"/>
    <w:rsid w:val="0078225F"/>
    <w:rsid w:val="00785F45"/>
    <w:rsid w:val="00793EE7"/>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2168E"/>
    <w:rsid w:val="00821968"/>
    <w:rsid w:val="008471B6"/>
    <w:rsid w:val="00851521"/>
    <w:rsid w:val="0085686A"/>
    <w:rsid w:val="0086077B"/>
    <w:rsid w:val="0086084D"/>
    <w:rsid w:val="00860878"/>
    <w:rsid w:val="008731FF"/>
    <w:rsid w:val="0088294A"/>
    <w:rsid w:val="0089282A"/>
    <w:rsid w:val="008A4538"/>
    <w:rsid w:val="008A704B"/>
    <w:rsid w:val="008B08D2"/>
    <w:rsid w:val="008B4EE5"/>
    <w:rsid w:val="008B5807"/>
    <w:rsid w:val="008D5FA0"/>
    <w:rsid w:val="008E2D38"/>
    <w:rsid w:val="008F5724"/>
    <w:rsid w:val="008F7910"/>
    <w:rsid w:val="00902633"/>
    <w:rsid w:val="009027D8"/>
    <w:rsid w:val="0090372F"/>
    <w:rsid w:val="009110E8"/>
    <w:rsid w:val="00911E27"/>
    <w:rsid w:val="0092129A"/>
    <w:rsid w:val="00925BB2"/>
    <w:rsid w:val="00930C8C"/>
    <w:rsid w:val="009360EA"/>
    <w:rsid w:val="00947C57"/>
    <w:rsid w:val="00951149"/>
    <w:rsid w:val="00960EDB"/>
    <w:rsid w:val="009622DB"/>
    <w:rsid w:val="009664BC"/>
    <w:rsid w:val="00967291"/>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0729"/>
    <w:rsid w:val="00AE7ACF"/>
    <w:rsid w:val="00AF5675"/>
    <w:rsid w:val="00AF5DE3"/>
    <w:rsid w:val="00B06409"/>
    <w:rsid w:val="00B17D66"/>
    <w:rsid w:val="00B35D3A"/>
    <w:rsid w:val="00B422F1"/>
    <w:rsid w:val="00B4612F"/>
    <w:rsid w:val="00B57468"/>
    <w:rsid w:val="00B71531"/>
    <w:rsid w:val="00B7456C"/>
    <w:rsid w:val="00B84131"/>
    <w:rsid w:val="00B8630E"/>
    <w:rsid w:val="00B931F4"/>
    <w:rsid w:val="00B94020"/>
    <w:rsid w:val="00B95573"/>
    <w:rsid w:val="00B96395"/>
    <w:rsid w:val="00BA2AF8"/>
    <w:rsid w:val="00BB2650"/>
    <w:rsid w:val="00BB5BDC"/>
    <w:rsid w:val="00BB7B76"/>
    <w:rsid w:val="00BD233D"/>
    <w:rsid w:val="00BF4EF0"/>
    <w:rsid w:val="00C02E44"/>
    <w:rsid w:val="00C062E2"/>
    <w:rsid w:val="00C147D2"/>
    <w:rsid w:val="00C2075F"/>
    <w:rsid w:val="00C23799"/>
    <w:rsid w:val="00C274C9"/>
    <w:rsid w:val="00C31E02"/>
    <w:rsid w:val="00C51F1A"/>
    <w:rsid w:val="00C54291"/>
    <w:rsid w:val="00C672C3"/>
    <w:rsid w:val="00C712B2"/>
    <w:rsid w:val="00C97FED"/>
    <w:rsid w:val="00CA1DBB"/>
    <w:rsid w:val="00CA2622"/>
    <w:rsid w:val="00CA7F2C"/>
    <w:rsid w:val="00CA7FF8"/>
    <w:rsid w:val="00CB5DE7"/>
    <w:rsid w:val="00CC068D"/>
    <w:rsid w:val="00CC4922"/>
    <w:rsid w:val="00CD1FF6"/>
    <w:rsid w:val="00CD4015"/>
    <w:rsid w:val="00CE25C7"/>
    <w:rsid w:val="00CE3335"/>
    <w:rsid w:val="00CE4849"/>
    <w:rsid w:val="00CE5C8E"/>
    <w:rsid w:val="00CE5F49"/>
    <w:rsid w:val="00CF07CA"/>
    <w:rsid w:val="00D01626"/>
    <w:rsid w:val="00D1633D"/>
    <w:rsid w:val="00D3357D"/>
    <w:rsid w:val="00D33A4D"/>
    <w:rsid w:val="00D33F76"/>
    <w:rsid w:val="00D41F5E"/>
    <w:rsid w:val="00D43DC0"/>
    <w:rsid w:val="00D54E56"/>
    <w:rsid w:val="00D56F1C"/>
    <w:rsid w:val="00D6407D"/>
    <w:rsid w:val="00D93E78"/>
    <w:rsid w:val="00DA2752"/>
    <w:rsid w:val="00DA292C"/>
    <w:rsid w:val="00DC30C4"/>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B3204"/>
    <w:rsid w:val="00EB50BA"/>
    <w:rsid w:val="00EC3D33"/>
    <w:rsid w:val="00ED302A"/>
    <w:rsid w:val="00ED3A42"/>
    <w:rsid w:val="00EE02BC"/>
    <w:rsid w:val="00EE6970"/>
    <w:rsid w:val="00EE7084"/>
    <w:rsid w:val="00EF2A1D"/>
    <w:rsid w:val="00EF38D0"/>
    <w:rsid w:val="00EF3DDF"/>
    <w:rsid w:val="00EF4A8C"/>
    <w:rsid w:val="00F013C9"/>
    <w:rsid w:val="00F2678C"/>
    <w:rsid w:val="00F27B38"/>
    <w:rsid w:val="00F40278"/>
    <w:rsid w:val="00F41832"/>
    <w:rsid w:val="00F448A3"/>
    <w:rsid w:val="00F56988"/>
    <w:rsid w:val="00F620FB"/>
    <w:rsid w:val="00F624BD"/>
    <w:rsid w:val="00F6571F"/>
    <w:rsid w:val="00F8687E"/>
    <w:rsid w:val="00F93331"/>
    <w:rsid w:val="00F9354B"/>
    <w:rsid w:val="00F95549"/>
    <w:rsid w:val="00FA1E24"/>
    <w:rsid w:val="00FA24FB"/>
    <w:rsid w:val="00FA632B"/>
    <w:rsid w:val="00FB38EA"/>
    <w:rsid w:val="00FB5E0F"/>
    <w:rsid w:val="00FB6AFF"/>
    <w:rsid w:val="00FC4D8F"/>
    <w:rsid w:val="00FD06D3"/>
    <w:rsid w:val="00FE3157"/>
    <w:rsid w:val="00FE6865"/>
    <w:rsid w:val="00FE6993"/>
    <w:rsid w:val="3A9120A8"/>
    <w:rsid w:val="4537313F"/>
    <w:rsid w:val="5461481E"/>
    <w:rsid w:val="60413E28"/>
    <w:rsid w:val="7DC907CE"/>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153"/>
        <o:r id="V:Rule2" type="connector" idref="#AutoShape 1154"/>
        <o:r id="V:Rule3" type="connector" idref="#AutoShape 1155"/>
        <o:r id="V:Rule4" type="connector" idref="#AutoShape 1156"/>
        <o:r id="V:Rule5" type="connector" idref="#AutoShape 1157"/>
        <o:r id="V:Rule6" type="connector" idref="#AutoShape 1159"/>
        <o:r id="V:Rule7" type="connector" idref="#AutoShape 1161"/>
        <o:r id="V:Rule8" type="connector" idref="#AutoShape 1163"/>
        <o:r id="V:Rule9" type="connector" idref="#AutoShape 1170"/>
        <o:r id="V:Rule10" type="connector" idref="#AutoShape 1171"/>
        <o:r id="V:Rule11" type="connector" idref="#AutoShape 1173"/>
        <o:r id="V:Rule12" type="connector" idref="#AutoShape 1174"/>
        <o:r id="V:Rule13" type="connector" idref="#AutoShape 1177"/>
        <o:r id="V:Rule14" type="connector" idref="#AutoShape 1178"/>
        <o:r id="V:Rule15" type="connector" idref="#AutoShape 1179"/>
        <o:r id="V:Rule16" type="connector" idref="#AutoShape 118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99"/>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348</Words>
  <Characters>1985</Characters>
  <Lines>16</Lines>
  <Paragraphs>4</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2020-03-17T08:13:00Z</dcterms:created>
  <dc:creator>裴建君2</dc:creator>
  <cp:lastModifiedBy>史学岗</cp:lastModifiedBy>
  <cp:lastPrinted>2017-11-24T00:22:00Z</cp:lastPrinted>
  <dcterms:modified xsi:type="dcterms:W3CDTF">2021-05-27T07:23:44Z</dcterms:modified>
  <dc:title>编号：57007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