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Calibri" w:hAnsi="Calibri" w:eastAsia="Calibri" w:cs="Calibri"/>
          <w:b/>
          <w:bCs/>
          <w:sz w:val="48"/>
          <w:szCs w:val="48"/>
        </w:rPr>
      </w:pPr>
      <w:r>
        <w:rPr>
          <w:rFonts w:ascii="宋体" w:hAnsi="宋体" w:eastAsia="宋体" w:cs="宋体"/>
          <w:b/>
          <w:bCs/>
          <w:sz w:val="48"/>
          <w:szCs w:val="48"/>
          <w:lang w:val="zh-TW" w:eastAsia="zh-TW"/>
        </w:rPr>
        <w:t>国家外汇管理局深圳市分局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sz w:val="21"/>
          <w:szCs w:val="21"/>
          <w:lang w:val="en-US"/>
        </w:rPr>
      </w:pPr>
      <w:r>
        <w:rPr>
          <w:rFonts w:ascii="宋体" w:hAnsi="宋体" w:eastAsia="宋体" w:cs="宋体"/>
          <w:b/>
          <w:bCs/>
          <w:sz w:val="48"/>
          <w:szCs w:val="48"/>
          <w:lang w:val="zh-TW" w:eastAsia="zh-TW"/>
        </w:rPr>
        <w:t>关于防控疫情期间外汇业务办理的温馨提示</w:t>
      </w:r>
      <w:r>
        <w:rPr>
          <w:rFonts w:ascii="Trebuchet MS"/>
          <w:sz w:val="21"/>
          <w:szCs w:val="21"/>
          <w:lang w:val="en-US"/>
        </w:rPr>
        <w:t xml:space="preserve">    </w:t>
      </w:r>
    </w:p>
    <w:p>
      <w:pPr>
        <w:pStyle w:val="7"/>
        <w:rPr>
          <w:rFonts w:ascii="Courier"/>
          <w:sz w:val="32"/>
          <w:szCs w:val="32"/>
          <w:lang w:val="zh-TW" w:eastAsia="zh-TW"/>
        </w:rPr>
      </w:pPr>
      <w:r>
        <w:rPr>
          <w:rFonts w:ascii="Courier"/>
          <w:sz w:val="32"/>
          <w:szCs w:val="32"/>
          <w:lang w:val="zh-TW" w:eastAsia="zh-TW"/>
        </w:rPr>
        <w:t xml:space="preserve">    </w:t>
      </w:r>
    </w:p>
    <w:p>
      <w:pPr>
        <w:pStyle w:val="7"/>
        <w:wordWrap/>
        <w:adjustRightInd/>
        <w:snapToGrid/>
        <w:spacing w:line="520" w:lineRule="exact"/>
        <w:ind w:firstLine="736" w:firstLineChars="200"/>
        <w:textAlignment w:val="auto"/>
        <w:rPr>
          <w:rFonts w:hint="eastAsia" w:ascii="仿宋" w:hAnsi="仿宋" w:eastAsia="仿宋" w:cs="仿宋"/>
          <w:sz w:val="32"/>
          <w:szCs w:val="32"/>
          <w:u w:val="none" w:color="000000"/>
          <w:lang w:val="zh-TW" w:eastAsia="zh-TW"/>
        </w:rPr>
      </w:pPr>
      <w:r>
        <w:rPr>
          <w:rFonts w:hint="eastAsia" w:ascii="仿宋" w:hAnsi="仿宋" w:eastAsia="仿宋" w:cs="仿宋"/>
          <w:spacing w:val="24"/>
          <w:sz w:val="32"/>
          <w:szCs w:val="32"/>
          <w:u w:val="none" w:color="000000"/>
          <w:shd w:val="clear" w:color="auto" w:fill="FFFFFF"/>
          <w:lang w:val="zh-TW" w:eastAsia="zh-TW"/>
        </w:rPr>
        <w:t>为做好新型冠状病毒感染肺炎疫情防控工作，避免人员聚集带来交叉感染的风险，结合深圳市疫情防控的实际情况，</w:t>
      </w:r>
      <w:r>
        <w:rPr>
          <w:rFonts w:hint="eastAsia" w:ascii="仿宋" w:hAnsi="仿宋" w:eastAsia="仿宋" w:cs="仿宋"/>
          <w:sz w:val="32"/>
          <w:szCs w:val="32"/>
          <w:u w:val="none" w:color="000000"/>
          <w:lang w:val="zh-TW" w:eastAsia="zh-TW"/>
        </w:rPr>
        <w:t>自</w:t>
      </w:r>
      <w:r>
        <w:rPr>
          <w:rFonts w:hint="eastAsia" w:ascii="仿宋" w:hAnsi="仿宋" w:eastAsia="仿宋" w:cs="仿宋"/>
          <w:sz w:val="32"/>
          <w:szCs w:val="32"/>
          <w:u w:val="none" w:color="000000"/>
          <w:lang w:val="zh-TW" w:eastAsia="zh-CN"/>
        </w:rPr>
        <w:t>即日</w:t>
      </w:r>
      <w:r>
        <w:rPr>
          <w:rFonts w:hint="eastAsia" w:ascii="仿宋" w:hAnsi="仿宋" w:eastAsia="仿宋" w:cs="仿宋"/>
          <w:sz w:val="32"/>
          <w:szCs w:val="32"/>
          <w:u w:val="none" w:color="000000"/>
          <w:lang w:val="zh-TW" w:eastAsia="zh-TW"/>
        </w:rPr>
        <w:t>起，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国家外汇管理局深圳市分局有关</w:t>
      </w:r>
      <w:r>
        <w:rPr>
          <w:rFonts w:hint="eastAsia" w:ascii="仿宋" w:hAnsi="仿宋" w:eastAsia="仿宋" w:cs="仿宋"/>
          <w:sz w:val="32"/>
          <w:szCs w:val="32"/>
          <w:u w:val="none" w:color="000000"/>
          <w:lang w:val="zh-TW" w:eastAsia="zh-TW"/>
        </w:rPr>
        <w:t>对外业务办理具体安排如下：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经常项目货物贸易项下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业务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）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名录登记新增、变更和注销业务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color w:val="C00000"/>
          <w:sz w:val="32"/>
          <w:szCs w:val="32"/>
          <w:u w:val="none" w:color="C00000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办理方式：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网上办理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简要流程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 w:firstLineChars="200"/>
        <w:jc w:val="left"/>
        <w:textAlignment w:val="auto"/>
        <w:rPr>
          <w:rStyle w:val="10"/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企业网上提交申请材料：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企业在国家外汇管理局数字外管平台（网址：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http://zwfw.safe.gov.cn/asone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gjzwfw.gov.cn%25EF%25BC%2589%25E8%25BF%259B%25E8%25A1%258C%25E6%25B3%2595%25E5%25AE%259A%25E4%25BB%25A3%25E8%25A1%25A8%25E4%25BA%25BA%25E5%25AE%259E%25E5%2590%258D%25E9%25AA%258C%25E8%25AF%2581%25E5%2590%258E%25EF%25BC%258C%25E9%2580%259A%25E8%25BF%2587%25E5%259B%25BD%25E5%25AE%25B6%25E5%25A4%2596%25E6%25B1%2587%25E7%25AE%25A1%25E7%2590%2586%25E6%2594%25BF%25E5%258A%25A1%25E6%259C%258D%25E5%258A%25A1%25E7%25BD%2591%25E4%25B8%258A%25E5%258A%259E%25E7%2590%2586%25E7%25B3%25BB%25E7%25BB%259F%25E5%2590%2591%25E5%25A4%2596%25E6%25B1%2587%25E5%25B1%2580%25E6%258F%2590%25E4%25BA%25A4%25E7%259B%25B8%25E5%2585%25B3%25E4%25B8%259A%25E5%258A%25A1%25E7%2594%25B3%25E8%25AF%25B7%25EF%25BC%258C%25E5%25B9%25B6%25E4%25B8%258A%25E4%25BC%25A0%25E7%259B%25B8%25E5%2585%25B3%25E4%25B8%259A%25E5%258A%25A1%25E8%25B5%2584%25E6%2596%2599%25EF%25BC%258C%25E5%25A4%2596%25E6%25B1%2587%25E5%25B1%2580%25E5%25B0%2586%25E9%2580%259A%25E8%25BF%2587%25E7%25BA%25BF%25E4%25B8%258A%25E5%25AE%25A1%25E6%25A0%25B8%25E5%258A%259E%25E7%2590%2586%25E3%2580%2582%25E5%25A6%2582%25E5%2590%258E%25E7%25BB%25AD%25E9%259C%2580%25E8%25A1%25A5%25E5%2585%2585%25E6%258F%2590%25E4%25BA%25A4%25E7%25BA%25B8%25E8%25B4%25A8%25E8%25B5%2584%25E6%2596%2599%25EF%25BC%258C%25E4%25BC%2581%25E4%25B8%259A%25E5%258F%25AF%25E9%2580%259A%25E8%25BF%2587%25E5%25BF%25AB%25E9%2580%2592%25E9%2582%25AE%25E5%25AF%2584%25E8%2587%25B3%25E6%25B7%25B1%25E5%259C%25B3%25E5%25A4%2596%25E6%25B1%2587%25E5%25B1%2580%25E7%25BB%258F%25E5%25B8%25B8%25E9%25A1%25B9%25E7%259B%25AE%25E5%25A4%2584%25E3%2580%2582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  <w:lang w:val="zh-TW" w:eastAsia="zh-TW"/>
        </w:rPr>
        <w:t>进行法人注册后，通过数字外管平台向外汇局提交相关业务申请，并上传规定的业务资料。</w:t>
      </w:r>
    </w:p>
    <w:p>
      <w:pPr>
        <w:wordWrap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Style w:val="3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（</w:t>
      </w:r>
      <w:r>
        <w:rPr>
          <w:rStyle w:val="3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2</w:t>
      </w:r>
      <w:r>
        <w:rPr>
          <w:rStyle w:val="3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）</w:t>
      </w:r>
      <w:r>
        <w:rPr>
          <w:rStyle w:val="3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外汇局审核：</w:t>
      </w:r>
      <w:r>
        <w:rPr>
          <w:rStyle w:val="3"/>
          <w:rFonts w:hint="eastAsia" w:ascii="仿宋" w:hAnsi="仿宋" w:eastAsia="仿宋" w:cs="仿宋"/>
          <w:color w:val="auto"/>
          <w:sz w:val="32"/>
          <w:szCs w:val="32"/>
          <w:u w:val="none"/>
        </w:rPr>
        <w:t>外汇局业务人员在线审核无误后，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对符合条件的</w:t>
      </w:r>
      <w:r>
        <w:rPr>
          <w:rStyle w:val="3"/>
          <w:rFonts w:hint="eastAsia" w:ascii="仿宋" w:hAnsi="仿宋" w:eastAsia="仿宋" w:cs="仿宋"/>
          <w:color w:val="auto"/>
          <w:sz w:val="32"/>
          <w:szCs w:val="32"/>
          <w:u w:val="none"/>
        </w:rPr>
        <w:t>予以审核通过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wordWrap/>
        <w:adjustRightInd/>
        <w:snapToGrid/>
        <w:spacing w:line="520" w:lineRule="exact"/>
        <w:ind w:firstLine="643" w:firstLineChars="200"/>
        <w:jc w:val="both"/>
        <w:textAlignment w:val="auto"/>
        <w:rPr>
          <w:rStyle w:val="3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>提示</w:t>
      </w:r>
      <w:r>
        <w:rPr>
          <w:rFonts w:hint="eastAsia" w:ascii="仿宋" w:hAnsi="仿宋" w:eastAsia="仿宋" w:cs="仿宋"/>
          <w:kern w:val="0"/>
          <w:sz w:val="32"/>
          <w:szCs w:val="32"/>
        </w:rPr>
        <w:t>：对于申请办理名录登记企业，可在</w:t>
      </w:r>
      <w:r>
        <w:rPr>
          <w:rFonts w:hint="eastAsia" w:ascii="仿宋" w:hAnsi="仿宋" w:eastAsia="仿宋" w:cs="仿宋"/>
          <w:sz w:val="32"/>
          <w:szCs w:val="32"/>
        </w:rPr>
        <w:t>数字外管平台</w:t>
      </w:r>
      <w:r>
        <w:rPr>
          <w:rStyle w:val="3"/>
          <w:rFonts w:hint="eastAsia" w:ascii="仿宋" w:hAnsi="仿宋" w:eastAsia="仿宋" w:cs="仿宋"/>
          <w:color w:val="auto"/>
          <w:sz w:val="32"/>
          <w:szCs w:val="32"/>
          <w:u w:val="none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</w:rPr>
        <w:t>个人中心”查看</w:t>
      </w:r>
      <w:r>
        <w:rPr>
          <w:rStyle w:val="3"/>
          <w:rFonts w:hint="eastAsia" w:ascii="仿宋" w:hAnsi="仿宋" w:eastAsia="仿宋" w:cs="仿宋"/>
          <w:color w:val="auto"/>
          <w:sz w:val="32"/>
          <w:szCs w:val="32"/>
          <w:u w:val="none"/>
        </w:rPr>
        <w:t>货物贸易外汇监测系统（以下简称“监测系统”）</w:t>
      </w:r>
      <w:r>
        <w:rPr>
          <w:rFonts w:hint="eastAsia" w:ascii="仿宋" w:hAnsi="仿宋" w:eastAsia="仿宋" w:cs="仿宋"/>
          <w:kern w:val="0"/>
          <w:sz w:val="32"/>
          <w:szCs w:val="32"/>
        </w:rPr>
        <w:t>企业管理员账号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ba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和初始密码。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fldChar w:fldCharType="end"/>
      </w:r>
      <w:r>
        <w:rPr>
          <w:rStyle w:val="10"/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Style w:val="10"/>
          <w:rFonts w:hint="eastAsia" w:ascii="黑体" w:hAnsi="黑体" w:eastAsia="黑体" w:cs="黑体"/>
          <w:sz w:val="32"/>
          <w:szCs w:val="32"/>
          <w:lang w:val="en-US" w:eastAsia="zh-CN"/>
        </w:rPr>
        <w:t xml:space="preserve">  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）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登记表业务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业务内容：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超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180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天期限或无法原路退汇登记；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B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类企业超可收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/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付汇额度登记；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C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类企业收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/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付汇业务登记。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办理方式：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网上电子邮件办理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简要流程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企业通过电子邮件提交申请材料：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企业对照申请事项，将申请报告及法规规定提交的业务资料进行扫描后，通过电子邮件向深圳外汇局经常项目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处提交电子版申请材料，邮箱地址是：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safesz_current@sina.com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外汇局审核并签发登记表：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外汇局业务人员在规定的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个工作日内按照行政许可及外汇管理相关规定为企业办理业务。经审核电子材料，对于符合条件的业务予以办理，同时通过电子邮件向企业发送加盖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货物贸易外汇业务监管章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的《货物贸易外汇业务登记表》扫描件，企业凭该扫描件的打印件到银行办理有关货物贸易外汇收支业务。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）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经常项目外汇账户基本信息登记、变更业务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办理方式：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网上电子邮件办理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简要流程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0"/>
        <w:textAlignment w:val="auto"/>
        <w:outlineLvl w:val="1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企业办理境内机构经常项目外汇账户基本信息登记、变更业务，可通过外汇指定银行直接办理。确有需要通过外汇局办理的，采取以下方式：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企业通过电子邮件提交申请材料：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zh-TW" w:eastAsia="zh-TW"/>
        </w:rPr>
        <w:t>企业将法规规定提交的申请材料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进行扫描后，通过电子邮件向深圳外汇局经常项目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处提交电子版申请材料，邮箱地址是：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safesz_current@sina.com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textAlignment w:val="auto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外汇局审核：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外汇局业务人员审核材料无误后，为企业办理相关业务。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）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企业报告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法规规定的企业报告业务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报告业务内容：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包括贸易信贷业务报告、贸易融资业务报告、离岸转手买卖收支业务报告、差额业务报告、其他特殊交易报告等。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办理方式：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网上报告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0"/>
        <w:textAlignment w:val="auto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企业直接通过货物贸易外汇监测系统企业端，按照相关法规要求向外汇局进行报告。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进料加工企业境外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以收抵支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业务报告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0"/>
        <w:textAlignment w:val="auto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原定每年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月已备案的进料加工企业需向深圳外汇局报告上年度境外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以收抵支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业务情况，现延期报送，具体报送时间将另行通知。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（五）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办事指南查询与业务表格下载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有关上述业务的详细操作，请企业登陆深圳外汇局网站查看相关业务指南及下载业务表格。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zh-TW" w:eastAsia="zh-TW"/>
        </w:rPr>
        <w:t>提示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：</w:t>
      </w:r>
    </w:p>
    <w:p>
      <w:pPr>
        <w:pStyle w:val="6"/>
        <w:numPr>
          <w:numId w:val="0"/>
        </w:numPr>
        <w:tabs>
          <w:tab w:val="left" w:pos="420"/>
          <w:tab w:val="left" w:pos="771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positio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TW"/>
        </w:rPr>
        <w:t>企业登陆国家外汇管理局网站（网址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http://www.safe.gov.cn</w:t>
      </w:r>
      <w:r>
        <w:rPr>
          <w:rFonts w:hint="eastAsia" w:ascii="仿宋" w:hAnsi="仿宋" w:eastAsia="仿宋" w:cs="仿宋"/>
          <w:sz w:val="32"/>
          <w:szCs w:val="32"/>
          <w:lang w:val="en-US" w:eastAsia="zh-TW"/>
        </w:rPr>
        <w:t>），选择链接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TW"/>
        </w:rPr>
        <w:t>深圳分局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TW"/>
        </w:rPr>
        <w:t>；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业务指南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模块，选择查看《经常项目外汇管理办事指南》、《货物贸易外汇收支企业名录登记网上操作指引》等。需要下载有关业务表格的，可选择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业务表格下载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（六）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业务咨询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outlineLvl w:val="1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疫情防控期间，企业在业务办理过程中如遇到问题，请及时与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深圳外汇局经常项目管理处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联系。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CN"/>
        </w:rPr>
        <w:t>经常项目管理处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咨询电话：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25859736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,25859563</w:t>
      </w:r>
      <w:bookmarkStart w:id="0" w:name="_GoBack"/>
      <w:bookmarkEnd w:id="0"/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（七）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其他事项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1.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企业通过电子邮件提交材料的，请在邮件主题标注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企业名称、申请办理业务事项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，并附联系人及联系电话。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00"/>
        <w:textAlignment w:val="auto"/>
        <w:rPr>
          <w:rFonts w:hint="eastAsia"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现场办理对外业务恢复时间另行通知。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资本项目业务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黑体" w:hAnsi="黑体" w:eastAsia="黑体" w:cs="黑体"/>
          <w:b/>
          <w:bCs/>
          <w:color w:val="000000"/>
          <w:sz w:val="32"/>
          <w:szCs w:val="32"/>
          <w:u w:val="none" w:color="00000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CN"/>
        </w:rPr>
        <w:t>（</w:t>
      </w:r>
      <w:r>
        <w:rPr>
          <w:rFonts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TW"/>
        </w:rPr>
        <w:t>一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CN"/>
        </w:rPr>
        <w:t>）</w:t>
      </w:r>
      <w:r>
        <w:rPr>
          <w:rFonts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TW"/>
        </w:rPr>
        <w:t>外债登记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CN"/>
        </w:rPr>
        <w:t>业务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仿宋" w:hAnsi="仿宋" w:eastAsia="仿宋" w:cs="仿宋"/>
          <w:color w:val="C00000"/>
          <w:sz w:val="32"/>
          <w:szCs w:val="32"/>
          <w:u w:val="none" w:color="C00000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 w:eastAsia="zh-CN"/>
        </w:rPr>
        <w:t>1.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TW"/>
        </w:rPr>
        <w:t>办理方式：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网上办理、邮寄或现场办理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 w:eastAsia="zh-CN"/>
        </w:rPr>
        <w:t>2.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TW"/>
        </w:rPr>
        <w:t>简要流程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0"/>
        <w:textAlignment w:val="auto"/>
        <w:rPr>
          <w:rFonts w:ascii="黑体" w:hAnsi="黑体" w:eastAsia="黑体" w:cs="黑体"/>
          <w:b/>
          <w:bCs/>
          <w:color w:val="000000"/>
          <w:sz w:val="32"/>
          <w:szCs w:val="32"/>
          <w:u w:val="none" w:color="000000"/>
        </w:rPr>
      </w:pPr>
      <w:r>
        <w:rPr>
          <w:rFonts w:ascii="仿宋" w:hAnsi="仿宋" w:eastAsia="仿宋" w:cs="仿宋"/>
          <w:b/>
          <w:bCs/>
          <w:sz w:val="32"/>
          <w:szCs w:val="32"/>
          <w:lang w:val="zh-TW" w:eastAsia="zh-TW"/>
        </w:rPr>
        <w:t>企业网上提交申请材料：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企业在国家外汇管理局数字外管平台（网址：</w:t>
      </w:r>
      <w:r>
        <w:rPr>
          <w:rFonts w:ascii="仿宋" w:hAnsi="仿宋" w:eastAsia="仿宋" w:cs="仿宋"/>
          <w:sz w:val="32"/>
          <w:szCs w:val="32"/>
          <w:lang w:val="en-US"/>
        </w:rPr>
        <w:t>http://zwfw.safe.gov.cn/asone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）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gjzwfw.gov.cn%25EF%25BC%2589%25E8%25BF%259B%25E8%25A1%258C%25E6%25B3%2595%25E5%25AE%259A%25E4%25BB%25A3%25E8%25A1%25A8%25E4%25BA%25BA%25E5%25AE%259E%25E5%2590%258D%25E9%25AA%258C%25E8%25AF%2581%25E5%2590%258E%25EF%25BC%258C%25E9%2580%259A%25E8%25BF%2587%25E5%259B%25BD%25E5%25AE%25B6%25E5%25A4%2596%25E6%25B1%2587%25E7%25AE%25A1%25E7%2590%2586%25E6%2594%25BF%25E5%258A%25A1%25E6%259C%258D%25E5%258A%25A1%25E7%25BD%2591%25E4%25B8%258A%25E5%258A%259E%25E7%2590%2586%25E7%25B3%25BB%25E7%25BB%259F%25E5%2590%2591%25E5%25A4%2596%25E6%25B1%2587%25E5%25B1%2580%25E6%258F%2590%25E4%25BA%25A4%25E7%259B%25B8%25E5%2585%25B3%25E4%25B8%259A%25E5%258A%25A1%25E7%2594%25B3%25E8%25AF%25B7%25EF%25BC%258C%25E5%25B9%25B6%25E4%25B8%258A%25E4%25BC%25A0%25E7%259B%25B8%25E5%2585%25B3%25E4%25B8%259A%25E5%258A%25A1%25E8%25B5%2584%25E6%2596%2599%25EF%25BC%258C%25E5%25A4%2596%25E6%25B1%2587%25E5%25B1%2580%25E5%25B0%2586%25E9%2580%259A%25E8%25BF%2587%25E7%25BA%25BF%25E4%25B8%258A%25E5%25AE%25A1%25E6%25A0%25B8%25E5%258A%259E%25E7%2590%2586%25E3%2580%2582%25E5%25A6%2582%25E5%2590%258E%25E7%25BB%25AD%25E9%259C%2580%25E8%25A1%25A5%25E5%2585%2585%25E6%258F%2590%25E4%25BA%25A4%25E7%25BA%25B8%25E8%25B4%25A8%25E8%25B5%2584%25E6%2596%2599%25EF%25BC%258C%25E4%25BC%2581%25E4%25B8%259A%25E5%258F%25AF%25E9%2580%259A%25E8%25BF%2587%25E5%25BF%25AB%25E9%2580%2592%25E9%2582%25AE%25E5%25AF%2584%25E8%2587%25B3%25E6%25B7%25B1%25E5%259C%25B3%25E5%25A4%2596%25E6%25B1%2587%25E5%25B1%2580%25E7%25BB%258F%25E5%25B8%25B8%25E9%25A1%25B9%25E7%259B%25AE%25E5%25A4%2584%25E3%2580%2582" </w:instrText>
      </w:r>
      <w:r>
        <w:rPr>
          <w:sz w:val="32"/>
          <w:szCs w:val="32"/>
        </w:rPr>
        <w:fldChar w:fldCharType="separate"/>
      </w:r>
      <w:r>
        <w:rPr>
          <w:rStyle w:val="12"/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进行法人注册后，线上申请外债登记并按照提示提交材料。邮寄或现场办理方式参照后一条。</w:t>
      </w:r>
      <w:r>
        <w:rPr>
          <w:rStyle w:val="12"/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br/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fldChar w:fldCharType="end"/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u w:val="none" w:color="000000"/>
          <w:lang w:val="en-US" w:eastAsia="zh-CN"/>
        </w:rPr>
        <w:t xml:space="preserve">    </w:t>
      </w:r>
      <w:r>
        <w:rPr>
          <w:rStyle w:val="12"/>
          <w:rFonts w:hint="eastAsia"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 w:eastAsia="zh-CN"/>
        </w:rPr>
        <w:t>（</w:t>
      </w:r>
      <w:r>
        <w:rPr>
          <w:rFonts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TW"/>
        </w:rPr>
        <w:t>二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CN"/>
        </w:rPr>
        <w:t>）</w:t>
      </w:r>
      <w:r>
        <w:rPr>
          <w:rFonts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TW"/>
        </w:rPr>
        <w:t>跨境担保、资本市场、个人资本项目等业务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仿宋" w:hAnsi="仿宋" w:eastAsia="仿宋" w:cs="仿宋"/>
          <w:color w:val="C00000"/>
          <w:sz w:val="32"/>
          <w:szCs w:val="32"/>
          <w:u w:val="none" w:color="C00000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 w:eastAsia="zh-CN"/>
        </w:rPr>
        <w:t>1.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TW"/>
        </w:rPr>
        <w:t>办理方式：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邮寄或现场办理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 w:eastAsia="zh-CN"/>
        </w:rPr>
        <w:t>2.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TW"/>
        </w:rPr>
        <w:t>简要流程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u w:val="none" w:color="000000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 w:eastAsia="zh-CN"/>
        </w:rPr>
        <w:t>（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CN"/>
        </w:rPr>
        <w:t>）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TW"/>
        </w:rPr>
        <w:t>邮寄办理：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企业或个人按照深圳外汇局网站（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"http://www.safe.gov.cn/shenzhen/index.html" </w:instrText>
      </w:r>
      <w:r>
        <w:rPr>
          <w:sz w:val="32"/>
          <w:szCs w:val="32"/>
        </w:rPr>
        <w:fldChar w:fldCharType="separate"/>
      </w:r>
      <w:r>
        <w:rPr>
          <w:rStyle w:val="13"/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http://www.safe.gov.cn/shenzhen/index.html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fldChar w:fldCharType="end"/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）资本项目外汇业务办事指南准备业务材料，可在电话咨询深圳外汇局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000000"/>
          <w:lang w:val="zh-TW" w:eastAsia="zh-CN"/>
        </w:rPr>
        <w:t>资本项目管理处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后邮寄办理，并留下联系方式和寄回地址。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 w:eastAsia="zh-CN"/>
        </w:rPr>
        <w:t>（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 w:eastAsia="zh-CN"/>
        </w:rPr>
        <w:t>）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TW"/>
        </w:rPr>
        <w:t>现场办理：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防控疫情期间，建议采用邮寄方式办理业务。同时，深圳外汇局对外人工窗口仍提供现场办理服务。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仿宋" w:hAnsi="仿宋" w:eastAsia="仿宋" w:cs="仿宋"/>
          <w:color w:val="000000"/>
          <w:sz w:val="32"/>
          <w:szCs w:val="32"/>
          <w:u w:val="none" w:color="000000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TW"/>
        </w:rPr>
        <w:t>邮寄和办公地址：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深圳市罗湖区深南东路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 xml:space="preserve">5006 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号人民银行大厦南楼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 xml:space="preserve">2 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楼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000000"/>
          <w:lang w:val="zh-TW" w:eastAsia="zh-CN"/>
        </w:rPr>
        <w:t>资本项目管理处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窗口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黑体" w:hAnsi="黑体" w:eastAsia="黑体" w:cs="黑体"/>
          <w:b/>
          <w:bCs/>
          <w:color w:val="000000"/>
          <w:sz w:val="32"/>
          <w:szCs w:val="32"/>
          <w:u w:val="none" w:color="00000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CN"/>
        </w:rPr>
        <w:t>（</w:t>
      </w:r>
      <w:r>
        <w:rPr>
          <w:rFonts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TW"/>
        </w:rPr>
        <w:t>三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CN"/>
        </w:rPr>
        <w:t>）</w:t>
      </w:r>
      <w:r>
        <w:rPr>
          <w:rFonts w:ascii="黑体" w:hAnsi="黑体" w:eastAsia="黑体" w:cs="黑体"/>
          <w:b/>
          <w:bCs/>
          <w:color w:val="000000"/>
          <w:sz w:val="32"/>
          <w:szCs w:val="32"/>
          <w:u w:val="none" w:color="000000"/>
          <w:lang w:val="zh-TW" w:eastAsia="zh-TW"/>
        </w:rPr>
        <w:t>银行报表等报送安排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u w:val="none" w:color="000000"/>
        </w:rPr>
      </w:pP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000000"/>
          <w:lang w:val="en-US" w:eastAsia="zh-CN"/>
        </w:rPr>
        <w:t>.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辖内银行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2020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年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1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月资本项目业务各类报表报送时间推迟至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月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12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日中午下班前。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0"/>
        <w:textAlignment w:val="auto"/>
        <w:rPr>
          <w:rFonts w:ascii="仿宋" w:hAnsi="仿宋" w:eastAsia="仿宋" w:cs="仿宋"/>
          <w:color w:val="000000"/>
          <w:sz w:val="32"/>
          <w:szCs w:val="32"/>
          <w:u w:val="none" w:color="000000"/>
        </w:rPr>
      </w:pP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000000"/>
          <w:lang w:val="zh-TW" w:eastAsia="zh-CN"/>
        </w:rPr>
        <w:t>.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原则上只收取电子报表，如确有纸质报表或核查资料需收取，全部通过收件柜传递。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0"/>
        <w:textAlignment w:val="auto"/>
        <w:rPr>
          <w:rFonts w:ascii="仿宋" w:hAnsi="仿宋" w:eastAsia="仿宋" w:cs="仿宋"/>
          <w:color w:val="000000"/>
          <w:sz w:val="32"/>
          <w:szCs w:val="32"/>
          <w:u w:val="none" w:color="000000"/>
        </w:rPr>
      </w:pP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000000"/>
          <w:lang w:val="zh-TW" w:eastAsia="zh-CN"/>
        </w:rPr>
        <w:t>.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银行资本项目信息系统数据删改申请表，以电子报表方式提交。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仿宋" w:hAnsi="仿宋" w:eastAsia="仿宋" w:cs="仿宋"/>
          <w:color w:val="000000"/>
          <w:sz w:val="32"/>
          <w:szCs w:val="32"/>
          <w:u w:val="none" w:color="000000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TW"/>
        </w:rPr>
        <w:t>电子报表报送方式：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深圳金融网传至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000000"/>
          <w:lang w:val="zh-TW" w:eastAsia="zh-CN"/>
        </w:rPr>
        <w:t>资本项目管理处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或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RTX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通讯软件传递至相关联系人。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仿宋" w:hAnsi="仿宋" w:eastAsia="仿宋" w:cs="仿宋"/>
          <w:color w:val="000000"/>
          <w:sz w:val="32"/>
          <w:szCs w:val="32"/>
          <w:u w:val="none" w:color="000000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TW"/>
        </w:rPr>
        <w:t>收件柜地址：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深圳市罗湖区深南东路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5006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号人民银行大厦南楼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 xml:space="preserve">2 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楼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000000"/>
          <w:lang w:val="zh-TW" w:eastAsia="zh-CN"/>
        </w:rPr>
        <w:t>资本项目管理处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收件柜。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43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CN"/>
        </w:rPr>
        <w:t>资本项目管理处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zh-TW" w:eastAsia="zh-TW"/>
        </w:rPr>
        <w:t>联系电话：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none" w:color="000000"/>
          <w:lang w:val="en-US"/>
        </w:rPr>
        <w:t>22192853</w:t>
      </w:r>
    </w:p>
    <w:p>
      <w:pPr>
        <w:pStyle w:val="8"/>
        <w:wordWrap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三、国际收支业务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 w:color="000000"/>
          <w:lang w:val="zh-TW"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防控疫情期间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000000"/>
          <w:lang w:val="zh-TW" w:eastAsia="zh-CN"/>
        </w:rPr>
        <w:t>涉及国际收支有关的业务，如遇问题可与深圳外汇局国际收支处联系。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00"/>
        <w:textAlignment w:val="auto"/>
        <w:rPr>
          <w:rFonts w:hint="eastAsia" w:ascii="仿宋" w:hAnsi="仿宋" w:eastAsia="仿宋" w:cs="仿宋"/>
          <w:b/>
          <w:bCs/>
          <w:color w:val="EC9F2E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国际收支处联系电话：25590240-890或612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/>
        <w:adjustRightInd/>
        <w:snapToGrid/>
        <w:spacing w:line="520" w:lineRule="exact"/>
        <w:ind w:firstLine="600"/>
        <w:textAlignment w:val="auto"/>
        <w:rPr>
          <w:rFonts w:ascii="Courier" w:hAnsi="Courier" w:eastAsia="Courier" w:cs="Courier"/>
          <w:b/>
          <w:bCs/>
          <w:color w:val="EC9F2E"/>
          <w:sz w:val="32"/>
          <w:szCs w:val="32"/>
          <w:u w:val="none" w:color="000000"/>
          <w:lang w:val="zh-TW" w:eastAsia="zh-TW"/>
        </w:rPr>
      </w:pP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jc w:val="right"/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</w:pP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jc w:val="right"/>
        <w:rPr>
          <w:rFonts w:ascii="仿宋" w:hAnsi="仿宋" w:eastAsia="仿宋" w:cs="仿宋"/>
          <w:color w:val="000000"/>
          <w:sz w:val="32"/>
          <w:szCs w:val="32"/>
          <w:u w:val="none" w:color="000000"/>
        </w:rPr>
      </w:pP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 xml:space="preserve">  国家外汇管理局深圳市分局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jc w:val="left"/>
      </w:pP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 w:color="000000"/>
          <w:lang w:val="en-US" w:eastAsia="zh-CN"/>
        </w:rPr>
        <w:t xml:space="preserve">           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2020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年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月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en-US"/>
        </w:rPr>
        <w:t>3</w:t>
      </w:r>
      <w:r>
        <w:rPr>
          <w:rFonts w:ascii="仿宋" w:hAnsi="仿宋" w:eastAsia="仿宋" w:cs="仿宋"/>
          <w:color w:val="000000"/>
          <w:sz w:val="32"/>
          <w:szCs w:val="32"/>
          <w:u w:val="none" w:color="000000"/>
          <w:lang w:val="zh-TW" w:eastAsia="zh-TW"/>
        </w:rPr>
        <w:t>日</w:t>
      </w:r>
    </w:p>
    <w:sectPr>
      <w:headerReference r:id="rId4" w:type="default"/>
      <w:footerReference r:id="rId5" w:type="default"/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compressPunctuation"/>
  <w:noLineBreaksAfter w:lang="zh-CN" w:val="‘“(〔[{〈《「『【⦅〘〖«〝︵︷︹︻︽︿﹁﹃﹇﹙﹛﹝｢"/>
  <w:noLineBreaksBefore w:lang="zh-CN" w:val="’”)〕]}〉"/>
  <w:compat>
    <w:spaceForUL/>
    <w:doNotLeaveBackslashAlone/>
    <w:ulTrailSpace/>
    <w:splitPgBreakAndParaMark/>
    <w:doNotExpandShiftReturn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31F61CF"/>
    <w:rsid w:val="2C804C6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/>
      <w:numPr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unhideWhenUsed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qFormat/>
    <w:uiPriority w:val="0"/>
    <w:rPr>
      <w:u w:val="single"/>
    </w:rPr>
  </w:style>
  <w:style w:type="paragraph" w:customStyle="1" w:styleId="5">
    <w:name w:val="页眉与页脚"/>
    <w:qFormat/>
    <w:uiPriority w:val="0"/>
    <w:pPr>
      <w:widowControl/>
      <w:numPr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lang w:val="en-US" w:eastAsia="zh-CN" w:bidi="ar-SA"/>
    </w:rPr>
  </w:style>
  <w:style w:type="paragraph" w:customStyle="1" w:styleId="6">
    <w:name w:val="正文 A"/>
    <w:qFormat/>
    <w:uiPriority w:val="0"/>
    <w:pPr>
      <w:widowControl w:val="0"/>
      <w:numPr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lang w:val="en-US" w:eastAsia="zh-CN" w:bidi="ar-SA"/>
    </w:rPr>
  </w:style>
  <w:style w:type="paragraph" w:customStyle="1" w:styleId="7">
    <w:name w:val="正文 B"/>
    <w:qFormat/>
    <w:uiPriority w:val="0"/>
    <w:pPr>
      <w:widowControl/>
      <w:numPr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lang w:val="zh-TW" w:eastAsia="zh-TW" w:bidi="ar-SA"/>
    </w:rPr>
  </w:style>
  <w:style w:type="paragraph" w:customStyle="1" w:styleId="8">
    <w:name w:val="正文1"/>
    <w:uiPriority w:val="0"/>
    <w:pPr>
      <w:widowControl w:val="0"/>
      <w:numPr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lang w:val="zh-TW" w:eastAsia="zh-TW" w:bidi="ar-SA"/>
    </w:rPr>
  </w:style>
  <w:style w:type="character" w:customStyle="1" w:styleId="9">
    <w:name w:val="无"/>
    <w:uiPriority w:val="0"/>
  </w:style>
  <w:style w:type="character" w:customStyle="1" w:styleId="10">
    <w:name w:val="Hyperlink.0"/>
    <w:basedOn w:val="9"/>
    <w:uiPriority w:val="0"/>
    <w:rPr>
      <w:rFonts w:ascii="Courier" w:hAnsi="Courier" w:eastAsia="Courier" w:cs="Courier"/>
      <w:sz w:val="32"/>
      <w:szCs w:val="32"/>
      <w:lang w:val="zh-TW" w:eastAsia="zh-TW"/>
    </w:rPr>
  </w:style>
  <w:style w:type="character" w:customStyle="1" w:styleId="11">
    <w:name w:val="Hyperlink.1"/>
    <w:basedOn w:val="9"/>
    <w:uiPriority w:val="0"/>
    <w:rPr>
      <w:rFonts w:ascii="Courier" w:hAnsi="Courier" w:eastAsia="Courier" w:cs="Courier"/>
      <w:sz w:val="32"/>
      <w:szCs w:val="32"/>
      <w:u w:val="single"/>
      <w:lang w:val="en-US"/>
    </w:rPr>
  </w:style>
  <w:style w:type="character" w:customStyle="1" w:styleId="12">
    <w:name w:val="Hyperlink.2"/>
    <w:basedOn w:val="9"/>
    <w:uiPriority w:val="0"/>
    <w:rPr>
      <w:rFonts w:ascii="仿宋" w:hAnsi="仿宋" w:eastAsia="仿宋" w:cs="仿宋"/>
      <w:color w:val="000000"/>
      <w:sz w:val="32"/>
      <w:szCs w:val="32"/>
      <w:u w:val="none" w:color="000000"/>
      <w:lang w:val="zh-TW" w:eastAsia="zh-TW"/>
    </w:rPr>
  </w:style>
  <w:style w:type="character" w:customStyle="1" w:styleId="13">
    <w:name w:val="Hyperlink.3"/>
    <w:basedOn w:val="9"/>
    <w:uiPriority w:val="0"/>
    <w:rPr>
      <w:rFonts w:ascii="仿宋" w:hAnsi="仿宋" w:eastAsia="仿宋" w:cs="仿宋"/>
      <w:color w:val="000000"/>
      <w:sz w:val="32"/>
      <w:szCs w:val="32"/>
      <w:u w:val="none" w:color="00000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2020-02-03T07:12:00Z</dcterms:created>
  <dc:creator>lij</dc:creator>
  <cp:lastModifiedBy>邹虹</cp:lastModifiedBy>
  <dcterms:modified xsi:type="dcterms:W3CDTF">2020-02-14T03:42:08Z</dcterms:modified>
  <dc:title>国家外汇管理局深圳市分局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