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Layout w:type="fixed"/>
        <w:tblLook w:val="04A0"/>
      </w:tblPr>
      <w:tblGrid>
        <w:gridCol w:w="1428"/>
        <w:gridCol w:w="638"/>
        <w:gridCol w:w="296"/>
        <w:gridCol w:w="17"/>
        <w:gridCol w:w="284"/>
        <w:gridCol w:w="59"/>
        <w:gridCol w:w="1365"/>
        <w:gridCol w:w="275"/>
        <w:gridCol w:w="1100"/>
        <w:gridCol w:w="1041"/>
        <w:gridCol w:w="7"/>
        <w:gridCol w:w="35"/>
        <w:gridCol w:w="31"/>
        <w:gridCol w:w="194"/>
        <w:gridCol w:w="52"/>
        <w:gridCol w:w="1780"/>
        <w:gridCol w:w="48"/>
      </w:tblGrid>
      <w:tr w:rsidR="003D152E" w:rsidRPr="008D32BD" w:rsidTr="00327544">
        <w:trPr>
          <w:gridAfter w:val="1"/>
          <w:wAfter w:w="28" w:type="pct"/>
          <w:trHeight w:val="405"/>
        </w:trPr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2"/>
                <w:szCs w:val="32"/>
              </w:rPr>
            </w:pPr>
            <w:r w:rsidRPr="00133963"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32"/>
              </w:rPr>
              <w:t>境内机构外债信息表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—填写说明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152E" w:rsidRPr="008D32BD" w:rsidTr="00327544">
        <w:trPr>
          <w:trHeight w:val="300"/>
        </w:trPr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152E" w:rsidRPr="008D32BD" w:rsidTr="00327544">
        <w:trPr>
          <w:trHeight w:val="300"/>
        </w:trPr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ind w:right="4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80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ind w:leftChars="-106" w:left="-223" w:right="400" w:firstLineChars="111" w:firstLine="2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3852">
              <w:rPr>
                <w:rFonts w:ascii="宋体" w:eastAsia="宋体" w:hAnsi="宋体" w:cs="宋体"/>
                <w:noProof/>
                <w:kern w:val="0"/>
                <w:sz w:val="1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0" type="#_x0000_t202" style="position:absolute;left:0;text-align:left;margin-left:80.55pt;margin-top:-3.4pt;width:39pt;height:110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rvDAIAAPQ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" filled="f" stroked="f">
                  <v:textbox style="mso-next-textbox:#Text Box 2;mso-fit-shape-to-text:t">
                    <w:txbxContent>
                      <w:p w:rsidR="003D152E" w:rsidRPr="00C14B59" w:rsidRDefault="003D152E" w:rsidP="003D152E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⑴</w:t>
                        </w:r>
                      </w:p>
                    </w:txbxContent>
                  </v:textbox>
                </v:shape>
              </w:pict>
            </w:r>
            <w:r w:rsidRPr="005A41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跨境融资管理模式</w:t>
            </w:r>
          </w:p>
        </w:tc>
        <w:tc>
          <w:tcPr>
            <w:tcW w:w="11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□投注差□宏观审慎</w:t>
            </w:r>
          </w:p>
        </w:tc>
      </w:tr>
      <w:tr w:rsidR="003D152E" w:rsidRPr="008D32BD" w:rsidTr="00327544">
        <w:trPr>
          <w:trHeight w:val="300"/>
        </w:trPr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152E" w:rsidRPr="008D32BD" w:rsidTr="00327544">
        <w:trPr>
          <w:trHeight w:val="300"/>
        </w:trPr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32B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152E" w:rsidRPr="008D32BD" w:rsidTr="00327544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⑵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外汇局代码：</w:t>
            </w: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310000</w:t>
            </w:r>
          </w:p>
        </w:tc>
      </w:tr>
      <w:tr w:rsidR="003D152E" w:rsidRPr="008D32BD" w:rsidTr="00327544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债务人名称（中文）：</w:t>
            </w:r>
          </w:p>
        </w:tc>
        <w:tc>
          <w:tcPr>
            <w:tcW w:w="35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⑶</w:t>
            </w:r>
          </w:p>
        </w:tc>
      </w:tr>
      <w:tr w:rsidR="003D152E" w:rsidRPr="008D32BD" w:rsidTr="00327544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债务人名称（英文）：</w:t>
            </w:r>
          </w:p>
        </w:tc>
        <w:tc>
          <w:tcPr>
            <w:tcW w:w="35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152E" w:rsidRPr="008D32BD" w:rsidTr="00327544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债务人类型：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⑷</w:t>
            </w:r>
          </w:p>
        </w:tc>
        <w:tc>
          <w:tcPr>
            <w:tcW w:w="35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□中资企业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□外商独资企业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□合资企业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□合作企业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_____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合同签约日期：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⑸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是否循环贷款：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  □否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借款币别：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⑹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借款金额</w:t>
            </w:r>
            <w:r w:rsidRPr="008D32B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Pr="008D32B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小写）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⑺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借款期限（月）：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⑻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债务类型</w:t>
            </w:r>
            <w:r w:rsidRPr="008D32B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⑾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借款利率：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⑼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□境外母公司借款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□从联属企业借款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罚息：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□非股东非关联企业借款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□境外金融机构借款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适用法律：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⑽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□境外个人借款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__________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是否有交叉违约条款：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是否有提前还款条款：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□是  □否</w:t>
            </w:r>
          </w:p>
        </w:tc>
      </w:tr>
      <w:tr w:rsidR="003D152E" w:rsidRPr="008D32BD" w:rsidTr="003D152E">
        <w:trPr>
          <w:gridAfter w:val="1"/>
          <w:wAfter w:w="28" w:type="pct"/>
          <w:trHeight w:val="342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是否有加速到期条款：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是否有利息本金化条款：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□是  □否</w:t>
            </w:r>
          </w:p>
        </w:tc>
      </w:tr>
      <w:tr w:rsidR="003D152E" w:rsidRPr="008D32BD" w:rsidTr="003D152E">
        <w:trPr>
          <w:gridAfter w:val="1"/>
          <w:wAfter w:w="28" w:type="pct"/>
          <w:trHeight w:val="345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是否内保外贷资金调回境内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1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调回境内占比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497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债 权 人 情 况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SWIFT CODE</w:t>
            </w:r>
          </w:p>
        </w:tc>
        <w:tc>
          <w:tcPr>
            <w:tcW w:w="1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债权人名称（中文）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债权人名称（英文）</w:t>
            </w:r>
          </w:p>
        </w:tc>
      </w:tr>
      <w:tr w:rsidR="003D152E" w:rsidRPr="008D32BD" w:rsidTr="003D152E">
        <w:trPr>
          <w:gridAfter w:val="1"/>
          <w:wAfter w:w="28" w:type="pct"/>
          <w:trHeight w:val="735"/>
        </w:trPr>
        <w:tc>
          <w:tcPr>
            <w:tcW w:w="13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32BD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(</w:t>
            </w:r>
            <w:r w:rsidRPr="008D32B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仅境外金融机构需填写）</w:t>
            </w:r>
          </w:p>
        </w:tc>
        <w:tc>
          <w:tcPr>
            <w:tcW w:w="1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⑿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⒀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总部所在国家（地区）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经营所在国家（地区）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⒁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⒂</w:t>
            </w:r>
          </w:p>
        </w:tc>
      </w:tr>
      <w:tr w:rsidR="003D152E" w:rsidRPr="008D32BD" w:rsidTr="00327544">
        <w:trPr>
          <w:gridAfter w:val="1"/>
          <w:wAfter w:w="28" w:type="pct"/>
          <w:trHeight w:val="300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497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借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款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用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途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49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⒃</w:t>
            </w:r>
          </w:p>
        </w:tc>
      </w:tr>
      <w:tr w:rsidR="003D152E" w:rsidRPr="008D32BD" w:rsidTr="00327544">
        <w:trPr>
          <w:gridAfter w:val="1"/>
          <w:wAfter w:w="28" w:type="pct"/>
          <w:trHeight w:val="300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497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提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款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还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情</w:t>
            </w:r>
            <w:r w:rsidRPr="008D32B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8D32BD"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</w:p>
        </w:tc>
      </w:tr>
      <w:tr w:rsidR="003D152E" w:rsidRPr="008D32BD" w:rsidTr="00327544">
        <w:trPr>
          <w:gridAfter w:val="1"/>
          <w:wAfter w:w="28" w:type="pct"/>
          <w:trHeight w:val="285"/>
        </w:trPr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预计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总提款次数：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预计首次提款日：</w:t>
            </w:r>
          </w:p>
        </w:tc>
        <w:tc>
          <w:tcPr>
            <w:tcW w:w="12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D152E" w:rsidRPr="008D32BD" w:rsidTr="00327544">
        <w:trPr>
          <w:gridAfter w:val="1"/>
          <w:wAfter w:w="28" w:type="pct"/>
          <w:trHeight w:val="300"/>
        </w:trPr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预计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总还本次数：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末次还本日：</w:t>
            </w:r>
          </w:p>
        </w:tc>
        <w:tc>
          <w:tcPr>
            <w:tcW w:w="12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8D3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D152E" w:rsidRPr="008D32BD" w:rsidTr="003D152E">
        <w:trPr>
          <w:gridAfter w:val="1"/>
          <w:wAfter w:w="28" w:type="pct"/>
          <w:trHeight w:val="750"/>
        </w:trPr>
        <w:tc>
          <w:tcPr>
            <w:tcW w:w="4972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CC663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本企业所填写《境内机构外债信息表》中各项内容及所提交的所有书面材料均真实有效。本企业保证所提交的各项表格、文件真实、准确、完整，否则将承担由此而导致的一切后果。</w:t>
            </w:r>
          </w:p>
        </w:tc>
      </w:tr>
      <w:tr w:rsidR="003D152E" w:rsidRPr="008D32BD" w:rsidTr="003D152E">
        <w:trPr>
          <w:gridAfter w:val="1"/>
          <w:wAfter w:w="28" w:type="pct"/>
          <w:trHeight w:val="375"/>
        </w:trPr>
        <w:tc>
          <w:tcPr>
            <w:tcW w:w="23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2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外债业务联系人：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⒄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2BD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联系电话：</w:t>
            </w:r>
            <w:r w:rsidRPr="00C14B5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>⒅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0"/>
              </w:rPr>
              <w:t xml:space="preserve">         </w:t>
            </w:r>
            <w:r w:rsidRPr="00CC663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企业公章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3D152E" w:rsidRPr="008D32BD" w:rsidTr="003D152E">
        <w:trPr>
          <w:gridAfter w:val="1"/>
          <w:wAfter w:w="28" w:type="pct"/>
          <w:trHeight w:val="300"/>
        </w:trPr>
        <w:tc>
          <w:tcPr>
            <w:tcW w:w="23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52E" w:rsidRPr="008D32BD" w:rsidRDefault="003D152E" w:rsidP="0032754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32B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003D152E" w:rsidRPr="003D152E" w:rsidRDefault="003D152E" w:rsidP="003D152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8"/>
        </w:rPr>
      </w:pPr>
      <w:r w:rsidRPr="003D152E">
        <w:rPr>
          <w:rFonts w:ascii="仿宋" w:eastAsia="仿宋" w:hAnsi="仿宋" w:hint="eastAsia"/>
          <w:sz w:val="28"/>
        </w:rPr>
        <w:t>注意事项：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《境内机构外债信息表》中（1）至（18）项为必填项，请根据《外债合同》、《营业执照》等材料如实、完整填写。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lastRenderedPageBreak/>
        <w:t>（1）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勾选所选择的跨境融资管理模式。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（2）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填写《营业执照》</w:t>
      </w:r>
      <w:r>
        <w:rPr>
          <w:rFonts w:ascii="仿宋" w:eastAsia="仿宋" w:hAnsi="仿宋" w:hint="eastAsia"/>
          <w:sz w:val="24"/>
        </w:rPr>
        <w:t>统一社会信用代码</w:t>
      </w:r>
      <w:r w:rsidRPr="000D0E68">
        <w:rPr>
          <w:rFonts w:ascii="仿宋" w:eastAsia="仿宋" w:hAnsi="仿宋" w:hint="eastAsia"/>
          <w:sz w:val="24"/>
        </w:rPr>
        <w:t>中</w:t>
      </w:r>
      <w:r>
        <w:rPr>
          <w:rFonts w:ascii="仿宋" w:eastAsia="仿宋" w:hAnsi="仿宋" w:hint="eastAsia"/>
          <w:sz w:val="24"/>
        </w:rPr>
        <w:t>9-17位</w:t>
      </w:r>
      <w:r w:rsidRPr="000D0E68">
        <w:rPr>
          <w:rFonts w:ascii="仿宋" w:eastAsia="仿宋" w:hAnsi="仿宋" w:hint="eastAsia"/>
          <w:sz w:val="24"/>
        </w:rPr>
        <w:t>数字/字母。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（4）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请根据《营业执照》勾选债务人类型。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（11）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如债权人为债务人的直接股东，请勾选“境外母公司借款”；如债权人与债务人有股权关联关系但非母子公司，请勾选“从联属企业借款”；如债权人与债务人无股权关联关系，请勾选“非股东非关联企业借款”；如债权人为境外金融机构，请勾选“境外金融机构借款”；如债权人为境外个人，请勾选“境外个人借款”；如债权人类型不符合上述选项，请勾选“其他”并填写债务类型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（12）（13）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如债权人无中文名称或英文名称，相应方框内可不填写。</w:t>
      </w:r>
    </w:p>
    <w:p w:rsidR="003D152E" w:rsidRPr="000D0E68" w:rsidRDefault="003D152E" w:rsidP="003D152E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（17）（18）</w:t>
      </w:r>
      <w:r>
        <w:rPr>
          <w:rFonts w:ascii="仿宋" w:eastAsia="仿宋" w:hAnsi="仿宋" w:hint="eastAsia"/>
          <w:sz w:val="24"/>
        </w:rPr>
        <w:t>：</w:t>
      </w:r>
      <w:r w:rsidRPr="000D0E68">
        <w:rPr>
          <w:rFonts w:ascii="仿宋" w:eastAsia="仿宋" w:hAnsi="仿宋" w:hint="eastAsia"/>
          <w:sz w:val="24"/>
        </w:rPr>
        <w:t>请正确、清晰填写办理此次外债签约登记申请的联系人及联系电话，如联系人或联系电话发生变化，请及时拨打021-58845265告知。</w:t>
      </w:r>
    </w:p>
    <w:p w:rsidR="00000000" w:rsidRDefault="003D152E" w:rsidP="003D152E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085ED9">
        <w:rPr>
          <w:rFonts w:ascii="仿宋" w:eastAsia="仿宋" w:hAnsi="仿宋" w:hint="eastAsia"/>
          <w:sz w:val="24"/>
        </w:rPr>
        <w:t>其他项须按</w:t>
      </w:r>
      <w:r w:rsidRPr="000D0E68">
        <w:rPr>
          <w:rFonts w:ascii="仿宋" w:eastAsia="仿宋" w:hAnsi="仿宋" w:hint="eastAsia"/>
          <w:sz w:val="24"/>
        </w:rPr>
        <w:t>《外债合同》</w:t>
      </w:r>
      <w:r w:rsidRPr="00085ED9">
        <w:rPr>
          <w:rFonts w:ascii="仿宋" w:eastAsia="仿宋" w:hAnsi="仿宋" w:hint="eastAsia"/>
          <w:sz w:val="24"/>
        </w:rPr>
        <w:t>如实填选，不得遗漏或错选。</w:t>
      </w:r>
    </w:p>
    <w:p w:rsidR="003D152E" w:rsidRDefault="003D152E" w:rsidP="003D152E"/>
    <w:p w:rsidR="003D152E" w:rsidRDefault="003D152E">
      <w:pPr>
        <w:widowControl/>
        <w:jc w:val="left"/>
      </w:pPr>
      <w:r>
        <w:br w:type="page"/>
      </w:r>
    </w:p>
    <w:p w:rsidR="003D152E" w:rsidRDefault="003D152E" w:rsidP="003D152E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7492193"/>
      <w:bookmarkStart w:id="1" w:name="_Toc485028274"/>
      <w:bookmarkStart w:id="2" w:name="_Toc492328435"/>
      <w:bookmarkStart w:id="3" w:name="_Toc498936917"/>
      <w:r w:rsidRPr="00B72EAB">
        <w:rPr>
          <w:rFonts w:ascii="Times New Roman" w:hAnsi="Times New Roman" w:hint="eastAsia"/>
          <w:b/>
          <w:sz w:val="28"/>
          <w:szCs w:val="28"/>
        </w:rPr>
        <w:lastRenderedPageBreak/>
        <w:t>宏观审慎跨境融资风险加权余额情况表（企业版）</w:t>
      </w:r>
      <w:bookmarkEnd w:id="0"/>
      <w:bookmarkEnd w:id="1"/>
      <w:bookmarkEnd w:id="2"/>
      <w:bookmarkEnd w:id="3"/>
      <w:r>
        <w:rPr>
          <w:rFonts w:ascii="Times New Roman" w:hAnsi="Times New Roman" w:hint="eastAsia"/>
          <w:b/>
          <w:sz w:val="28"/>
          <w:szCs w:val="28"/>
        </w:rPr>
        <w:t>—填写说明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3D152E" w:rsidRPr="00CC6637" w:rsidRDefault="003D152E" w:rsidP="003D152E">
      <w:pPr>
        <w:widowControl/>
        <w:spacing w:line="360" w:lineRule="auto"/>
        <w:ind w:firstLineChars="200" w:firstLine="480"/>
        <w:jc w:val="center"/>
        <w:rPr>
          <w:rFonts w:asciiTheme="minorEastAsia" w:hAnsiTheme="minorEastAsia"/>
          <w:b/>
          <w:sz w:val="24"/>
          <w:szCs w:val="24"/>
        </w:rPr>
      </w:pPr>
      <w:r w:rsidRPr="00CC6637">
        <w:rPr>
          <w:rFonts w:asciiTheme="minorEastAsia" w:hAnsiTheme="minorEastAsia"/>
          <w:sz w:val="24"/>
          <w:szCs w:val="24"/>
        </w:rPr>
        <w:t xml:space="preserve">年  月  日              </w:t>
      </w:r>
      <w:r>
        <w:rPr>
          <w:rFonts w:asciiTheme="minorEastAsia" w:hAnsiTheme="minorEastAsia"/>
          <w:sz w:val="24"/>
          <w:szCs w:val="24"/>
        </w:rPr>
        <w:t xml:space="preserve">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34E62">
        <w:rPr>
          <w:rFonts w:asciiTheme="minorEastAsia" w:hAnsiTheme="minorEastAsia"/>
          <w:b/>
          <w:sz w:val="24"/>
          <w:szCs w:val="24"/>
        </w:rPr>
        <w:t>单位：万元人民币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09"/>
        <w:gridCol w:w="1559"/>
        <w:gridCol w:w="1575"/>
        <w:gridCol w:w="268"/>
        <w:gridCol w:w="1592"/>
        <w:gridCol w:w="47"/>
        <w:gridCol w:w="23"/>
        <w:gridCol w:w="1790"/>
      </w:tblGrid>
      <w:tr w:rsidR="003D152E" w:rsidTr="00327544">
        <w:trPr>
          <w:trHeight w:val="541"/>
        </w:trPr>
        <w:tc>
          <w:tcPr>
            <w:tcW w:w="959" w:type="dxa"/>
            <w:vMerge w:val="restart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72EAB">
              <w:rPr>
                <w:rFonts w:ascii="宋体" w:hAnsi="宋体"/>
                <w:sz w:val="24"/>
              </w:rPr>
              <w:t>基本信息</w:t>
            </w: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债务人名称</w:t>
            </w:r>
          </w:p>
        </w:tc>
        <w:tc>
          <w:tcPr>
            <w:tcW w:w="5295" w:type="dxa"/>
            <w:gridSpan w:val="6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152E" w:rsidTr="00327544">
        <w:trPr>
          <w:trHeight w:val="556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组织机构代码/统一社会信用代码</w:t>
            </w:r>
          </w:p>
        </w:tc>
        <w:tc>
          <w:tcPr>
            <w:tcW w:w="1575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债务人类型</w:t>
            </w:r>
          </w:p>
        </w:tc>
        <w:tc>
          <w:tcPr>
            <w:tcW w:w="1860" w:type="dxa"/>
            <w:gridSpan w:val="3"/>
            <w:vAlign w:val="center"/>
          </w:tcPr>
          <w:p w:rsidR="003D152E" w:rsidRPr="00CC6637" w:rsidRDefault="003D152E" w:rsidP="00327544">
            <w:pPr>
              <w:spacing w:line="320" w:lineRule="exact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注：填写</w:t>
            </w:r>
            <w:r w:rsidRPr="00CC6637">
              <w:rPr>
                <w:rFonts w:ascii="华文楷体" w:eastAsia="华文楷体" w:hAnsi="华文楷体" w:hint="eastAsia"/>
                <w:sz w:val="24"/>
              </w:rPr>
              <w:t>中资/外资企业</w:t>
            </w:r>
          </w:p>
        </w:tc>
      </w:tr>
      <w:tr w:rsidR="003D152E" w:rsidTr="00327544">
        <w:trPr>
          <w:trHeight w:val="564"/>
        </w:trPr>
        <w:tc>
          <w:tcPr>
            <w:tcW w:w="959" w:type="dxa"/>
            <w:vMerge w:val="restart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</w:t>
            </w: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净资产</w:t>
            </w:r>
          </w:p>
        </w:tc>
        <w:tc>
          <w:tcPr>
            <w:tcW w:w="5295" w:type="dxa"/>
            <w:gridSpan w:val="6"/>
            <w:vAlign w:val="center"/>
          </w:tcPr>
          <w:p w:rsidR="003D152E" w:rsidRDefault="003D152E" w:rsidP="0032754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C34E62">
              <w:rPr>
                <w:rFonts w:ascii="华文楷体" w:eastAsia="华文楷体" w:hAnsi="华文楷体" w:hint="eastAsia"/>
                <w:sz w:val="22"/>
              </w:rPr>
              <w:t>注：</w:t>
            </w:r>
            <w:r>
              <w:rPr>
                <w:rFonts w:ascii="华文楷体" w:eastAsia="华文楷体" w:hAnsi="华文楷体" w:hint="eastAsia"/>
                <w:sz w:val="22"/>
              </w:rPr>
              <w:t>填写</w:t>
            </w:r>
            <w:r w:rsidRPr="00C34E62">
              <w:rPr>
                <w:rFonts w:ascii="华文楷体" w:eastAsia="华文楷体" w:hAnsi="华文楷体" w:hint="eastAsia"/>
                <w:sz w:val="22"/>
              </w:rPr>
              <w:t>上年度或最近一期经审计财务报告中的“净资产”（或称“所有者权益”），审计报告中有合并和单体财务报表的，请填写债务人单体报表中数值。</w:t>
            </w:r>
          </w:p>
        </w:tc>
      </w:tr>
      <w:tr w:rsidR="003D152E" w:rsidTr="00327544">
        <w:trPr>
          <w:trHeight w:val="704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风险加权余额</w:t>
            </w:r>
          </w:p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上限</w:t>
            </w:r>
            <w:r>
              <w:rPr>
                <w:rFonts w:ascii="宋体" w:hAnsi="宋体" w:hint="eastAsia"/>
                <w:sz w:val="24"/>
              </w:rPr>
              <w:t>（A）</w:t>
            </w:r>
          </w:p>
        </w:tc>
        <w:tc>
          <w:tcPr>
            <w:tcW w:w="5295" w:type="dxa"/>
            <w:gridSpan w:val="6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注：填写</w:t>
            </w:r>
            <w:r w:rsidRPr="00CC6637">
              <w:rPr>
                <w:rFonts w:ascii="华文楷体" w:eastAsia="华文楷体" w:hAnsi="华文楷体" w:hint="eastAsia"/>
                <w:sz w:val="24"/>
              </w:rPr>
              <w:t>净资产×2.5</w:t>
            </w:r>
            <w:r>
              <w:rPr>
                <w:rFonts w:ascii="华文楷体" w:eastAsia="华文楷体" w:hAnsi="华文楷体" w:hint="eastAsia"/>
                <w:sz w:val="24"/>
              </w:rPr>
              <w:t>相应的数值</w:t>
            </w:r>
          </w:p>
        </w:tc>
      </w:tr>
      <w:tr w:rsidR="003D152E" w:rsidTr="00327544">
        <w:trPr>
          <w:trHeight w:val="502"/>
        </w:trPr>
        <w:tc>
          <w:tcPr>
            <w:tcW w:w="959" w:type="dxa"/>
            <w:vMerge w:val="restart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</w:t>
            </w: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</w:t>
            </w: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</w:t>
            </w:r>
          </w:p>
        </w:tc>
      </w:tr>
      <w:tr w:rsidR="003D152E" w:rsidTr="00327544">
        <w:trPr>
          <w:trHeight w:val="582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余额</w:t>
            </w: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</w:t>
            </w: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</w:t>
            </w:r>
          </w:p>
        </w:tc>
      </w:tr>
      <w:tr w:rsidR="003D152E" w:rsidTr="00327544">
        <w:trPr>
          <w:trHeight w:val="565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本笔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签约额</w:t>
            </w: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④</w:t>
            </w: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⑤</w:t>
            </w: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⑥</w:t>
            </w:r>
          </w:p>
        </w:tc>
      </w:tr>
      <w:tr w:rsidR="003D152E" w:rsidTr="00327544">
        <w:trPr>
          <w:trHeight w:val="684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不纳入计算的业务类型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中长期余额</w:t>
            </w: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短期余额</w:t>
            </w: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外币余额</w:t>
            </w:r>
          </w:p>
        </w:tc>
      </w:tr>
      <w:tr w:rsidR="003D152E" w:rsidTr="00327544">
        <w:trPr>
          <w:trHeight w:val="411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熊猫债</w:t>
            </w: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152E" w:rsidTr="00327544">
        <w:trPr>
          <w:trHeight w:val="416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152E" w:rsidTr="00327544">
        <w:trPr>
          <w:trHeight w:val="409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152E" w:rsidTr="00327544">
        <w:trPr>
          <w:trHeight w:val="568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纳入计算的</w:t>
            </w:r>
            <w:r>
              <w:rPr>
                <w:rFonts w:ascii="宋体" w:hAnsi="宋体"/>
                <w:sz w:val="24"/>
              </w:rPr>
              <w:t>余额</w:t>
            </w: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①＋④</w:t>
            </w:r>
          </w:p>
        </w:tc>
        <w:tc>
          <w:tcPr>
            <w:tcW w:w="1662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②＋⑤</w:t>
            </w:r>
          </w:p>
        </w:tc>
        <w:tc>
          <w:tcPr>
            <w:tcW w:w="1790" w:type="dxa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③＋⑥</w:t>
            </w:r>
          </w:p>
        </w:tc>
      </w:tr>
      <w:tr w:rsidR="003D152E" w:rsidTr="00327544">
        <w:trPr>
          <w:trHeight w:val="704"/>
        </w:trPr>
        <w:tc>
          <w:tcPr>
            <w:tcW w:w="959" w:type="dxa"/>
            <w:vMerge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  <w:r>
              <w:rPr>
                <w:rFonts w:ascii="宋体" w:hAnsi="宋体" w:hint="eastAsia"/>
                <w:sz w:val="24"/>
              </w:rPr>
              <w:t>（B）</w:t>
            </w:r>
          </w:p>
        </w:tc>
        <w:tc>
          <w:tcPr>
            <w:tcW w:w="5295" w:type="dxa"/>
            <w:gridSpan w:val="6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(①＋④)×1＋(②＋⑤)×1.5＋(③＋⑥)×0.5</w:t>
            </w:r>
          </w:p>
        </w:tc>
      </w:tr>
      <w:tr w:rsidR="003D152E" w:rsidTr="00327544">
        <w:trPr>
          <w:trHeight w:val="668"/>
        </w:trPr>
        <w:tc>
          <w:tcPr>
            <w:tcW w:w="3227" w:type="dxa"/>
            <w:gridSpan w:val="3"/>
            <w:vAlign w:val="center"/>
          </w:tcPr>
          <w:p w:rsidR="003D152E" w:rsidRDefault="003D152E" w:rsidP="0032754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风险加权余额上限与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风险加权余额之差额</w:t>
            </w:r>
            <w:r>
              <w:rPr>
                <w:rFonts w:ascii="宋体" w:hAnsi="宋体" w:hint="eastAsia"/>
                <w:sz w:val="24"/>
              </w:rPr>
              <w:t>（A-B）</w:t>
            </w:r>
          </w:p>
        </w:tc>
        <w:tc>
          <w:tcPr>
            <w:tcW w:w="184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注：</w:t>
            </w:r>
            <w:r w:rsidRPr="00CC6637">
              <w:rPr>
                <w:rFonts w:ascii="华文楷体" w:eastAsia="华文楷体" w:hAnsi="华文楷体" w:hint="eastAsia"/>
                <w:sz w:val="24"/>
              </w:rPr>
              <w:t>只有差额大于0才可以借入本笔外债</w:t>
            </w:r>
          </w:p>
        </w:tc>
        <w:tc>
          <w:tcPr>
            <w:tcW w:w="1639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是否超上限</w:t>
            </w:r>
          </w:p>
        </w:tc>
        <w:tc>
          <w:tcPr>
            <w:tcW w:w="1813" w:type="dxa"/>
            <w:gridSpan w:val="2"/>
            <w:vAlign w:val="center"/>
          </w:tcPr>
          <w:p w:rsidR="003D152E" w:rsidRDefault="003D152E" w:rsidP="0032754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是（ ）否（ ）</w:t>
            </w:r>
          </w:p>
        </w:tc>
      </w:tr>
      <w:tr w:rsidR="003D152E" w:rsidTr="00327544">
        <w:trPr>
          <w:trHeight w:val="1023"/>
        </w:trPr>
        <w:tc>
          <w:tcPr>
            <w:tcW w:w="8522" w:type="dxa"/>
            <w:gridSpan w:val="9"/>
            <w:vAlign w:val="center"/>
          </w:tcPr>
          <w:p w:rsidR="003D152E" w:rsidRDefault="003D152E" w:rsidP="00327544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以上信息真实有效，本机构将严格按照相关规定认真履行相关职责，并及时准确地报送相关信息。                                 （公章）            </w:t>
            </w:r>
          </w:p>
        </w:tc>
      </w:tr>
    </w:tbl>
    <w:p w:rsidR="003D152E" w:rsidRDefault="003D152E" w:rsidP="003D152E">
      <w:pPr>
        <w:rPr>
          <w:rFonts w:hint="eastAsia"/>
        </w:rPr>
      </w:pPr>
    </w:p>
    <w:p w:rsidR="003D152E" w:rsidRPr="003D152E" w:rsidRDefault="003D152E" w:rsidP="003D152E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</w:rPr>
      </w:pPr>
      <w:r w:rsidRPr="003D152E">
        <w:rPr>
          <w:rFonts w:ascii="仿宋" w:eastAsia="仿宋" w:hAnsi="仿宋" w:hint="eastAsia"/>
          <w:sz w:val="28"/>
        </w:rPr>
        <w:t>注意事项：</w:t>
      </w:r>
    </w:p>
    <w:p w:rsidR="003D152E" w:rsidRDefault="003D152E" w:rsidP="003D152E">
      <w:pPr>
        <w:pStyle w:val="a5"/>
        <w:widowControl/>
        <w:spacing w:line="360" w:lineRule="auto"/>
        <w:ind w:firstLine="480"/>
        <w:jc w:val="left"/>
        <w:rPr>
          <w:rFonts w:ascii="仿宋" w:eastAsia="仿宋" w:hAnsi="仿宋" w:hint="eastAsia"/>
          <w:sz w:val="24"/>
          <w:szCs w:val="24"/>
        </w:rPr>
      </w:pPr>
      <w:r w:rsidRPr="003D152E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</w:rPr>
        <w:t>所有选择宏观审慎</w:t>
      </w:r>
      <w:r w:rsidRPr="000D0E68">
        <w:rPr>
          <w:rFonts w:ascii="仿宋" w:eastAsia="仿宋" w:hAnsi="仿宋" w:hint="eastAsia"/>
          <w:sz w:val="24"/>
        </w:rPr>
        <w:t>模式借入外债的，请如实、完整填写《宏观审慎跨境融资风险加权余额情况表（企业版）》，并自行判断是否有足够额度借入本笔外债。</w:t>
      </w:r>
    </w:p>
    <w:p w:rsidR="003D152E" w:rsidRPr="003D152E" w:rsidRDefault="003D152E" w:rsidP="003D152E">
      <w:pPr>
        <w:pStyle w:val="a5"/>
        <w:widowControl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3D152E">
        <w:rPr>
          <w:rFonts w:ascii="仿宋" w:eastAsia="仿宋" w:hAnsi="仿宋" w:hint="eastAsia"/>
          <w:sz w:val="24"/>
          <w:szCs w:val="24"/>
        </w:rPr>
        <w:t>2.</w:t>
      </w:r>
      <w:r w:rsidRPr="003D152E">
        <w:rPr>
          <w:rFonts w:ascii="仿宋" w:eastAsia="仿宋" w:hAnsi="仿宋" w:hint="eastAsia"/>
          <w:b/>
          <w:sz w:val="24"/>
          <w:szCs w:val="24"/>
        </w:rPr>
        <w:t>表中所有数字单位为“万元人民币”</w:t>
      </w:r>
      <w:r w:rsidRPr="003D152E">
        <w:rPr>
          <w:rFonts w:ascii="仿宋" w:eastAsia="仿宋" w:hAnsi="仿宋" w:hint="eastAsia"/>
          <w:sz w:val="24"/>
          <w:szCs w:val="24"/>
        </w:rPr>
        <w:t>，每笔外币外债应按</w:t>
      </w:r>
      <w:r w:rsidRPr="003D152E">
        <w:rPr>
          <w:rFonts w:ascii="仿宋" w:eastAsia="仿宋" w:hAnsi="仿宋" w:hint="eastAsia"/>
          <w:b/>
          <w:sz w:val="24"/>
          <w:szCs w:val="24"/>
        </w:rPr>
        <w:t>合同签约当日</w:t>
      </w:r>
      <w:r w:rsidRPr="003D152E">
        <w:rPr>
          <w:rFonts w:ascii="仿宋" w:eastAsia="仿宋" w:hAnsi="仿宋" w:hint="eastAsia"/>
          <w:sz w:val="24"/>
          <w:szCs w:val="24"/>
        </w:rPr>
        <w:t>的人民币汇率中间价折算成人民币金额，填入表中①至⑥格中。</w:t>
      </w:r>
    </w:p>
    <w:p w:rsidR="003D152E" w:rsidRPr="003D152E" w:rsidRDefault="003D152E" w:rsidP="003D152E">
      <w:pPr>
        <w:pStyle w:val="a5"/>
        <w:widowControl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3.</w:t>
      </w:r>
      <w:r w:rsidRPr="003D152E">
        <w:rPr>
          <w:rFonts w:ascii="仿宋" w:eastAsia="仿宋" w:hAnsi="仿宋" w:hint="eastAsia"/>
          <w:sz w:val="24"/>
          <w:szCs w:val="24"/>
        </w:rPr>
        <w:t>中长期外债：借款期限超过一年（不含一年）且不含提前还款条款的外债，或借款期限超过一年（不含一年）且明确合同签约满一年后方可提前还款的外债。相应人民币数值应填入表中①或④。</w:t>
      </w:r>
    </w:p>
    <w:p w:rsidR="003D152E" w:rsidRPr="003D152E" w:rsidRDefault="003D152E" w:rsidP="003D152E">
      <w:pPr>
        <w:pStyle w:val="a5"/>
        <w:widowControl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Pr="003D152E">
        <w:rPr>
          <w:rFonts w:ascii="仿宋" w:eastAsia="仿宋" w:hAnsi="仿宋" w:hint="eastAsia"/>
          <w:sz w:val="24"/>
          <w:szCs w:val="24"/>
        </w:rPr>
        <w:t>短期外债：借款期限为一年（含一年）以内的外债，或借款期限超过一年（不含一年）但可随时提前还款的外债。相应人民币数值应填入表中②或⑤。</w:t>
      </w:r>
    </w:p>
    <w:p w:rsidR="003D152E" w:rsidRPr="003D152E" w:rsidRDefault="003D152E" w:rsidP="003D152E">
      <w:pPr>
        <w:pStyle w:val="a5"/>
        <w:spacing w:line="360" w:lineRule="auto"/>
        <w:ind w:firstLine="480"/>
      </w:pPr>
      <w:r>
        <w:rPr>
          <w:rFonts w:ascii="仿宋" w:eastAsia="仿宋" w:hAnsi="仿宋" w:hint="eastAsia"/>
          <w:sz w:val="24"/>
          <w:szCs w:val="24"/>
        </w:rPr>
        <w:t>5.</w:t>
      </w:r>
      <w:r w:rsidRPr="000D0E68">
        <w:rPr>
          <w:rFonts w:ascii="仿宋" w:eastAsia="仿宋" w:hAnsi="仿宋" w:hint="eastAsia"/>
          <w:sz w:val="24"/>
          <w:szCs w:val="24"/>
        </w:rPr>
        <w:t>外币外债：签约币种为人民币以外的外债。相应人民币数值应填入表中③或⑥。</w:t>
      </w:r>
    </w:p>
    <w:sectPr w:rsidR="003D152E" w:rsidRPr="003D1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F4" w:rsidRDefault="006300F4" w:rsidP="003D152E">
      <w:pPr>
        <w:ind w:firstLine="420"/>
      </w:pPr>
      <w:r>
        <w:separator/>
      </w:r>
    </w:p>
  </w:endnote>
  <w:endnote w:type="continuationSeparator" w:id="1">
    <w:p w:rsidR="006300F4" w:rsidRDefault="006300F4" w:rsidP="003D152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F4" w:rsidRDefault="006300F4" w:rsidP="003D152E">
      <w:pPr>
        <w:ind w:firstLine="420"/>
      </w:pPr>
      <w:r>
        <w:separator/>
      </w:r>
    </w:p>
  </w:footnote>
  <w:footnote w:type="continuationSeparator" w:id="1">
    <w:p w:rsidR="006300F4" w:rsidRDefault="006300F4" w:rsidP="003D152E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CE0"/>
    <w:multiLevelType w:val="hybridMultilevel"/>
    <w:tmpl w:val="0D1685EC"/>
    <w:lvl w:ilvl="0" w:tplc="F84AE1C0">
      <w:start w:val="1"/>
      <w:numFmt w:val="bullet"/>
      <w:lvlText w:val="※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2E"/>
    <w:rsid w:val="003D152E"/>
    <w:rsid w:val="0063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52E"/>
    <w:rPr>
      <w:sz w:val="18"/>
      <w:szCs w:val="18"/>
    </w:rPr>
  </w:style>
  <w:style w:type="paragraph" w:styleId="a5">
    <w:name w:val="List Paragraph"/>
    <w:basedOn w:val="a"/>
    <w:uiPriority w:val="34"/>
    <w:qFormat/>
    <w:rsid w:val="003D152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D152E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3D15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2020-07-01T07:39:00Z</dcterms:created>
  <dcterms:modified xsi:type="dcterms:W3CDTF">2020-07-01T07:48:00Z</dcterms:modified>
</cp:coreProperties>
</file>