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hint="eastAsia" w:ascii="Times New Roman" w:hAnsi="Times New Roman" w:eastAsia="黑体" w:cs="Times New Roman"/>
          <w:sz w:val="52"/>
          <w:szCs w:val="52"/>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境外机构在境内发行股票或中国存托凭证登记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outlineLvl w:val="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境内主承销商（或境内相关代理机构）可通过境外发行人上市境内证券交易所国家外汇管理局</w:t>
      </w:r>
      <w:r>
        <w:rPr>
          <w:rFonts w:hint="eastAsia" w:ascii="Times New Roman" w:hAnsi="Times New Roman" w:eastAsia="仿宋_GB2312" w:cs="Times New Roman"/>
          <w:sz w:val="30"/>
          <w:szCs w:val="30"/>
          <w:lang w:eastAsia="zh-CN"/>
        </w:rPr>
        <w:t>陕西省</w:t>
      </w:r>
      <w:r>
        <w:rPr>
          <w:rFonts w:ascii="Times New Roman" w:hAnsi="Times New Roman" w:eastAsia="仿宋_GB2312" w:cs="Times New Roman"/>
          <w:sz w:val="30"/>
          <w:szCs w:val="30"/>
        </w:rPr>
        <w:t>分局业务窗口提交材料。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6" style="position:absolute;left:0;margin-left:-21pt;margin-top:14.85pt;height:586.05pt;width:455.05pt;rotation:0f;z-index:251658240;"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06E573E1"/>
    <w:rsid w:val="07F914A3"/>
    <w:rsid w:val="0B952B8D"/>
    <w:rsid w:val="0E041A0C"/>
    <w:rsid w:val="17F21C58"/>
    <w:rsid w:val="257F7D90"/>
    <w:rsid w:val="29747D10"/>
    <w:rsid w:val="3B8C3CD0"/>
    <w:rsid w:val="3BCB4B28"/>
    <w:rsid w:val="3BD31F34"/>
    <w:rsid w:val="44F04FF1"/>
    <w:rsid w:val="4FBC1492"/>
    <w:rsid w:val="52DD292A"/>
    <w:rsid w:val="530B6A56"/>
    <w:rsid w:val="530E46F1"/>
    <w:rsid w:val="5955311B"/>
    <w:rsid w:val="63B24C9F"/>
    <w:rsid w:val="66360241"/>
    <w:rsid w:val="67B1772D"/>
    <w:rsid w:val="683E4302"/>
    <w:rsid w:val="6C14445E"/>
    <w:rsid w:val="707126CB"/>
    <w:rsid w:val="70761190"/>
    <w:rsid w:val="718012FF"/>
    <w:rsid w:val="72334BFA"/>
    <w:rsid w:val="76706ED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陈炅炜</cp:lastModifiedBy>
  <cp:lastPrinted>2020-05-15T03:40:00Z</cp:lastPrinted>
  <dcterms:modified xsi:type="dcterms:W3CDTF">2023-08-18T03:01:57Z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