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外保内贷境外担保履约款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Times New Roman" w:hAnsi="Times New Roman" w:eastAsia="黑体" w:cs="Times New Roman"/>
          <w:sz w:val="52"/>
          <w:szCs w:val="52"/>
        </w:rPr>
        <w:t>结汇核准</w:t>
      </w:r>
      <w:r>
        <w:rPr>
          <w:rFonts w:ascii="Times New Roman" w:hAnsi="Times New Roman" w:eastAsia="黑体" w:cs="Times New Roman"/>
          <w:sz w:val="52"/>
          <w:szCs w:val="52"/>
        </w:rPr>
        <w:t>” 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国家外汇管理局陕西省分局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书面申请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包括债务人相关外债登记办理情况、结汇（或购汇）资金来源等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业务窗口提交材料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150558；029-88150690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网址：</w:t>
      </w:r>
      <w:r>
        <w:rPr>
          <w:rFonts w:ascii="Calibri" w:hAnsi="Calibri" w:eastAsia="宋体" w:cs="黑体"/>
          <w:color w:val="auto"/>
        </w:rPr>
        <w:fldChar w:fldCharType="begin"/>
      </w:r>
      <w:r>
        <w:rPr>
          <w:rFonts w:ascii="Calibri" w:hAnsi="Calibri" w:eastAsia="宋体" w:cs="黑体"/>
          <w:color w:val="auto"/>
        </w:rPr>
        <w:instrText xml:space="preserve"> HYPERLINK "http://www.safe.gov.cn" </w:instrText>
      </w:r>
      <w:r>
        <w:rPr>
          <w:rFonts w:ascii="Calibri" w:hAnsi="Calibri" w:eastAsia="宋体" w:cs="黑体"/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0"/>
        </w:rPr>
        <w:t>www.safe.gov.cn</w:t>
      </w:r>
      <w:r>
        <w:rPr>
          <w:rFonts w:ascii="Times New Roman" w:hAnsi="Times New Roman" w:eastAsia="仿宋_GB2312" w:cs="Times New Roman"/>
          <w:color w:val="auto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（十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）办公地址和时间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办公地址：西安市高新路49号，中国人民银行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陕西省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分行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908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房间。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办公时间：工作日8:30-11:30,13:30-17:00。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Group 1360" o:spid="_x0000_s1026" style="position:absolute;left:0;margin-left:-11.45pt;margin-top:30.8pt;height:586.05pt;width:446.05pt;rotation:0f;z-index:251658240;" coordorigin="0,0" coordsize="8921,11721">
            <o:lock v:ext="edit" position="f" selection="f" grouping="f" rotation="f" cropping="f" text="f" aspectratio="f"/>
            <v:rect id="Rectangle 1361" o:spid="_x0000_s1027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0" type="#_x0000_t32" style="position:absolute;left:4382;top:7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5" o:spid="_x0000_s1031" type="#_x0000_t32" style="position:absolute;left:6331;top:9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6" o:spid="_x0000_s1032" type="#_x0000_t32" style="position:absolute;left:2358;top:9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7" o:spid="_x0000_s1033" type="#_x0000_t32" style="position:absolute;left:4383;top:8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68" o:spid="_x0000_s1034" type="#_x0000_t32" style="position:absolute;left:2359;top:9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369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370" o:spid="_x0000_s1036" type="#_x0000_t32" style="position:absolute;left:5893;top:6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71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372" o:spid="_x0000_s1038" type="#_x0000_t34" style="position:absolute;left:6366;top:3154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373" o:spid="_x0000_s1039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0" type="#_x0000_t32" style="position:absolute;left:5893;top:4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375" o:spid="_x0000_s1041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3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4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381" o:spid="_x0000_s1047" type="#_x0000_t32" style="position:absolute;left:3663;top:3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2" o:spid="_x0000_s1048" type="#_x0000_t32" style="position:absolute;left:1355;top:3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1383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384" o:spid="_x0000_s1050" type="#_x0000_t32" style="position:absolute;left:1396;top:1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5" o:spid="_x0000_s1051" type="#_x0000_t32" style="position:absolute;left:2400;top:2967;height:0;width:1229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6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4" type="#_x0000_t32" style="position:absolute;left:1355;top:7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9" o:spid="_x0000_s1055" type="#_x0000_t32" style="position:absolute;left:3663;top:1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90" o:spid="_x0000_s1056" type="#_x0000_t32" style="position:absolute;left:3663;top:1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391" o:spid="_x0000_s1057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8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59" type="#_x0000_t32" style="position:absolute;left:7384;top:1886;flip:x;height:0;width:1537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0AEA14AF"/>
    <w:rsid w:val="14CD20AD"/>
    <w:rsid w:val="19A944F4"/>
    <w:rsid w:val="1FAB6DB3"/>
    <w:rsid w:val="283A348C"/>
    <w:rsid w:val="35AC681C"/>
    <w:rsid w:val="519669E8"/>
    <w:rsid w:val="555C5711"/>
    <w:rsid w:val="5AE73D95"/>
    <w:rsid w:val="5C33523A"/>
    <w:rsid w:val="7F2870A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1364"/>
        <o:r id="V:Rule2" type="connector" idref="#AutoShape 1365"/>
        <o:r id="V:Rule3" type="connector" idref="#AutoShape 1366"/>
        <o:r id="V:Rule4" type="connector" idref="#AutoShape 1367"/>
        <o:r id="V:Rule5" type="connector" idref="#AutoShape 1368"/>
        <o:r id="V:Rule6" type="connector" idref="#AutoShape 1370"/>
        <o:r id="V:Rule7" type="connector" idref="#AutoShape 1372"/>
        <o:r id="V:Rule8" type="connector" idref="#AutoShape 1374"/>
        <o:r id="V:Rule9" type="connector" idref="#AutoShape 1381"/>
        <o:r id="V:Rule10" type="connector" idref="#AutoShape 1382"/>
        <o:r id="V:Rule11" type="connector" idref="#AutoShape 1384"/>
        <o:r id="V:Rule12" type="connector" idref="#AutoShape 1385"/>
        <o:r id="V:Rule13" type="connector" idref="#AutoShape 1388"/>
        <o:r id="V:Rule14" type="connector" idref="#AutoShape 1389"/>
        <o:r id="V:Rule15" type="connector" idref="#AutoShape 1390"/>
        <o:r id="V:Rule16" type="connector" idref="#AutoShape 139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陈炅炜</cp:lastModifiedBy>
  <cp:lastPrinted>2020-07-02T09:03:00Z</cp:lastPrinted>
  <dcterms:modified xsi:type="dcterms:W3CDTF">2023-08-18T07:58:42Z</dcterms:modified>
  <dc:title>编号：57012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