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ind w:left="0"/>
        <w:rPr>
          <w:rFonts w:ascii="Times New Roman" w:hAnsi="Times New Roman" w:cs="Times New Roman"/>
          <w:sz w:val="20"/>
        </w:rPr>
      </w:pPr>
    </w:p>
    <w:p>
      <w:pPr>
        <w:pStyle w:val="4"/>
        <w:ind w:left="0"/>
        <w:rPr>
          <w:rFonts w:ascii="Times New Roman" w:hAnsi="Times New Roman" w:cs="Times New Roman"/>
          <w:sz w:val="20"/>
        </w:rPr>
      </w:pPr>
    </w:p>
    <w:p>
      <w:pPr>
        <w:pStyle w:val="4"/>
        <w:ind w:left="0"/>
        <w:rPr>
          <w:rFonts w:ascii="Times New Roman" w:hAnsi="Times New Roman" w:cs="Times New Roman"/>
          <w:sz w:val="20"/>
        </w:rPr>
      </w:pPr>
    </w:p>
    <w:p>
      <w:pPr>
        <w:pStyle w:val="4"/>
        <w:ind w:left="0"/>
        <w:rPr>
          <w:rFonts w:ascii="Times New Roman" w:hAnsi="Times New Roman" w:eastAsia="宋体" w:cs="Times New Roman"/>
          <w:sz w:val="20"/>
        </w:rPr>
      </w:pPr>
    </w:p>
    <w:p>
      <w:pPr>
        <w:pStyle w:val="4"/>
        <w:ind w:left="0"/>
        <w:rPr>
          <w:rFonts w:ascii="Times New Roman" w:hAnsi="Times New Roman" w:cs="Times New Roman"/>
          <w:sz w:val="20"/>
        </w:rPr>
      </w:pPr>
    </w:p>
    <w:p>
      <w:pPr>
        <w:pStyle w:val="4"/>
        <w:ind w:left="0"/>
        <w:rPr>
          <w:rFonts w:ascii="Times New Roman" w:hAnsi="Times New Roman" w:cs="Times New Roman"/>
          <w:sz w:val="20"/>
        </w:rPr>
      </w:pPr>
    </w:p>
    <w:p>
      <w:pPr>
        <w:pStyle w:val="4"/>
        <w:ind w:left="0"/>
        <w:rPr>
          <w:rFonts w:ascii="Times New Roman" w:hAnsi="Times New Roman" w:cs="Times New Roman"/>
          <w:sz w:val="20"/>
        </w:rPr>
      </w:pPr>
    </w:p>
    <w:p>
      <w:pPr>
        <w:pStyle w:val="4"/>
        <w:spacing w:before="4"/>
        <w:ind w:left="0"/>
        <w:rPr>
          <w:rFonts w:ascii="Times New Roman" w:hAnsi="Times New Roman" w:cs="Times New Roman"/>
          <w:sz w:val="26"/>
        </w:rPr>
      </w:pPr>
    </w:p>
    <w:p>
      <w:pPr>
        <w:spacing w:before="45" w:line="336" w:lineRule="auto"/>
        <w:ind w:left="735" w:right="692"/>
        <w:jc w:val="center"/>
        <w:rPr>
          <w:rFonts w:ascii="Times New Roman" w:hAnsi="Times New Roman" w:eastAsia="黑体" w:cs="Times New Roman"/>
          <w:sz w:val="52"/>
        </w:rPr>
      </w:pPr>
      <w:r>
        <w:rPr>
          <w:rFonts w:ascii="Times New Roman" w:hAnsi="黑体" w:eastAsia="黑体" w:cs="Times New Roman"/>
          <w:sz w:val="52"/>
        </w:rPr>
        <w:t>“</w:t>
      </w:r>
      <w:r>
        <w:rPr>
          <w:rFonts w:hint="eastAsia" w:ascii="Times New Roman" w:hAnsi="黑体" w:eastAsia="黑体" w:cs="Times New Roman"/>
          <w:sz w:val="52"/>
        </w:rPr>
        <w:t>货物贸易外汇收入存放境外外汇账户审批</w:t>
      </w:r>
      <w:r>
        <w:rPr>
          <w:rFonts w:ascii="Times New Roman" w:hAnsi="黑体" w:eastAsia="黑体" w:cs="Times New Roman"/>
          <w:sz w:val="52"/>
        </w:rPr>
        <w:t>”行政审批服务指南</w:t>
      </w: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ind w:left="0"/>
        <w:jc w:val="center"/>
        <w:rPr>
          <w:rFonts w:hint="eastAsia" w:ascii="仿宋_GB2312" w:hAnsi="仿宋_GB2312" w:eastAsia="仿宋_GB2312" w:cs="仿宋_GB2312"/>
          <w:sz w:val="32"/>
          <w:szCs w:val="32"/>
          <w:lang w:eastAsia="zh-CN"/>
        </w:rPr>
      </w:pPr>
    </w:p>
    <w:p>
      <w:pPr>
        <w:pStyle w:val="4"/>
        <w:ind w:left="0"/>
        <w:jc w:val="center"/>
        <w:rPr>
          <w:rFonts w:hint="eastAsia" w:ascii="仿宋_GB2312" w:hAnsi="仿宋_GB2312" w:eastAsia="仿宋_GB2312" w:cs="仿宋_GB2312"/>
          <w:sz w:val="32"/>
          <w:szCs w:val="32"/>
          <w:lang w:eastAsia="zh-CN"/>
        </w:rPr>
      </w:pPr>
    </w:p>
    <w:p>
      <w:pPr>
        <w:pStyle w:val="4"/>
        <w:ind w:left="0"/>
        <w:jc w:val="center"/>
        <w:rPr>
          <w:rFonts w:hint="eastAsia" w:ascii="仿宋_GB2312" w:hAnsi="仿宋_GB2312" w:eastAsia="仿宋_GB2312" w:cs="仿宋_GB2312"/>
          <w:sz w:val="32"/>
          <w:szCs w:val="32"/>
          <w:lang w:eastAsia="zh-CN"/>
        </w:rPr>
      </w:pPr>
    </w:p>
    <w:p>
      <w:pPr>
        <w:pStyle w:val="4"/>
        <w:ind w:left="0"/>
        <w:jc w:val="center"/>
        <w:rPr>
          <w:rFonts w:hint="eastAsia" w:ascii="仿宋_GB2312" w:hAnsi="仿宋_GB2312" w:eastAsia="仿宋_GB2312" w:cs="仿宋_GB2312"/>
          <w:sz w:val="32"/>
          <w:szCs w:val="32"/>
          <w:lang w:eastAsia="zh-CN"/>
        </w:rPr>
      </w:pPr>
    </w:p>
    <w:p>
      <w:pPr>
        <w:pStyle w:val="4"/>
        <w:ind w:left="0"/>
        <w:jc w:val="center"/>
        <w:rPr>
          <w:rFonts w:hint="eastAsia" w:ascii="仿宋_GB2312" w:hAnsi="仿宋_GB2312" w:eastAsia="仿宋_GB2312" w:cs="仿宋_GB2312"/>
          <w:sz w:val="32"/>
          <w:szCs w:val="32"/>
          <w:lang w:eastAsia="zh-CN"/>
        </w:rPr>
      </w:pPr>
    </w:p>
    <w:p>
      <w:pPr>
        <w:pStyle w:val="4"/>
        <w:ind w:left="0"/>
        <w:jc w:val="center"/>
        <w:rPr>
          <w:rFonts w:hint="eastAsia" w:ascii="仿宋_GB2312" w:hAnsi="仿宋_GB2312" w:eastAsia="仿宋_GB2312" w:cs="仿宋_GB2312"/>
          <w:sz w:val="32"/>
          <w:szCs w:val="32"/>
          <w:lang w:eastAsia="zh-CN"/>
        </w:rPr>
      </w:pPr>
    </w:p>
    <w:p>
      <w:pPr>
        <w:pStyle w:val="4"/>
        <w:ind w:left="0"/>
        <w:jc w:val="center"/>
        <w:rPr>
          <w:rFonts w:hint="eastAsia" w:ascii="仿宋_GB2312" w:hAnsi="仿宋_GB2312" w:eastAsia="仿宋_GB2312" w:cs="仿宋_GB2312"/>
          <w:sz w:val="32"/>
          <w:szCs w:val="32"/>
          <w:lang w:eastAsia="zh-CN"/>
        </w:rPr>
      </w:pPr>
    </w:p>
    <w:p>
      <w:pPr>
        <w:pStyle w:val="4"/>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发布机构：国家外汇管理局陕西省分局</w:t>
      </w: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一、项目信息</w:t>
      </w:r>
    </w:p>
    <w:p>
      <w:pPr>
        <w:pStyle w:val="4"/>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项目名称：外汇账户的开立、变更、关闭、撤销以及账户允许保留限额核准；</w:t>
      </w:r>
    </w:p>
    <w:p>
      <w:pPr>
        <w:pStyle w:val="4"/>
        <w:spacing w:line="600" w:lineRule="exact"/>
        <w:ind w:left="1345"/>
        <w:rPr>
          <w:rFonts w:ascii="Times New Roman" w:hAnsi="Times New Roman" w:eastAsia="仿宋_GB2312" w:cs="Times New Roman"/>
        </w:rPr>
      </w:pPr>
      <w:r>
        <w:rPr>
          <w:rFonts w:ascii="Times New Roman" w:hAnsi="Times New Roman" w:eastAsia="仿宋_GB2312" w:cs="Times New Roman"/>
        </w:rPr>
        <w:t>项目编号：57017；</w:t>
      </w:r>
    </w:p>
    <w:p>
      <w:pPr>
        <w:pStyle w:val="4"/>
        <w:spacing w:line="600" w:lineRule="exact"/>
        <w:ind w:left="1345"/>
        <w:rPr>
          <w:rFonts w:ascii="Times New Roman" w:hAnsi="Times New Roman" w:eastAsia="仿宋_GB2312" w:cs="Times New Roman"/>
        </w:rPr>
      </w:pPr>
      <w:r>
        <w:rPr>
          <w:rFonts w:ascii="Times New Roman" w:hAnsi="Times New Roman" w:eastAsia="仿宋_GB2312" w:cs="Times New Roman"/>
        </w:rPr>
        <w:t>审批类别：行政许可。</w:t>
      </w:r>
    </w:p>
    <w:p>
      <w:pPr>
        <w:pStyle w:val="4"/>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二、适用范围</w:t>
      </w:r>
    </w:p>
    <w:p>
      <w:pPr>
        <w:pStyle w:val="4"/>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本指南适用于“外汇账户的开立、变更、关闭、撤销以及账户允许保留限额核准”的申请和办理。</w:t>
      </w:r>
    </w:p>
    <w:p>
      <w:pPr>
        <w:pStyle w:val="4"/>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三、设定依据</w:t>
      </w:r>
    </w:p>
    <w:p>
      <w:pPr>
        <w:pStyle w:val="4"/>
        <w:spacing w:line="600" w:lineRule="exact"/>
        <w:ind w:left="1345"/>
        <w:rPr>
          <w:rFonts w:ascii="Times New Roman" w:hAnsi="Times New Roman" w:eastAsia="仿宋_GB2312" w:cs="Times New Roman"/>
        </w:rPr>
      </w:pPr>
      <w:r>
        <w:rPr>
          <w:rFonts w:ascii="Times New Roman" w:hAnsi="Times New Roman" w:eastAsia="仿宋_GB2312" w:cs="Times New Roman"/>
        </w:rPr>
        <w:t>《国务院对确需保留的行政审批项目设定行政许可的决定》</w:t>
      </w:r>
    </w:p>
    <w:p>
      <w:pPr>
        <w:pStyle w:val="4"/>
        <w:spacing w:line="600" w:lineRule="exact"/>
        <w:ind w:left="760" w:right="417"/>
        <w:jc w:val="both"/>
        <w:rPr>
          <w:rFonts w:ascii="Times New Roman" w:hAnsi="Times New Roman" w:eastAsia="仿宋_GB2312" w:cs="Times New Roman"/>
        </w:rPr>
      </w:pPr>
      <w:r>
        <w:rPr>
          <w:rFonts w:ascii="Times New Roman" w:hAnsi="Times New Roman" w:eastAsia="仿宋_GB2312" w:cs="Times New Roman"/>
        </w:rPr>
        <w:t>（</w:t>
      </w:r>
      <w:r>
        <w:rPr>
          <w:rFonts w:ascii="Times New Roman" w:hAnsi="Times New Roman" w:eastAsia="仿宋_GB2312" w:cs="Times New Roman"/>
          <w:spacing w:val="-13"/>
        </w:rPr>
        <w:t xml:space="preserve">国务院令第 </w:t>
      </w:r>
      <w:r>
        <w:rPr>
          <w:rFonts w:ascii="Times New Roman" w:hAnsi="Times New Roman" w:eastAsia="仿宋_GB2312" w:cs="Times New Roman"/>
        </w:rPr>
        <w:t>412</w:t>
      </w:r>
      <w:r>
        <w:rPr>
          <w:rFonts w:ascii="Times New Roman" w:hAnsi="Times New Roman" w:eastAsia="仿宋_GB2312" w:cs="Times New Roman"/>
          <w:spacing w:val="-38"/>
        </w:rPr>
        <w:t xml:space="preserve"> 号</w:t>
      </w:r>
      <w:r>
        <w:rPr>
          <w:rFonts w:ascii="Times New Roman" w:hAnsi="Times New Roman" w:eastAsia="仿宋_GB2312" w:cs="Times New Roman"/>
          <w:spacing w:val="-32"/>
        </w:rPr>
        <w:t>）</w:t>
      </w:r>
      <w:r>
        <w:rPr>
          <w:rFonts w:ascii="Times New Roman" w:hAnsi="Times New Roman" w:eastAsia="仿宋_GB2312" w:cs="Times New Roman"/>
          <w:spacing w:val="-10"/>
        </w:rPr>
        <w:t>附件第 493 项“外</w:t>
      </w:r>
      <w:r>
        <w:rPr>
          <w:rFonts w:ascii="Times New Roman" w:hAnsi="Times New Roman" w:eastAsia="仿宋_GB2312" w:cs="Times New Roman"/>
          <w:spacing w:val="-21"/>
        </w:rPr>
        <w:t>汇账户</w:t>
      </w:r>
      <w:r>
        <w:rPr>
          <w:rFonts w:ascii="Times New Roman" w:hAnsi="Times New Roman" w:eastAsia="仿宋_GB2312" w:cs="Times New Roman"/>
        </w:rPr>
        <w:t>（</w:t>
      </w:r>
      <w:r>
        <w:rPr>
          <w:rFonts w:ascii="Times New Roman" w:hAnsi="Times New Roman" w:eastAsia="仿宋_GB2312" w:cs="Times New Roman"/>
          <w:spacing w:val="-2"/>
        </w:rPr>
        <w:t>含边贸人民币</w:t>
      </w:r>
      <w:r>
        <w:rPr>
          <w:rFonts w:ascii="Times New Roman" w:hAnsi="Times New Roman" w:eastAsia="仿宋_GB2312" w:cs="Times New Roman"/>
        </w:rPr>
        <w:t>结算专用账户</w:t>
      </w:r>
      <w:r>
        <w:rPr>
          <w:rFonts w:ascii="Times New Roman" w:hAnsi="Times New Roman" w:eastAsia="仿宋_GB2312" w:cs="Times New Roman"/>
          <w:spacing w:val="-24"/>
        </w:rPr>
        <w:t>）</w:t>
      </w:r>
      <w:r>
        <w:rPr>
          <w:rFonts w:ascii="Times New Roman" w:hAnsi="Times New Roman" w:eastAsia="仿宋_GB2312" w:cs="Times New Roman"/>
          <w:spacing w:val="-10"/>
        </w:rPr>
        <w:t>的开立、变更、关闭、撤销以及账户允许保留限</w:t>
      </w:r>
      <w:r>
        <w:rPr>
          <w:rFonts w:ascii="Times New Roman" w:hAnsi="Times New Roman" w:eastAsia="仿宋_GB2312" w:cs="Times New Roman"/>
        </w:rPr>
        <w:t>额核准。</w:t>
      </w:r>
    </w:p>
    <w:p>
      <w:pPr>
        <w:pStyle w:val="4"/>
        <w:spacing w:line="600" w:lineRule="exact"/>
        <w:ind w:left="759" w:leftChars="345" w:firstLine="600" w:firstLineChars="200"/>
        <w:rPr>
          <w:rFonts w:ascii="Times New Roman" w:hAnsi="Times New Roman" w:eastAsia="仿宋_GB2312" w:cs="Times New Roman"/>
        </w:rPr>
      </w:pPr>
      <w:r>
        <w:rPr>
          <w:rFonts w:ascii="Times New Roman" w:hAnsi="Times New Roman" w:eastAsia="黑体" w:cs="Times New Roman"/>
        </w:rPr>
        <w:t>四、货物贸易外汇收入存放境外外汇账户审批</w:t>
      </w:r>
    </w:p>
    <w:p>
      <w:pPr>
        <w:pStyle w:val="4"/>
        <w:numPr>
          <w:ilvl w:val="0"/>
          <w:numId w:val="1"/>
        </w:numPr>
        <w:spacing w:line="600" w:lineRule="exact"/>
        <w:rPr>
          <w:rFonts w:ascii="Times New Roman" w:hAnsi="Times New Roman" w:eastAsia="黑体" w:cs="Times New Roman"/>
        </w:rPr>
      </w:pPr>
      <w:r>
        <w:rPr>
          <w:rFonts w:ascii="Times New Roman" w:hAnsi="Times New Roman" w:eastAsia="黑体" w:cs="Times New Roman"/>
        </w:rPr>
        <w:t>办理依据</w:t>
      </w:r>
    </w:p>
    <w:p>
      <w:pPr>
        <w:tabs>
          <w:tab w:val="left" w:pos="1663"/>
        </w:tabs>
        <w:spacing w:line="600" w:lineRule="exact"/>
        <w:ind w:firstLine="1160" w:firstLineChars="4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1.《中华人民共和国外汇管理条例》（国务院令第 532 号）；</w:t>
      </w:r>
    </w:p>
    <w:p>
      <w:pPr>
        <w:tabs>
          <w:tab w:val="left" w:pos="1663"/>
        </w:tabs>
        <w:spacing w:line="600" w:lineRule="exact"/>
        <w:ind w:left="849" w:leftChars="386" w:right="417" w:firstLine="290" w:firstLineChars="1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2.《国家外汇管理局关于印发货物贸易外汇管理法规有关问题的通知》（汇发〔2012〕38 号）；</w:t>
      </w:r>
    </w:p>
    <w:p>
      <w:pPr>
        <w:tabs>
          <w:tab w:val="left" w:pos="1663"/>
        </w:tabs>
        <w:spacing w:line="600" w:lineRule="exact"/>
        <w:ind w:left="849" w:leftChars="386" w:right="417" w:firstLine="307" w:firstLineChars="106"/>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3.《国家外汇管理局关于取消有关外汇管理证明事项的通知》（汇发〔2019〕38号）</w:t>
      </w:r>
      <w:r>
        <w:rPr>
          <w:rFonts w:hint="eastAsia" w:ascii="Times New Roman" w:hAnsi="Times New Roman" w:eastAsia="仿宋_GB2312" w:cs="Times New Roman"/>
          <w:spacing w:val="-10"/>
          <w:sz w:val="30"/>
          <w:szCs w:val="30"/>
        </w:rPr>
        <w:t>；</w:t>
      </w:r>
    </w:p>
    <w:p>
      <w:pPr>
        <w:tabs>
          <w:tab w:val="left" w:pos="1663"/>
        </w:tabs>
        <w:spacing w:line="600" w:lineRule="exact"/>
        <w:ind w:left="849" w:leftChars="386" w:right="417" w:firstLine="318" w:firstLineChars="106"/>
        <w:rPr>
          <w:rFonts w:ascii="Times New Roman" w:hAnsi="Times New Roman" w:eastAsia="仿宋_GB2312" w:cs="Times New Roman"/>
          <w:spacing w:val="-10"/>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pStyle w:val="4"/>
        <w:spacing w:line="600" w:lineRule="exact"/>
        <w:ind w:left="1345"/>
        <w:rPr>
          <w:rFonts w:ascii="Times New Roman" w:hAnsi="Times New Roman" w:eastAsia="黑体" w:cs="Times New Roman"/>
        </w:rPr>
      </w:pPr>
      <w:r>
        <w:rPr>
          <w:rFonts w:ascii="Times New Roman" w:hAnsi="Times New Roman" w:eastAsia="黑体" w:cs="Times New Roman"/>
        </w:rPr>
        <w:t>（二）受理机构</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ascii="Times New Roman" w:hAnsi="Times New Roman" w:eastAsia="仿宋_GB2312" w:cs="Times New Roman"/>
          <w:color w:val="auto"/>
          <w:spacing w:val="-1"/>
          <w:sz w:val="30"/>
          <w:szCs w:val="30"/>
        </w:rPr>
      </w:pPr>
      <w:r>
        <w:rPr>
          <w:rFonts w:hint="eastAsia" w:ascii="Times New Roman" w:hAnsi="Times New Roman" w:eastAsia="仿宋_GB2312" w:cs="Times New Roman"/>
          <w:color w:val="auto"/>
          <w:sz w:val="30"/>
          <w:szCs w:val="30"/>
          <w:lang w:val="en-US" w:eastAsia="zh-CN"/>
        </w:rPr>
        <w:t xml:space="preserve">          </w:t>
      </w:r>
      <w:r>
        <w:rPr>
          <w:rFonts w:hint="eastAsia" w:ascii="Times New Roman" w:hAnsi="Times New Roman" w:eastAsia="仿宋_GB2312" w:cs="Times New Roman"/>
          <w:color w:val="auto"/>
          <w:sz w:val="30"/>
          <w:szCs w:val="30"/>
        </w:rPr>
        <w:t>国家外汇管理局陕西省分局</w:t>
      </w:r>
      <w:r>
        <w:rPr>
          <w:rFonts w:hint="eastAsia" w:ascii="Times New Roman" w:hAnsi="Times New Roman" w:eastAsia="仿宋_GB2312" w:cs="Times New Roman"/>
          <w:color w:val="auto"/>
          <w:sz w:val="30"/>
          <w:szCs w:val="30"/>
          <w:lang w:eastAsia="zh-CN"/>
        </w:rPr>
        <w:t>。</w:t>
      </w:r>
    </w:p>
    <w:p>
      <w:pPr>
        <w:pStyle w:val="4"/>
        <w:spacing w:line="600" w:lineRule="exact"/>
        <w:ind w:left="1345"/>
        <w:rPr>
          <w:rFonts w:ascii="Times New Roman" w:hAnsi="Times New Roman" w:eastAsia="黑体" w:cs="Times New Roman"/>
        </w:rPr>
      </w:pPr>
      <w:r>
        <w:rPr>
          <w:rFonts w:ascii="Times New Roman" w:hAnsi="Times New Roman" w:eastAsia="黑体" w:cs="Times New Roman"/>
        </w:rPr>
        <w:t>（三）决定机构</w:t>
      </w:r>
    </w:p>
    <w:p>
      <w:pPr>
        <w:adjustRightInd w:val="0"/>
        <w:snapToGrid w:val="0"/>
        <w:spacing w:line="360" w:lineRule="auto"/>
        <w:ind w:firstLine="596" w:firstLineChars="200"/>
        <w:rPr>
          <w:rFonts w:ascii="Times New Roman" w:hAnsi="Times New Roman" w:eastAsia="仿宋_GB2312" w:cs="Times New Roman"/>
          <w:color w:val="auto"/>
          <w:spacing w:val="-1"/>
          <w:sz w:val="30"/>
          <w:szCs w:val="30"/>
        </w:rPr>
      </w:pPr>
      <w:r>
        <w:rPr>
          <w:rFonts w:hint="eastAsia" w:ascii="Times New Roman" w:hAnsi="Times New Roman" w:eastAsia="仿宋_GB2312" w:cs="Times New Roman"/>
          <w:color w:val="auto"/>
          <w:sz w:val="30"/>
          <w:szCs w:val="30"/>
          <w:lang w:val="en-US" w:eastAsia="zh-CN"/>
        </w:rPr>
        <w:t xml:space="preserve">          </w:t>
      </w:r>
      <w:r>
        <w:rPr>
          <w:rFonts w:hint="eastAsia" w:ascii="Times New Roman" w:hAnsi="Times New Roman" w:eastAsia="仿宋_GB2312" w:cs="Times New Roman"/>
          <w:color w:val="auto"/>
          <w:sz w:val="30"/>
          <w:szCs w:val="30"/>
        </w:rPr>
        <w:t>国家外汇管理局陕西省分局</w:t>
      </w:r>
      <w:r>
        <w:rPr>
          <w:rFonts w:hint="eastAsia" w:ascii="Times New Roman" w:hAnsi="Times New Roman" w:eastAsia="仿宋_GB2312" w:cs="Times New Roman"/>
          <w:color w:val="auto"/>
          <w:sz w:val="30"/>
          <w:szCs w:val="30"/>
          <w:lang w:eastAsia="zh-CN"/>
        </w:rPr>
        <w:t>。</w:t>
      </w:r>
    </w:p>
    <w:p>
      <w:pPr>
        <w:pStyle w:val="4"/>
        <w:spacing w:line="600" w:lineRule="exact"/>
        <w:ind w:left="1345"/>
        <w:rPr>
          <w:rFonts w:ascii="Times New Roman" w:hAnsi="Times New Roman" w:eastAsia="黑体" w:cs="Times New Roman"/>
        </w:rPr>
      </w:pPr>
      <w:r>
        <w:rPr>
          <w:rFonts w:ascii="Times New Roman" w:hAnsi="Times New Roman" w:eastAsia="黑体" w:cs="Times New Roman"/>
        </w:rPr>
        <w:t>（四）审批数量</w:t>
      </w:r>
    </w:p>
    <w:p>
      <w:pPr>
        <w:pStyle w:val="4"/>
        <w:spacing w:line="600" w:lineRule="exact"/>
        <w:rPr>
          <w:rFonts w:ascii="Times New Roman" w:hAnsi="Times New Roman" w:eastAsia="仿宋_GB2312" w:cs="Times New Roman"/>
        </w:rPr>
      </w:pPr>
      <w:r>
        <w:rPr>
          <w:rFonts w:ascii="Times New Roman" w:hAnsi="Times New Roman" w:eastAsia="仿宋_GB2312" w:cs="Times New Roman"/>
        </w:rPr>
        <w:t>无数量限制。</w:t>
      </w:r>
    </w:p>
    <w:p>
      <w:pPr>
        <w:pStyle w:val="4"/>
        <w:spacing w:line="600" w:lineRule="exact"/>
        <w:ind w:left="1345"/>
        <w:rPr>
          <w:rFonts w:ascii="Times New Roman" w:hAnsi="Times New Roman" w:eastAsia="黑体" w:cs="Times New Roman"/>
        </w:rPr>
      </w:pPr>
      <w:r>
        <w:rPr>
          <w:rFonts w:ascii="Times New Roman" w:hAnsi="Times New Roman" w:eastAsia="黑体" w:cs="Times New Roman"/>
        </w:rPr>
        <w:t>（五）办事条件</w:t>
      </w:r>
    </w:p>
    <w:p>
      <w:pPr>
        <w:pStyle w:val="4"/>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4"/>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 xml:space="preserve"> 2.变更条件。企业提高存放境外规模、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p>
    <w:p>
      <w:pPr>
        <w:pStyle w:val="4"/>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p>
    <w:p>
      <w:pPr>
        <w:pStyle w:val="4"/>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（六）申请材料</w:t>
      </w:r>
    </w:p>
    <w:p>
      <w:pPr>
        <w:pStyle w:val="4"/>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Style w:val="21"/>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4"/>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4"/>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vAlign w:val="center"/>
          </w:tcPr>
          <w:p>
            <w:pPr>
              <w:pStyle w:val="14"/>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pStyle w:val="14"/>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4"/>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pStyle w:val="14"/>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4"/>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vAlign w:val="center"/>
          </w:tcPr>
          <w:p>
            <w:pPr>
              <w:pStyle w:val="14"/>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14"/>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vAlign w:val="center"/>
          </w:tcPr>
          <w:p>
            <w:pPr>
              <w:pStyle w:val="14"/>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pStyle w:val="14"/>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457" w:type="dxa"/>
            <w:tcBorders>
              <w:bottom w:val="nil"/>
            </w:tcBorders>
            <w:vAlign w:val="center"/>
          </w:tcPr>
          <w:p>
            <w:pPr>
              <w:pStyle w:val="14"/>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14"/>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vAlign w:val="center"/>
          </w:tcPr>
          <w:p>
            <w:pPr>
              <w:pStyle w:val="14"/>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vAlign w:val="center"/>
          </w:tcPr>
          <w:p>
            <w:pPr>
              <w:pStyle w:val="14"/>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14"/>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w:t>
            </w:r>
          </w:p>
        </w:tc>
        <w:tc>
          <w:tcPr>
            <w:tcW w:w="2410" w:type="dxa"/>
            <w:tcBorders>
              <w:bottom w:val="nil"/>
            </w:tcBorders>
            <w:vAlign w:val="top"/>
          </w:tcPr>
          <w:p>
            <w:pPr>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4"/>
              <w:ind w:right="-29"/>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457" w:type="dxa"/>
            <w:vMerge w:val="restart"/>
            <w:vAlign w:val="center"/>
          </w:tcPr>
          <w:p>
            <w:pPr>
              <w:pStyle w:val="14"/>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cBorders>
              <w:bottom w:val="nil"/>
            </w:tcBorders>
            <w:vAlign w:val="center"/>
          </w:tcPr>
          <w:p>
            <w:pPr>
              <w:pStyle w:val="14"/>
              <w:ind w:left="106"/>
              <w:jc w:val="center"/>
              <w:rPr>
                <w:rFonts w:ascii="Times New Roman" w:hAnsi="Times New Roman" w:eastAsia="仿宋_GB2312" w:cs="Times New Roman"/>
                <w:color w:val="FF0000"/>
                <w:sz w:val="24"/>
                <w:szCs w:val="24"/>
              </w:rPr>
            </w:pPr>
          </w:p>
          <w:p>
            <w:pPr>
              <w:pStyle w:val="14"/>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vMerge w:val="restart"/>
            <w:vAlign w:val="center"/>
          </w:tcPr>
          <w:p>
            <w:pPr>
              <w:pStyle w:val="1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vMerge w:val="restart"/>
            <w:vAlign w:val="center"/>
          </w:tcPr>
          <w:p>
            <w:pPr>
              <w:pStyle w:val="14"/>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Merge w:val="restart"/>
            <w:vAlign w:val="center"/>
          </w:tcPr>
          <w:p>
            <w:pPr>
              <w:pStyle w:val="14"/>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410" w:type="dxa"/>
            <w:vMerge w:val="restart"/>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jc w:val="both"/>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 w:hRule="atLeast"/>
        </w:trPr>
        <w:tc>
          <w:tcPr>
            <w:tcW w:w="457" w:type="dxa"/>
            <w:vMerge w:val="continue"/>
            <w:tcBorders>
              <w:top w:val="nil"/>
            </w:tcBorders>
            <w:vAlign w:val="center"/>
          </w:tcPr>
          <w:p>
            <w:pPr>
              <w:jc w:val="center"/>
              <w:rPr>
                <w:rFonts w:ascii="Times New Roman" w:hAnsi="Times New Roman" w:eastAsia="仿宋_GB2312" w:cs="Times New Roman"/>
                <w:sz w:val="24"/>
                <w:szCs w:val="24"/>
              </w:rPr>
            </w:pPr>
          </w:p>
        </w:tc>
        <w:tc>
          <w:tcPr>
            <w:tcW w:w="1726" w:type="dxa"/>
            <w:tcBorders>
              <w:top w:val="nil"/>
            </w:tcBorders>
            <w:vAlign w:val="center"/>
          </w:tcPr>
          <w:p>
            <w:pPr>
              <w:pStyle w:val="14"/>
              <w:jc w:val="center"/>
              <w:rPr>
                <w:rFonts w:ascii="Times New Roman" w:hAnsi="Times New Roman" w:eastAsia="仿宋_GB2312" w:cs="Times New Roman"/>
                <w:color w:val="FF0000"/>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2410" w:type="dxa"/>
            <w:vMerge w:val="continue"/>
            <w:tcBorders>
              <w:top w:val="nil"/>
            </w:tcBorders>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p>
    <w:p>
      <w:pPr>
        <w:ind w:firstLine="1200" w:firstLineChars="400"/>
        <w:rPr>
          <w:rFonts w:ascii="Times New Roman" w:hAnsi="Times New Roman" w:eastAsia="仿宋_GB2312" w:cs="Times New Roman"/>
          <w:sz w:val="30"/>
          <w:szCs w:val="30"/>
        </w:rPr>
      </w:pPr>
    </w:p>
    <w:p>
      <w:pPr>
        <w:ind w:firstLine="1200" w:firstLineChars="400"/>
        <w:rPr>
          <w:rFonts w:ascii="Times New Roman" w:hAnsi="Times New Roman" w:eastAsia="仿宋_GB2312" w:cs="Times New Roman"/>
        </w:rPr>
      </w:pPr>
      <w:r>
        <w:rPr>
          <w:rFonts w:ascii="Times New Roman" w:hAnsi="Times New Roman" w:eastAsia="仿宋_GB2312" w:cs="Times New Roman"/>
          <w:sz w:val="30"/>
          <w:szCs w:val="30"/>
        </w:rPr>
        <w:t>2.</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Style w:val="21"/>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4"/>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4"/>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vAlign w:val="center"/>
          </w:tcPr>
          <w:p>
            <w:pPr>
              <w:pStyle w:val="14"/>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vAlign w:val="center"/>
          </w:tcPr>
          <w:p>
            <w:pPr>
              <w:pStyle w:val="14"/>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4"/>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pStyle w:val="14"/>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4"/>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vAlign w:val="center"/>
          </w:tcPr>
          <w:p>
            <w:pPr>
              <w:pStyle w:val="14"/>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vAlign w:val="center"/>
          </w:tcPr>
          <w:p>
            <w:pPr>
              <w:pStyle w:val="14"/>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pStyle w:val="14"/>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58" w:hRule="atLeast"/>
        </w:trPr>
        <w:tc>
          <w:tcPr>
            <w:tcW w:w="457" w:type="dxa"/>
            <w:tcBorders>
              <w:bottom w:val="nil"/>
            </w:tcBorders>
            <w:vAlign w:val="center"/>
          </w:tcPr>
          <w:p>
            <w:pPr>
              <w:pStyle w:val="14"/>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cBorders>
              <w:bottom w:val="nil"/>
            </w:tcBorders>
            <w:vAlign w:val="center"/>
          </w:tcPr>
          <w:p>
            <w:pPr>
              <w:pStyle w:val="14"/>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tcBorders>
              <w:bottom w:val="nil"/>
            </w:tcBorders>
            <w:vAlign w:val="center"/>
          </w:tcPr>
          <w:p>
            <w:pPr>
              <w:pStyle w:val="14"/>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cBorders>
              <w:bottom w:val="nil"/>
            </w:tcBorders>
            <w:vAlign w:val="center"/>
          </w:tcPr>
          <w:p>
            <w:pPr>
              <w:pStyle w:val="14"/>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cBorders>
              <w:bottom w:val="nil"/>
            </w:tcBorders>
            <w:vAlign w:val="center"/>
          </w:tcPr>
          <w:p>
            <w:pPr>
              <w:pStyle w:val="14"/>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tcBorders>
              <w:bottom w:val="nil"/>
            </w:tcBorders>
            <w:vAlign w:val="top"/>
          </w:tcPr>
          <w:p>
            <w:pPr>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14"/>
              <w:ind w:right="-29"/>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 w:hRule="atLeast"/>
        </w:trPr>
        <w:tc>
          <w:tcPr>
            <w:tcW w:w="457" w:type="dxa"/>
            <w:tcBorders>
              <w:top w:val="nil"/>
            </w:tcBorders>
            <w:vAlign w:val="center"/>
          </w:tcPr>
          <w:p>
            <w:pPr>
              <w:jc w:val="center"/>
              <w:rPr>
                <w:rFonts w:ascii="Times New Roman" w:hAnsi="Times New Roman" w:eastAsia="仿宋_GB2312" w:cs="Times New Roman"/>
                <w:sz w:val="24"/>
                <w:szCs w:val="24"/>
              </w:rPr>
            </w:pPr>
          </w:p>
        </w:tc>
        <w:tc>
          <w:tcPr>
            <w:tcW w:w="1441" w:type="dxa"/>
            <w:tcBorders>
              <w:top w:val="nil"/>
            </w:tcBorders>
            <w:vAlign w:val="center"/>
          </w:tcPr>
          <w:p>
            <w:pPr>
              <w:pStyle w:val="14"/>
              <w:rPr>
                <w:rFonts w:ascii="Times New Roman" w:hAnsi="Times New Roman" w:eastAsia="仿宋_GB2312" w:cs="Times New Roman"/>
                <w:sz w:val="24"/>
                <w:szCs w:val="24"/>
              </w:rPr>
            </w:pPr>
          </w:p>
        </w:tc>
        <w:tc>
          <w:tcPr>
            <w:tcW w:w="711" w:type="dxa"/>
            <w:tcBorders>
              <w:top w:val="nil"/>
            </w:tcBorders>
            <w:vAlign w:val="center"/>
          </w:tcPr>
          <w:p>
            <w:pPr>
              <w:jc w:val="center"/>
              <w:rPr>
                <w:rFonts w:ascii="Times New Roman" w:hAnsi="Times New Roman" w:eastAsia="仿宋_GB2312" w:cs="Times New Roman"/>
                <w:sz w:val="24"/>
                <w:szCs w:val="24"/>
              </w:rPr>
            </w:pPr>
          </w:p>
        </w:tc>
        <w:tc>
          <w:tcPr>
            <w:tcW w:w="567" w:type="dxa"/>
            <w:tcBorders>
              <w:top w:val="nil"/>
            </w:tcBorders>
            <w:vAlign w:val="center"/>
          </w:tcPr>
          <w:p>
            <w:pPr>
              <w:jc w:val="center"/>
              <w:rPr>
                <w:rFonts w:ascii="Times New Roman" w:hAnsi="Times New Roman" w:eastAsia="仿宋_GB2312" w:cs="Times New Roman"/>
                <w:sz w:val="24"/>
                <w:szCs w:val="24"/>
              </w:rPr>
            </w:pPr>
          </w:p>
        </w:tc>
        <w:tc>
          <w:tcPr>
            <w:tcW w:w="708" w:type="dxa"/>
            <w:tcBorders>
              <w:top w:val="nil"/>
            </w:tcBorders>
            <w:vAlign w:val="center"/>
          </w:tcPr>
          <w:p>
            <w:pPr>
              <w:jc w:val="center"/>
              <w:rPr>
                <w:rFonts w:ascii="Times New Roman" w:hAnsi="Times New Roman" w:eastAsia="仿宋_GB2312" w:cs="Times New Roman"/>
                <w:sz w:val="24"/>
                <w:szCs w:val="24"/>
              </w:rPr>
            </w:pPr>
          </w:p>
        </w:tc>
        <w:tc>
          <w:tcPr>
            <w:tcW w:w="3828" w:type="dxa"/>
            <w:tcBorders>
              <w:top w:val="nil"/>
            </w:tcBorders>
            <w:vAlign w:val="center"/>
          </w:tcPr>
          <w:p>
            <w:pPr>
              <w:jc w:val="both"/>
              <w:rPr>
                <w:rFonts w:ascii="Times New Roman" w:hAnsi="Times New Roman" w:eastAsia="仿宋_GB2312" w:cs="Times New Roman"/>
                <w:sz w:val="24"/>
                <w:szCs w:val="24"/>
              </w:rPr>
            </w:pPr>
          </w:p>
        </w:tc>
        <w:tc>
          <w:tcPr>
            <w:tcW w:w="1275" w:type="dxa"/>
            <w:vMerge w:val="continue"/>
            <w:vAlign w:val="top"/>
          </w:tcPr>
          <w:p>
            <w:pPr>
              <w:rPr>
                <w:rFonts w:ascii="Times New Roman" w:hAnsi="Times New Roman" w:eastAsia="仿宋_GB2312" w:cs="Times New Roman"/>
                <w:sz w:val="24"/>
                <w:szCs w:val="24"/>
              </w:rPr>
            </w:pPr>
          </w:p>
        </w:tc>
      </w:tr>
    </w:tbl>
    <w:p>
      <w:pPr>
        <w:pStyle w:val="4"/>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（七）申请接受</w:t>
      </w:r>
    </w:p>
    <w:p>
      <w:pPr>
        <w:pStyle w:val="4"/>
        <w:spacing w:line="600" w:lineRule="exact"/>
        <w:ind w:left="0" w:firstLine="1350" w:firstLineChars="450"/>
        <w:rPr>
          <w:rFonts w:ascii="Times New Roman" w:hAnsi="Times New Roman" w:eastAsia="仿宋_GB2312" w:cs="Times New Roman"/>
          <w:color w:val="000000"/>
          <w:highlight w:val="none"/>
        </w:rPr>
      </w:pPr>
      <w:r>
        <w:rPr>
          <w:rFonts w:ascii="Times New Roman" w:hAnsi="Times New Roman" w:eastAsia="仿宋_GB2312" w:cs="Times New Roman"/>
          <w:color w:val="000000"/>
          <w:highlight w:val="none"/>
        </w:rPr>
        <w:t>申请人可通过</w:t>
      </w:r>
      <w:r>
        <w:rPr>
          <w:rFonts w:hint="eastAsia" w:ascii="Times New Roman" w:hAnsi="Times New Roman" w:eastAsia="仿宋_GB2312" w:cs="Times New Roman"/>
          <w:color w:val="000000"/>
          <w:highlight w:val="none"/>
        </w:rPr>
        <w:t>国家外汇管理局陕西省分局</w:t>
      </w:r>
      <w:r>
        <w:rPr>
          <w:rFonts w:ascii="Times New Roman" w:hAnsi="Times New Roman" w:eastAsia="仿宋_GB2312" w:cs="Times New Roman"/>
          <w:color w:val="000000"/>
          <w:highlight w:val="none"/>
        </w:rPr>
        <w:t>提交材料。</w:t>
      </w:r>
    </w:p>
    <w:p>
      <w:pPr>
        <w:pStyle w:val="4"/>
        <w:spacing w:line="600" w:lineRule="exact"/>
        <w:ind w:right="415"/>
        <w:rPr>
          <w:rFonts w:ascii="Times New Roman" w:hAnsi="Times New Roman" w:eastAsia="仿宋_GB2312" w:cs="Times New Roman"/>
        </w:rPr>
      </w:pPr>
      <w:r>
        <w:rPr>
          <w:rFonts w:ascii="Times New Roman" w:hAnsi="Times New Roman" w:eastAsia="黑体" w:cs="Times New Roman"/>
        </w:rPr>
        <w:t>（八）基本办理流程</w:t>
      </w:r>
    </w:p>
    <w:p>
      <w:pPr>
        <w:tabs>
          <w:tab w:val="left" w:pos="2110"/>
        </w:tabs>
        <w:spacing w:line="600" w:lineRule="exact"/>
        <w:ind w:left="770" w:leftChars="350" w:right="417" w:firstLine="576"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1.申请人提交申请；</w:t>
      </w:r>
    </w:p>
    <w:p>
      <w:pPr>
        <w:tabs>
          <w:tab w:val="left" w:pos="2110"/>
        </w:tabs>
        <w:spacing w:line="600" w:lineRule="exact"/>
        <w:ind w:left="770" w:leftChars="350" w:right="417" w:firstLine="576"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2.决定是否予以受理；</w:t>
      </w:r>
    </w:p>
    <w:p>
      <w:pPr>
        <w:tabs>
          <w:tab w:val="left" w:pos="2110"/>
        </w:tabs>
        <w:spacing w:line="600" w:lineRule="exact"/>
        <w:ind w:left="770" w:leftChars="350" w:right="417" w:firstLine="576"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3.不属于本机构受理范围的，出具不予受理行政许可通知书；</w:t>
      </w:r>
    </w:p>
    <w:p>
      <w:pPr>
        <w:tabs>
          <w:tab w:val="left" w:pos="2110"/>
        </w:tabs>
        <w:spacing w:line="600" w:lineRule="exact"/>
        <w:ind w:left="770" w:leftChars="350" w:right="417" w:firstLine="576"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4.属于本机构受理范围的，审核申请材料是否齐全或符合法定形式；材料不全或不符合法定形式的，一次性告知补正材料，并出具行政许可补正通知书；</w:t>
      </w:r>
    </w:p>
    <w:p>
      <w:pPr>
        <w:tabs>
          <w:tab w:val="left" w:pos="2110"/>
        </w:tabs>
        <w:spacing w:line="600" w:lineRule="exact"/>
        <w:ind w:left="770" w:leftChars="350" w:right="417" w:firstLine="576"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5.</w:t>
      </w:r>
      <w:r>
        <w:rPr>
          <w:rFonts w:ascii="Times New Roman" w:hAnsi="Times New Roman" w:eastAsia="仿宋_GB2312" w:cs="Times New Roman"/>
          <w:spacing w:val="-12"/>
          <w:sz w:val="30"/>
          <w:szCs w:val="30"/>
          <w:lang w:val="en-US"/>
        </w:rPr>
        <w:t>材料齐全的，依法予以受理，并出具行政许可受理通知书；</w:t>
      </w:r>
    </w:p>
    <w:p>
      <w:pPr>
        <w:tabs>
          <w:tab w:val="left" w:pos="2110"/>
        </w:tabs>
        <w:spacing w:line="600" w:lineRule="exact"/>
        <w:ind w:left="770" w:leftChars="350" w:right="417" w:firstLine="576" w:firstLineChars="200"/>
        <w:rPr>
          <w:rFonts w:ascii="Times New Roman" w:hAnsi="Times New Roman" w:eastAsia="仿宋_GB2312" w:cs="Times New Roman"/>
          <w:spacing w:val="-12"/>
          <w:sz w:val="30"/>
          <w:szCs w:val="30"/>
        </w:rPr>
      </w:pPr>
      <w:r>
        <w:rPr>
          <w:rFonts w:ascii="Times New Roman" w:hAnsi="Times New Roman" w:eastAsia="仿宋_GB2312" w:cs="Times New Roman"/>
          <w:spacing w:val="-12"/>
          <w:sz w:val="30"/>
          <w:szCs w:val="30"/>
        </w:rPr>
        <w:t>6.不予许可的，做出不予许可的行政许可书面决定并说明理由；予以许可的，出具行政许可决定书。</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（九）办理方式</w:t>
      </w:r>
    </w:p>
    <w:p>
      <w:pPr>
        <w:pStyle w:val="4"/>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（十）审批时限</w:t>
      </w:r>
    </w:p>
    <w:p>
      <w:pPr>
        <w:pStyle w:val="4"/>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20 个工作日。</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（十一）审批收费依据及标准</w:t>
      </w:r>
    </w:p>
    <w:p>
      <w:pPr>
        <w:pStyle w:val="4"/>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不收费。</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（十二）审批结果</w:t>
      </w:r>
    </w:p>
    <w:p>
      <w:pPr>
        <w:pStyle w:val="4"/>
        <w:spacing w:line="600" w:lineRule="exact"/>
        <w:ind w:left="770" w:leftChars="350" w:right="341" w:firstLine="600" w:firstLineChars="200"/>
        <w:rPr>
          <w:rFonts w:ascii="Times New Roman" w:hAnsi="Times New Roman" w:eastAsia="仿宋_GB2312" w:cs="Times New Roman"/>
          <w:color w:val="000000"/>
          <w:highlight w:val="none"/>
        </w:rPr>
      </w:pPr>
      <w:r>
        <w:rPr>
          <w:rFonts w:ascii="Times New Roman" w:hAnsi="Times New Roman" w:eastAsia="仿宋_GB2312" w:cs="Times New Roman"/>
          <w:color w:val="000000"/>
          <w:highlight w:val="none"/>
        </w:rPr>
        <w:t>国家外汇管理局</w:t>
      </w:r>
      <w:r>
        <w:rPr>
          <w:rFonts w:hint="eastAsia" w:ascii="Times New Roman" w:hAnsi="Times New Roman" w:eastAsia="仿宋_GB2312" w:cs="Times New Roman"/>
          <w:color w:val="000000"/>
          <w:highlight w:val="none"/>
        </w:rPr>
        <w:t>陕西省</w:t>
      </w:r>
      <w:r>
        <w:rPr>
          <w:rFonts w:ascii="Times New Roman" w:hAnsi="Times New Roman" w:eastAsia="仿宋_GB2312" w:cs="Times New Roman"/>
          <w:color w:val="000000"/>
          <w:highlight w:val="none"/>
        </w:rPr>
        <w:t>分局向申请企业出具出口收入存放境外登记表。</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（十三）结果送达</w:t>
      </w:r>
    </w:p>
    <w:p>
      <w:pPr>
        <w:pStyle w:val="4"/>
        <w:spacing w:line="600" w:lineRule="exact"/>
        <w:ind w:left="770" w:leftChars="350" w:right="417" w:firstLine="584" w:firstLineChars="200"/>
        <w:rPr>
          <w:rFonts w:ascii="Times New Roman" w:hAnsi="Times New Roman" w:eastAsia="仿宋_GB2312" w:cs="Times New Roman"/>
          <w:color w:val="000000"/>
        </w:rPr>
      </w:pPr>
      <w:r>
        <w:rPr>
          <w:rFonts w:ascii="Times New Roman" w:hAnsi="Times New Roman" w:eastAsia="仿宋_GB2312" w:cs="Times New Roman"/>
          <w:color w:val="000000"/>
          <w:spacing w:val="-8"/>
        </w:rPr>
        <w:t>通过电话等方式通知申请企业，并通过现场领取或邮寄等方式将结果送达。</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（十四）申请人权利和义务</w:t>
      </w:r>
    </w:p>
    <w:p>
      <w:pPr>
        <w:pStyle w:val="4"/>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（十五）咨询途径、监督和投诉、公开查询等由所在地</w:t>
      </w:r>
      <w:r>
        <w:rPr>
          <w:rFonts w:hint="eastAsia" w:ascii="Times New Roman" w:hAnsi="Times New Roman" w:eastAsia="黑体" w:cs="Times New Roman"/>
          <w:lang w:eastAsia="zh-CN"/>
        </w:rPr>
        <w:t>外汇局</w:t>
      </w:r>
      <w:r>
        <w:rPr>
          <w:rFonts w:ascii="Times New Roman" w:hAnsi="Times New Roman" w:eastAsia="黑体" w:cs="Times New Roman"/>
        </w:rPr>
        <w:t>办理</w:t>
      </w:r>
    </w:p>
    <w:p>
      <w:pPr>
        <w:pStyle w:val="4"/>
        <w:spacing w:line="600" w:lineRule="exact"/>
        <w:ind w:left="770" w:leftChars="350" w:firstLine="580" w:firstLineChars="200"/>
        <w:rPr>
          <w:rFonts w:ascii="Times New Roman" w:hAnsi="Times New Roman" w:eastAsia="仿宋_GB2312" w:cs="Times New Roman"/>
          <w:color w:val="000000"/>
          <w:spacing w:val="-10"/>
        </w:rPr>
      </w:pPr>
      <w:r>
        <w:rPr>
          <w:rFonts w:hint="eastAsia" w:ascii="Times New Roman" w:hAnsi="Times New Roman" w:eastAsia="仿宋_GB2312" w:cs="Times New Roman"/>
          <w:color w:val="000000"/>
          <w:spacing w:val="-10"/>
        </w:rPr>
        <w:t>向国家外汇管理局陕西省分局咨询、进度查询、监督和投诉等可通过电话、国家外汇管理局陕西省分局官方互联网站咨询反馈栏目进行。</w:t>
      </w:r>
    </w:p>
    <w:p>
      <w:pPr>
        <w:pStyle w:val="4"/>
        <w:spacing w:line="600" w:lineRule="exact"/>
        <w:ind w:left="770" w:leftChars="350" w:firstLine="580" w:firstLineChars="200"/>
        <w:rPr>
          <w:rFonts w:hint="eastAsia" w:ascii="Times New Roman" w:hAnsi="Times New Roman" w:eastAsia="仿宋_GB2312" w:cs="Times New Roman"/>
          <w:color w:val="000000"/>
          <w:spacing w:val="-10"/>
        </w:rPr>
      </w:pPr>
      <w:r>
        <w:rPr>
          <w:rFonts w:hint="eastAsia" w:ascii="Times New Roman" w:hAnsi="Times New Roman" w:eastAsia="仿宋_GB2312" w:cs="Times New Roman"/>
          <w:color w:val="000000"/>
          <w:spacing w:val="-10"/>
        </w:rPr>
        <w:t>电话：029-88150719</w:t>
      </w:r>
      <w:r>
        <w:rPr>
          <w:rFonts w:hint="eastAsia" w:ascii="Times New Roman" w:hAnsi="Times New Roman" w:eastAsia="仿宋_GB2312" w:cs="Times New Roman"/>
          <w:color w:val="000000"/>
          <w:spacing w:val="-10"/>
          <w:lang w:eastAsia="zh-CN"/>
        </w:rPr>
        <w:t>；029-88150690</w:t>
      </w:r>
    </w:p>
    <w:p>
      <w:pPr>
        <w:pStyle w:val="4"/>
        <w:spacing w:line="600" w:lineRule="exact"/>
        <w:ind w:left="770" w:leftChars="350" w:firstLine="580" w:firstLineChars="200"/>
        <w:rPr>
          <w:rFonts w:ascii="Times New Roman" w:hAnsi="Times New Roman" w:eastAsia="仿宋_GB2312" w:cs="Times New Roman"/>
          <w:color w:val="FF0000"/>
          <w:spacing w:val="-10"/>
        </w:rPr>
      </w:pPr>
      <w:r>
        <w:rPr>
          <w:rFonts w:hint="eastAsia" w:ascii="Times New Roman" w:hAnsi="Times New Roman" w:eastAsia="仿宋_GB2312" w:cs="Times New Roman"/>
          <w:color w:val="000000"/>
          <w:spacing w:val="-10"/>
        </w:rPr>
        <w:t>网址：</w:t>
      </w:r>
      <w:r>
        <w:rPr>
          <w:color w:val="000000"/>
        </w:rPr>
        <w:fldChar w:fldCharType="begin"/>
      </w:r>
      <w:r>
        <w:rPr>
          <w:color w:val="000000"/>
        </w:rPr>
        <w:instrText xml:space="preserve">HYPERLINK "http://www.safe.gov.cn/shaanxi" </w:instrText>
      </w:r>
      <w:r>
        <w:rPr>
          <w:color w:val="000000"/>
        </w:rPr>
        <w:fldChar w:fldCharType="separate"/>
      </w:r>
      <w:r>
        <w:rPr>
          <w:rStyle w:val="9"/>
          <w:rFonts w:hint="eastAsia" w:ascii="Times New Roman" w:hAnsi="Times New Roman" w:eastAsia="仿宋_GB2312" w:cs="Times New Roman"/>
          <w:color w:val="000000"/>
          <w:spacing w:val="-10"/>
        </w:rPr>
        <w:t>www.safe.gov.cn/shaanxi</w:t>
      </w:r>
      <w:r>
        <w:rPr>
          <w:color w:val="000000"/>
        </w:rPr>
        <w:fldChar w:fldCharType="end"/>
      </w:r>
    </w:p>
    <w:p>
      <w:pPr>
        <w:pStyle w:val="4"/>
        <w:spacing w:line="600" w:lineRule="exact"/>
        <w:ind w:left="770" w:leftChars="350" w:firstLine="600" w:firstLineChars="200"/>
        <w:rPr>
          <w:rFonts w:ascii="Times New Roman" w:hAnsi="Times New Roman" w:eastAsia="仿宋_GB2312" w:cs="Times New Roman"/>
        </w:rPr>
      </w:pPr>
      <w:r>
        <w:rPr>
          <w:rFonts w:ascii="Times New Roman" w:hAnsi="Times New Roman" w:eastAsia="黑体" w:cs="Times New Roman"/>
        </w:rPr>
        <w:t>（十六）事项审查类型</w:t>
      </w:r>
    </w:p>
    <w:p>
      <w:pPr>
        <w:pStyle w:val="4"/>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前审后批。</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（十七）办公地址和时间</w:t>
      </w:r>
    </w:p>
    <w:p>
      <w:pPr>
        <w:pStyle w:val="4"/>
        <w:spacing w:line="600" w:lineRule="exact"/>
        <w:ind w:left="760" w:right="415" w:firstLine="600"/>
        <w:rPr>
          <w:rFonts w:ascii="Times New Roman" w:hAnsi="Times New Roman" w:eastAsia="仿宋_GB2312" w:cs="Times New Roman"/>
          <w:color w:val="000000"/>
          <w:spacing w:val="-6"/>
        </w:rPr>
      </w:pPr>
      <w:r>
        <w:rPr>
          <w:rFonts w:hint="eastAsia" w:ascii="Times New Roman" w:hAnsi="Times New Roman" w:eastAsia="仿宋_GB2312" w:cs="Times New Roman"/>
          <w:color w:val="000000"/>
          <w:spacing w:val="-6"/>
        </w:rPr>
        <w:t>办公地址：西安市高新路49号，中国人民银行</w:t>
      </w:r>
      <w:r>
        <w:rPr>
          <w:rFonts w:hint="eastAsia" w:ascii="Times New Roman" w:hAnsi="Times New Roman" w:eastAsia="仿宋_GB2312" w:cs="Times New Roman"/>
          <w:color w:val="000000"/>
          <w:spacing w:val="-6"/>
          <w:lang w:eastAsia="zh-CN"/>
        </w:rPr>
        <w:t>陕西省</w:t>
      </w:r>
      <w:bookmarkStart w:id="0" w:name="_GoBack"/>
      <w:bookmarkEnd w:id="0"/>
      <w:r>
        <w:rPr>
          <w:rFonts w:hint="eastAsia" w:ascii="Times New Roman" w:hAnsi="Times New Roman" w:eastAsia="仿宋_GB2312" w:cs="Times New Roman"/>
          <w:color w:val="000000"/>
          <w:spacing w:val="-6"/>
        </w:rPr>
        <w:t>分行</w:t>
      </w:r>
      <w:r>
        <w:rPr>
          <w:rFonts w:hint="eastAsia" w:ascii="Times New Roman" w:hAnsi="Times New Roman" w:eastAsia="仿宋_GB2312" w:cs="Times New Roman"/>
          <w:color w:val="000000"/>
          <w:spacing w:val="-6"/>
          <w:lang w:eastAsia="zh-CN"/>
        </w:rPr>
        <w:t>机关大楼</w:t>
      </w:r>
      <w:r>
        <w:rPr>
          <w:rFonts w:hint="eastAsia" w:ascii="Times New Roman" w:hAnsi="Times New Roman" w:eastAsia="仿宋_GB2312" w:cs="Times New Roman"/>
          <w:color w:val="000000"/>
          <w:spacing w:val="-6"/>
        </w:rPr>
        <w:t>907房间。</w:t>
      </w:r>
    </w:p>
    <w:p>
      <w:pPr>
        <w:pStyle w:val="4"/>
        <w:spacing w:line="600" w:lineRule="exact"/>
        <w:ind w:left="760" w:right="415" w:firstLine="600"/>
        <w:rPr>
          <w:rFonts w:ascii="Times New Roman" w:hAnsi="Times New Roman" w:eastAsia="仿宋_GB2312" w:cs="Times New Roman"/>
          <w:color w:val="000000"/>
          <w:spacing w:val="-6"/>
        </w:rPr>
      </w:pPr>
      <w:r>
        <w:rPr>
          <w:rFonts w:hint="eastAsia" w:ascii="Times New Roman" w:hAnsi="Times New Roman" w:eastAsia="仿宋_GB2312" w:cs="Times New Roman"/>
          <w:color w:val="000000"/>
          <w:spacing w:val="-6"/>
        </w:rPr>
        <w:t>办公时间：工作日8:30-11:30,13:30-17:00。</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（十八）常见问题解答和错误示例</w:t>
      </w:r>
    </w:p>
    <w:p>
      <w:pPr>
        <w:pStyle w:val="4"/>
        <w:adjustRightInd w:val="0"/>
        <w:spacing w:line="600" w:lineRule="exact"/>
        <w:ind w:left="770" w:leftChars="350" w:right="397" w:firstLine="60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.企业首次登记时</w:t>
      </w:r>
      <w:r>
        <w:rPr>
          <w:rFonts w:ascii="Times New Roman" w:hAnsi="Times New Roman" w:eastAsia="仿宋_GB2312" w:cs="Times New Roman"/>
        </w:rPr>
        <w:t>需</w:t>
      </w:r>
      <w:r>
        <w:rPr>
          <w:rFonts w:hint="eastAsia" w:ascii="Times New Roman" w:hAnsi="Times New Roman" w:eastAsia="仿宋_GB2312" w:cs="Times New Roman"/>
        </w:rPr>
        <w:t>注意什么</w:t>
      </w:r>
      <w:r>
        <w:rPr>
          <w:rFonts w:ascii="Times New Roman" w:hAnsi="Times New Roman" w:eastAsia="仿宋_GB2312" w:cs="Times New Roman"/>
        </w:rPr>
        <w:t>？</w:t>
      </w:r>
    </w:p>
    <w:p>
      <w:pPr>
        <w:pStyle w:val="4"/>
        <w:spacing w:line="600" w:lineRule="exact"/>
        <w:ind w:left="770" w:leftChars="350" w:right="701" w:firstLine="588" w:firstLineChars="200"/>
        <w:rPr>
          <w:rFonts w:ascii="Times New Roman" w:hAnsi="Times New Roman" w:eastAsia="仿宋_GB2312" w:cs="Times New Roman"/>
        </w:rPr>
      </w:pPr>
      <w:r>
        <w:rPr>
          <w:rFonts w:hint="eastAsia" w:ascii="Times New Roman" w:hAnsi="Times New Roman" w:eastAsia="仿宋_GB2312" w:cs="Times New Roman"/>
          <w:spacing w:val="-6"/>
        </w:rPr>
        <w:t>企业首次登记时，书面申请中应注明基本情况、业务开展情况、拟开户银行、使用期限、根据实际需要申请的存放境外资金规模等</w:t>
      </w:r>
      <w:r>
        <w:rPr>
          <w:rFonts w:hint="eastAsia" w:ascii="Times New Roman" w:hAnsi="Times New Roman" w:eastAsia="仿宋_GB2312" w:cs="Times New Roman"/>
          <w:lang w:val="en-US"/>
        </w:rPr>
        <w:t>。</w:t>
      </w:r>
    </w:p>
    <w:p>
      <w:pPr>
        <w:pStyle w:val="4"/>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错误示例</w:t>
      </w:r>
    </w:p>
    <w:p>
      <w:pPr>
        <w:pStyle w:val="4"/>
        <w:spacing w:line="600" w:lineRule="exact"/>
        <w:ind w:left="770" w:leftChars="350" w:right="417" w:firstLine="574" w:firstLineChars="196"/>
        <w:jc w:val="both"/>
        <w:rPr>
          <w:rFonts w:ascii="Times New Roman" w:hAnsi="Times New Roman" w:eastAsia="仿宋_GB2312" w:cs="Times New Roman"/>
        </w:rPr>
      </w:pPr>
      <w:r>
        <w:rPr>
          <w:rFonts w:ascii="Times New Roman" w:hAnsi="Times New Roman" w:eastAsia="仿宋_GB2312" w:cs="Times New Roman"/>
          <w:spacing w:val="-7"/>
        </w:rPr>
        <w:t>注意境外开户银行名称应填写全称，不要误将境外开户银行</w:t>
      </w:r>
      <w:r>
        <w:rPr>
          <w:rFonts w:ascii="Times New Roman" w:hAnsi="Times New Roman" w:eastAsia="仿宋_GB2312" w:cs="Times New Roman"/>
          <w:spacing w:val="3"/>
        </w:rPr>
        <w:t>名称填写为简称，如将“</w:t>
      </w:r>
      <w:r>
        <w:rPr>
          <w:rFonts w:ascii="Times New Roman" w:hAnsi="Times New Roman" w:eastAsia="仿宋_GB2312" w:cs="Times New Roman"/>
        </w:rPr>
        <w:t>A</w:t>
      </w:r>
      <w:r>
        <w:rPr>
          <w:rFonts w:ascii="Times New Roman" w:hAnsi="Times New Roman" w:eastAsia="仿宋_GB2312" w:cs="Times New Roman"/>
          <w:spacing w:val="-14"/>
        </w:rPr>
        <w:t xml:space="preserve"> 银行股份有限公司 </w:t>
      </w:r>
      <w:r>
        <w:rPr>
          <w:rFonts w:ascii="Times New Roman" w:hAnsi="Times New Roman" w:eastAsia="仿宋_GB2312" w:cs="Times New Roman"/>
        </w:rPr>
        <w:t>XX</w:t>
      </w:r>
      <w:r>
        <w:rPr>
          <w:rFonts w:ascii="Times New Roman" w:hAnsi="Times New Roman" w:eastAsia="仿宋_GB2312" w:cs="Times New Roman"/>
          <w:spacing w:val="-9"/>
        </w:rPr>
        <w:t xml:space="preserve"> 分行”填写为“A</w:t>
      </w:r>
      <w:r>
        <w:rPr>
          <w:rFonts w:ascii="Times New Roman" w:hAnsi="Times New Roman" w:eastAsia="仿宋_GB2312" w:cs="Times New Roman"/>
          <w:spacing w:val="-1"/>
        </w:rPr>
        <w:t xml:space="preserve"> 行</w:t>
      </w:r>
      <w:r>
        <w:rPr>
          <w:rFonts w:ascii="Times New Roman" w:hAnsi="Times New Roman" w:eastAsia="仿宋_GB2312" w:cs="Times New Roman"/>
        </w:rPr>
        <w:t>XX</w:t>
      </w:r>
      <w:r>
        <w:rPr>
          <w:rFonts w:ascii="Times New Roman" w:hAnsi="Times New Roman" w:eastAsia="仿宋_GB2312" w:cs="Times New Roman"/>
          <w:spacing w:val="-46"/>
        </w:rPr>
        <w:t xml:space="preserve"> 分行”。</w:t>
      </w:r>
    </w:p>
    <w:p>
      <w:pPr>
        <w:spacing w:line="600" w:lineRule="exact"/>
        <w:jc w:val="both"/>
        <w:rPr>
          <w:rFonts w:ascii="Times New Roman" w:hAnsi="Times New Roman" w:eastAsia="仿宋_GB2312" w:cs="Times New Roman"/>
          <w:sz w:val="30"/>
          <w:szCs w:val="30"/>
        </w:rPr>
        <w:sectPr>
          <w:footerReference r:id="rId4" w:type="default"/>
          <w:pgSz w:w="11910" w:h="16840"/>
          <w:pgMar w:top="1380" w:right="1380" w:bottom="1380" w:left="1040" w:header="0" w:footer="1196" w:gutter="0"/>
          <w:cols w:space="720" w:num="1"/>
        </w:sectPr>
      </w:pPr>
    </w:p>
    <w:p>
      <w:pPr>
        <w:pStyle w:val="4"/>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sz w:val="22"/>
          <w:szCs w:val="22"/>
          <w:lang w:val="en-US" w:eastAsia="zh-CN" w:bidi="ar-SA"/>
        </w:rPr>
        <w:pict>
          <v:group id="Group 167" o:spid="_x0000_s1028" style="position:absolute;left:0;margin-left:-8.25pt;margin-top:26.45pt;height:470.9pt;width:461.8pt;rotation:0f;z-index:251658240;" coordorigin="205,3287" coordsize="9236,9418">
            <o:lock v:ext="edit" position="f" selection="f" grouping="f" rotation="f" cropping="f" text="f" aspectratio="f"/>
            <v:shape id="Straight Connector 168" o:spid="_x0000_s1029" type="#_x0000_t32" style="position:absolute;left:1818;top:4763;height:52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9" o:spid="_x0000_s1030" style="position:absolute;left:205;top:3287;height:9418;width:9236;rotation:0f;" coordorigin="205,3287" coordsize="9236,9418">
              <o:lock v:ext="edit" position="f" selection="f" grouping="f" rotation="f" cropping="f" text="f" aspectratio="f"/>
              <v:shape id="Flowchart: Terminator 170" o:spid="_x0000_s1031" type="#_x0000_t116" style="position:absolute;left:782;top:3287;height:1476;width:20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Diamond 171" o:spid="_x0000_s1032" type="#_x0000_t4" style="position:absolute;left:205;top:5291;height:2129;width:327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Rectangle 172" o:spid="_x0000_s1033" style="position:absolute;left:6512;top:3957;height:674;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right="-1199" w:rightChars="-545"/>
                      </w:pPr>
                      <w:r>
                        <w:rPr>
                          <w:rFonts w:hint="eastAsia"/>
                        </w:rPr>
                        <w:t>申请人补全材料</w:t>
                      </w:r>
                    </w:p>
                  </w:txbxContent>
                </v:textbox>
              </v:rect>
              <v:rect id="Rectangle 173" o:spid="_x0000_s1034" style="position:absolute;left:4079;top:5626;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Rectangle 174" o:spid="_x0000_s1035" style="position:absolute;left:4079;top:6514;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Rectangle 175" o:spid="_x0000_s1036" style="position:absolute;left:2674;top:7751;height:1397;width:421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Diamond 176" o:spid="_x0000_s1037" type="#_x0000_t4" style="position:absolute;left:2907;top:9585;height:1708;width:353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Flowchart: Terminator 177" o:spid="_x0000_s1038" type="#_x0000_t116" style="position:absolute;left:5368;top:11738;height:967;width:36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Flowchart: Terminator 178" o:spid="_x0000_s1039" type="#_x0000_t116" style="position:absolute;left:978;top:11738;height:967;width:411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Straight Connector 179" o:spid="_x0000_s1040" type="#_x0000_t32" style="position:absolute;left:2809;top:589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0" o:spid="_x0000_s1041" type="#_x0000_t32" style="position:absolute;left:2809;top:676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1" o:spid="_x0000_s1042" type="#_x0000_t32" style="position:absolute;left:7946;top:4631;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2" o:spid="_x0000_s1043" type="#_x0000_t32" style="position:absolute;left:2809;top:4346;flip:x;height:0;width:37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3" o:spid="_x0000_s1044" type="#_x0000_t32" style="position:absolute;left:4632;top:914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4" o:spid="_x0000_s1045" type="#_x0000_t32" style="position:absolute;left:5996;top:10681;height:105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5" o:spid="_x0000_s1046" type="#_x0000_t32" style="position:absolute;left:3482;top:10681;height:105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6" o:spid="_x0000_s1047" type="#_x0000_t32" style="position:absolute;left:1853;top:7420;height:921;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187" o:spid="_x0000_s1048" type="#_x0000_t32" style="position:absolute;left:1853;top:8339;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w:pict>
      </w:r>
      <w:r>
        <w:rPr>
          <w:rFonts w:ascii="Times New Roman" w:hAnsi="Times New Roman" w:eastAsia="仿宋_GB2312" w:cs="Times New Roman"/>
        </w:rPr>
        <w:br w:type="page"/>
      </w:r>
    </w:p>
    <w:p>
      <w:pPr>
        <w:pStyle w:val="4"/>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4"/>
        <w:spacing w:line="600" w:lineRule="exact"/>
        <w:ind w:left="0"/>
        <w:rPr>
          <w:rFonts w:ascii="Times New Roman" w:hAnsi="Times New Roman" w:eastAsia="仿宋_GB2312" w:cs="Times New Roman"/>
        </w:rPr>
      </w:pPr>
    </w:p>
    <w:p>
      <w:pPr>
        <w:pStyle w:val="4"/>
        <w:spacing w:line="600" w:lineRule="exact"/>
        <w:ind w:left="1508"/>
        <w:rPr>
          <w:rFonts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4"/>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4"/>
        <w:spacing w:line="600" w:lineRule="exact"/>
        <w:ind w:left="0"/>
        <w:rPr>
          <w:rFonts w:ascii="Times New Roman" w:hAnsi="Times New Roman" w:eastAsia="仿宋_GB2312" w:cs="Times New Roman"/>
        </w:rPr>
      </w:pPr>
    </w:p>
    <w:p>
      <w:pPr>
        <w:pStyle w:val="4"/>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4"/>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4"/>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4"/>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4"/>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4"/>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4"/>
        <w:spacing w:line="600" w:lineRule="exact"/>
        <w:ind w:left="0"/>
        <w:rPr>
          <w:rFonts w:ascii="Times New Roman" w:hAnsi="Times New Roman" w:eastAsia="仿宋_GB2312" w:cs="Times New Roman"/>
        </w:rPr>
      </w:pPr>
    </w:p>
    <w:p>
      <w:pPr>
        <w:pStyle w:val="4"/>
        <w:spacing w:line="600" w:lineRule="exact"/>
        <w:ind w:left="0"/>
        <w:rPr>
          <w:rFonts w:ascii="Times New Roman" w:hAnsi="Times New Roman" w:eastAsia="仿宋_GB2312" w:cs="Times New Roman"/>
        </w:rPr>
      </w:pPr>
    </w:p>
    <w:p>
      <w:pPr>
        <w:pStyle w:val="4"/>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单位（盖章）：</w:t>
      </w:r>
    </w:p>
    <w:p>
      <w:pPr>
        <w:pStyle w:val="4"/>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4"/>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4"/>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pgSz w:w="11910" w:h="16840"/>
          <w:pgMar w:top="1380" w:right="1380" w:bottom="1380" w:left="1040" w:header="0" w:footer="1196" w:gutter="0"/>
          <w:cols w:space="720" w:num="1"/>
        </w:sectPr>
      </w:pPr>
    </w:p>
    <w:p>
      <w:pPr>
        <w:pStyle w:val="4"/>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4"/>
        <w:spacing w:line="440" w:lineRule="exact"/>
        <w:ind w:left="760"/>
        <w:rPr>
          <w:rFonts w:ascii="Times New Roman" w:hAnsi="Times New Roman" w:eastAsia="仿宋_GB2312" w:cs="Times New Roman"/>
        </w:rPr>
      </w:pPr>
    </w:p>
    <w:p>
      <w:pPr>
        <w:pStyle w:val="4"/>
        <w:spacing w:line="420" w:lineRule="exact"/>
        <w:ind w:left="735" w:right="395"/>
        <w:jc w:val="center"/>
        <w:rPr>
          <w:rFonts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4"/>
        <w:spacing w:line="420" w:lineRule="exact"/>
        <w:ind w:left="735" w:right="395"/>
        <w:jc w:val="center"/>
        <w:rPr>
          <w:rFonts w:ascii="Times New Roman" w:hAnsi="Times New Roman" w:eastAsia="仿宋_GB2312" w:cs="Times New Roman"/>
        </w:rPr>
      </w:pPr>
    </w:p>
    <w:tbl>
      <w:tblPr>
        <w:tblStyle w:val="21"/>
        <w:tblW w:w="8396" w:type="dxa"/>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1" w:hRule="atLeast"/>
        </w:trPr>
        <w:tc>
          <w:tcPr>
            <w:tcW w:w="2830" w:type="dxa"/>
            <w:vAlign w:val="top"/>
          </w:tcPr>
          <w:p>
            <w:pPr>
              <w:pStyle w:val="14"/>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14"/>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vAlign w:val="top"/>
          </w:tcPr>
          <w:p>
            <w:pPr>
              <w:pStyle w:val="14"/>
              <w:keepNext/>
              <w:keepLines/>
              <w:spacing w:line="420" w:lineRule="exact"/>
              <w:rPr>
                <w:rFonts w:ascii="Times New Roman" w:hAnsi="Times New Roman" w:eastAsia="仿宋_GB2312" w:cs="Times New Roman"/>
                <w:sz w:val="24"/>
                <w:szCs w:val="24"/>
              </w:rPr>
            </w:pPr>
          </w:p>
        </w:tc>
        <w:tc>
          <w:tcPr>
            <w:tcW w:w="1882" w:type="dxa"/>
            <w:vAlign w:val="top"/>
          </w:tcPr>
          <w:p>
            <w:pPr>
              <w:pStyle w:val="14"/>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14"/>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vAlign w:val="top"/>
          </w:tcPr>
          <w:p>
            <w:pPr>
              <w:pStyle w:val="14"/>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9" w:hRule="atLeast"/>
        </w:trPr>
        <w:tc>
          <w:tcPr>
            <w:tcW w:w="8396" w:type="dxa"/>
            <w:gridSpan w:val="4"/>
            <w:vAlign w:val="top"/>
          </w:tcPr>
          <w:p>
            <w:pPr>
              <w:pStyle w:val="14"/>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4"/>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14"/>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4"/>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6" w:hRule="atLeast"/>
        </w:trPr>
        <w:tc>
          <w:tcPr>
            <w:tcW w:w="2830" w:type="dxa"/>
            <w:vAlign w:val="top"/>
          </w:tcPr>
          <w:p>
            <w:pPr>
              <w:pStyle w:val="14"/>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14"/>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14"/>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vAlign w:val="top"/>
          </w:tcPr>
          <w:p>
            <w:pPr>
              <w:pStyle w:val="14"/>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4" w:hRule="atLeast"/>
        </w:trPr>
        <w:tc>
          <w:tcPr>
            <w:tcW w:w="2830" w:type="dxa"/>
            <w:vAlign w:val="top"/>
          </w:tcPr>
          <w:p>
            <w:pPr>
              <w:pStyle w:val="14"/>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14"/>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4"/>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4"/>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14"/>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vAlign w:val="top"/>
          </w:tcPr>
          <w:p>
            <w:pPr>
              <w:pStyle w:val="14"/>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4"/>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14"/>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4"/>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2" w:hRule="atLeast"/>
        </w:trPr>
        <w:tc>
          <w:tcPr>
            <w:tcW w:w="8396" w:type="dxa"/>
            <w:gridSpan w:val="4"/>
            <w:vAlign w:val="top"/>
          </w:tcPr>
          <w:p>
            <w:pPr>
              <w:pStyle w:val="14"/>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10" w:hRule="atLeast"/>
        </w:trPr>
        <w:tc>
          <w:tcPr>
            <w:tcW w:w="8396" w:type="dxa"/>
            <w:gridSpan w:val="4"/>
            <w:vAlign w:val="top"/>
          </w:tcPr>
          <w:p>
            <w:pPr>
              <w:pStyle w:val="14"/>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4"/>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ab/>
            </w:r>
          </w:p>
          <w:p>
            <w:pPr>
              <w:pStyle w:val="14"/>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4"/>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14"/>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4"/>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14"/>
              <w:tabs>
                <w:tab w:val="left" w:pos="5615"/>
              </w:tabs>
              <w:spacing w:line="420" w:lineRule="exact"/>
              <w:ind w:left="3854" w:leftChars="1752" w:right="1482"/>
              <w:rPr>
                <w:rFonts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14"/>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14"/>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4"/>
        <w:spacing w:line="600" w:lineRule="exact"/>
        <w:ind w:left="759" w:leftChars="345" w:firstLine="640" w:firstLineChars="200"/>
        <w:rPr>
          <w:rFonts w:ascii="Times New Roman" w:hAnsi="Times New Roman" w:eastAsia="仿宋_GB2312" w:cs="Times New Roman"/>
          <w:color w:val="FF0000"/>
          <w:sz w:val="32"/>
          <w:szCs w:val="32"/>
        </w:rPr>
      </w:pPr>
    </w:p>
    <w:sectPr>
      <w:footerReference r:id="rId5"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ind w:left="0"/>
      <w:rPr>
        <w:rFonts w:eastAsia="宋体"/>
        <w:sz w:val="20"/>
      </w:rPr>
    </w:pPr>
  </w:p>
  <w:p>
    <w:pPr>
      <w:pStyle w:val="4"/>
      <w:spacing w:line="14" w:lineRule="auto"/>
      <w:ind w:left="0"/>
      <w:rPr>
        <w:sz w:val="20"/>
      </w:rPr>
    </w:pPr>
    <w:r>
      <w:rPr>
        <w:rFonts w:ascii="仿宋" w:hAnsi="仿宋" w:eastAsia="仿宋" w:cs="仿宋"/>
        <w:sz w:val="30"/>
        <w:szCs w:val="30"/>
        <w:lang w:val="zh-CN" w:eastAsia="zh-CN" w:bidi="zh-CN"/>
      </w:rPr>
      <w:pict>
        <v:shape id="Quad Arrow 6" o:spid="_x0000_s1025" type="#_x0000_t202" style="position:absolute;left:0;margin-left:293.3pt;margin-top:771.1pt;height:11pt;width:24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ind w:left="0"/>
      <w:rPr>
        <w:sz w:val="12"/>
      </w:rPr>
    </w:pPr>
    <w:r>
      <w:rPr>
        <w:rFonts w:ascii="仿宋" w:hAnsi="仿宋" w:eastAsia="仿宋" w:cs="仿宋"/>
        <w:sz w:val="30"/>
        <w:szCs w:val="30"/>
        <w:lang w:val="zh-CN" w:eastAsia="zh-CN" w:bidi="zh-CN"/>
      </w:rPr>
      <w:pict>
        <v:shape id="Quad Arrow 1" o:spid="_x0000_s1026" type="#_x0000_t202" style="position:absolute;left:0;margin-left:291.05pt;margin-top:771.1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2248835">
    <w:nsid w:val="7AEB6B83"/>
    <w:multiLevelType w:val="multilevel"/>
    <w:tmpl w:val="7AEB6B83"/>
    <w:lvl w:ilvl="0" w:tentative="1">
      <w:start w:val="1"/>
      <w:numFmt w:val="japaneseCounting"/>
      <w:lvlText w:val="（%1）"/>
      <w:lvlJc w:val="left"/>
      <w:pPr>
        <w:ind w:left="2245" w:hanging="900"/>
      </w:pPr>
      <w:rPr>
        <w:rFonts w:hint="default"/>
      </w:rPr>
    </w:lvl>
    <w:lvl w:ilvl="1" w:tentative="1">
      <w:start w:val="1"/>
      <w:numFmt w:val="lowerLetter"/>
      <w:lvlText w:val="%2)"/>
      <w:lvlJc w:val="left"/>
      <w:pPr>
        <w:ind w:left="2185" w:hanging="420"/>
      </w:pPr>
    </w:lvl>
    <w:lvl w:ilvl="2" w:tentative="1">
      <w:start w:val="1"/>
      <w:numFmt w:val="lowerRoman"/>
      <w:lvlText w:val="%3."/>
      <w:lvlJc w:val="right"/>
      <w:pPr>
        <w:ind w:left="2605" w:hanging="420"/>
      </w:pPr>
    </w:lvl>
    <w:lvl w:ilvl="3" w:tentative="1">
      <w:start w:val="1"/>
      <w:numFmt w:val="decimal"/>
      <w:lvlText w:val="%4."/>
      <w:lvlJc w:val="left"/>
      <w:pPr>
        <w:ind w:left="3025" w:hanging="420"/>
      </w:pPr>
    </w:lvl>
    <w:lvl w:ilvl="4" w:tentative="1">
      <w:start w:val="1"/>
      <w:numFmt w:val="lowerLetter"/>
      <w:lvlText w:val="%5)"/>
      <w:lvlJc w:val="left"/>
      <w:pPr>
        <w:ind w:left="3445" w:hanging="420"/>
      </w:pPr>
    </w:lvl>
    <w:lvl w:ilvl="5" w:tentative="1">
      <w:start w:val="1"/>
      <w:numFmt w:val="lowerRoman"/>
      <w:lvlText w:val="%6."/>
      <w:lvlJc w:val="right"/>
      <w:pPr>
        <w:ind w:left="3865" w:hanging="420"/>
      </w:pPr>
    </w:lvl>
    <w:lvl w:ilvl="6" w:tentative="1">
      <w:start w:val="1"/>
      <w:numFmt w:val="decimal"/>
      <w:lvlText w:val="%7."/>
      <w:lvlJc w:val="left"/>
      <w:pPr>
        <w:ind w:left="4285" w:hanging="420"/>
      </w:pPr>
    </w:lvl>
    <w:lvl w:ilvl="7" w:tentative="1">
      <w:start w:val="1"/>
      <w:numFmt w:val="lowerLetter"/>
      <w:lvlText w:val="%8)"/>
      <w:lvlJc w:val="left"/>
      <w:pPr>
        <w:ind w:left="4705" w:hanging="420"/>
      </w:pPr>
    </w:lvl>
    <w:lvl w:ilvl="8" w:tentative="1">
      <w:start w:val="1"/>
      <w:numFmt w:val="lowerRoman"/>
      <w:lvlText w:val="%9."/>
      <w:lvlJc w:val="right"/>
      <w:pPr>
        <w:ind w:left="5125" w:hanging="420"/>
      </w:pPr>
    </w:lvl>
  </w:abstractNum>
  <w:num w:numId="1">
    <w:abstractNumId w:val="20622488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E532E"/>
    <w:rsid w:val="000213C1"/>
    <w:rsid w:val="000341CD"/>
    <w:rsid w:val="000407E0"/>
    <w:rsid w:val="00046D3E"/>
    <w:rsid w:val="00052355"/>
    <w:rsid w:val="000556BF"/>
    <w:rsid w:val="00056714"/>
    <w:rsid w:val="00060110"/>
    <w:rsid w:val="0006556B"/>
    <w:rsid w:val="000766B1"/>
    <w:rsid w:val="000B651F"/>
    <w:rsid w:val="000D4287"/>
    <w:rsid w:val="001256FD"/>
    <w:rsid w:val="001400CB"/>
    <w:rsid w:val="001630CF"/>
    <w:rsid w:val="001700F8"/>
    <w:rsid w:val="00175DDE"/>
    <w:rsid w:val="001859F3"/>
    <w:rsid w:val="00186BEF"/>
    <w:rsid w:val="001B16D4"/>
    <w:rsid w:val="001B227C"/>
    <w:rsid w:val="001B39F6"/>
    <w:rsid w:val="001B3C07"/>
    <w:rsid w:val="001B6710"/>
    <w:rsid w:val="001B68D7"/>
    <w:rsid w:val="001C7ED5"/>
    <w:rsid w:val="001F0417"/>
    <w:rsid w:val="001F059C"/>
    <w:rsid w:val="00286574"/>
    <w:rsid w:val="002A1D8A"/>
    <w:rsid w:val="002D028D"/>
    <w:rsid w:val="002D0773"/>
    <w:rsid w:val="002D2227"/>
    <w:rsid w:val="002D4055"/>
    <w:rsid w:val="002D5D33"/>
    <w:rsid w:val="002D6856"/>
    <w:rsid w:val="00303692"/>
    <w:rsid w:val="00305B63"/>
    <w:rsid w:val="00311979"/>
    <w:rsid w:val="00317545"/>
    <w:rsid w:val="003215B9"/>
    <w:rsid w:val="003342B0"/>
    <w:rsid w:val="00337781"/>
    <w:rsid w:val="00351D0A"/>
    <w:rsid w:val="00356D55"/>
    <w:rsid w:val="0037381D"/>
    <w:rsid w:val="003953F6"/>
    <w:rsid w:val="003A12C6"/>
    <w:rsid w:val="003C0D46"/>
    <w:rsid w:val="003D2DDB"/>
    <w:rsid w:val="003D31A6"/>
    <w:rsid w:val="00411E97"/>
    <w:rsid w:val="00421401"/>
    <w:rsid w:val="00423178"/>
    <w:rsid w:val="0044170D"/>
    <w:rsid w:val="0044271B"/>
    <w:rsid w:val="00480FFF"/>
    <w:rsid w:val="004A7287"/>
    <w:rsid w:val="004B7AA8"/>
    <w:rsid w:val="004D6D38"/>
    <w:rsid w:val="004E04D6"/>
    <w:rsid w:val="004F1878"/>
    <w:rsid w:val="004F1BF1"/>
    <w:rsid w:val="004F4323"/>
    <w:rsid w:val="004F685A"/>
    <w:rsid w:val="005009E2"/>
    <w:rsid w:val="00503F3B"/>
    <w:rsid w:val="00516AA0"/>
    <w:rsid w:val="00517609"/>
    <w:rsid w:val="00527D22"/>
    <w:rsid w:val="00541584"/>
    <w:rsid w:val="00581338"/>
    <w:rsid w:val="005819E0"/>
    <w:rsid w:val="005B1E91"/>
    <w:rsid w:val="005C1836"/>
    <w:rsid w:val="005C3DFA"/>
    <w:rsid w:val="005C7CB8"/>
    <w:rsid w:val="005D3417"/>
    <w:rsid w:val="005D595C"/>
    <w:rsid w:val="005E3732"/>
    <w:rsid w:val="006067BD"/>
    <w:rsid w:val="00610B56"/>
    <w:rsid w:val="0062125F"/>
    <w:rsid w:val="00626469"/>
    <w:rsid w:val="00651004"/>
    <w:rsid w:val="00651105"/>
    <w:rsid w:val="00663A1A"/>
    <w:rsid w:val="00666175"/>
    <w:rsid w:val="00674067"/>
    <w:rsid w:val="0067674D"/>
    <w:rsid w:val="00683384"/>
    <w:rsid w:val="0068355A"/>
    <w:rsid w:val="00683E06"/>
    <w:rsid w:val="00694EBD"/>
    <w:rsid w:val="00697D60"/>
    <w:rsid w:val="006A0FEB"/>
    <w:rsid w:val="006A19E4"/>
    <w:rsid w:val="006B11B4"/>
    <w:rsid w:val="006B4689"/>
    <w:rsid w:val="006C2927"/>
    <w:rsid w:val="006D0409"/>
    <w:rsid w:val="006F1469"/>
    <w:rsid w:val="006F2C7D"/>
    <w:rsid w:val="006F7461"/>
    <w:rsid w:val="00732685"/>
    <w:rsid w:val="00735A0A"/>
    <w:rsid w:val="00740DA6"/>
    <w:rsid w:val="00744E95"/>
    <w:rsid w:val="007517EC"/>
    <w:rsid w:val="007837BC"/>
    <w:rsid w:val="00786F48"/>
    <w:rsid w:val="007B0270"/>
    <w:rsid w:val="007C5014"/>
    <w:rsid w:val="007D010D"/>
    <w:rsid w:val="00825F1F"/>
    <w:rsid w:val="0083417E"/>
    <w:rsid w:val="00843795"/>
    <w:rsid w:val="008469F8"/>
    <w:rsid w:val="00857D80"/>
    <w:rsid w:val="00863425"/>
    <w:rsid w:val="008636C1"/>
    <w:rsid w:val="00866841"/>
    <w:rsid w:val="00873A99"/>
    <w:rsid w:val="00873AD2"/>
    <w:rsid w:val="00890CD2"/>
    <w:rsid w:val="00894EA2"/>
    <w:rsid w:val="008B237B"/>
    <w:rsid w:val="008B55BA"/>
    <w:rsid w:val="008D5A61"/>
    <w:rsid w:val="008E01EA"/>
    <w:rsid w:val="008E1876"/>
    <w:rsid w:val="008F2A4A"/>
    <w:rsid w:val="008F2F59"/>
    <w:rsid w:val="008F73E5"/>
    <w:rsid w:val="00904882"/>
    <w:rsid w:val="0091107B"/>
    <w:rsid w:val="00944421"/>
    <w:rsid w:val="00956B85"/>
    <w:rsid w:val="00963206"/>
    <w:rsid w:val="00976898"/>
    <w:rsid w:val="00977ADE"/>
    <w:rsid w:val="00990551"/>
    <w:rsid w:val="009922F1"/>
    <w:rsid w:val="00996C77"/>
    <w:rsid w:val="009A288D"/>
    <w:rsid w:val="009A3B8E"/>
    <w:rsid w:val="009C2E42"/>
    <w:rsid w:val="009F32FB"/>
    <w:rsid w:val="009F6A73"/>
    <w:rsid w:val="009F7658"/>
    <w:rsid w:val="00A12B8B"/>
    <w:rsid w:val="00A159AF"/>
    <w:rsid w:val="00A3056F"/>
    <w:rsid w:val="00A317E1"/>
    <w:rsid w:val="00A426E1"/>
    <w:rsid w:val="00A50F4C"/>
    <w:rsid w:val="00A673F5"/>
    <w:rsid w:val="00A718F8"/>
    <w:rsid w:val="00A720B8"/>
    <w:rsid w:val="00A85EF4"/>
    <w:rsid w:val="00A934F8"/>
    <w:rsid w:val="00AD5859"/>
    <w:rsid w:val="00B16637"/>
    <w:rsid w:val="00B22079"/>
    <w:rsid w:val="00B27043"/>
    <w:rsid w:val="00B34DB4"/>
    <w:rsid w:val="00B5082C"/>
    <w:rsid w:val="00B66D34"/>
    <w:rsid w:val="00B73F97"/>
    <w:rsid w:val="00B93C71"/>
    <w:rsid w:val="00BA17DB"/>
    <w:rsid w:val="00BA5F4B"/>
    <w:rsid w:val="00BB6EA7"/>
    <w:rsid w:val="00BC130B"/>
    <w:rsid w:val="00BD08F7"/>
    <w:rsid w:val="00BD1342"/>
    <w:rsid w:val="00C0000A"/>
    <w:rsid w:val="00C01021"/>
    <w:rsid w:val="00C15C35"/>
    <w:rsid w:val="00C17DCE"/>
    <w:rsid w:val="00C20C46"/>
    <w:rsid w:val="00C4393A"/>
    <w:rsid w:val="00C6617C"/>
    <w:rsid w:val="00C77335"/>
    <w:rsid w:val="00C8440B"/>
    <w:rsid w:val="00C9144A"/>
    <w:rsid w:val="00C9531A"/>
    <w:rsid w:val="00C97863"/>
    <w:rsid w:val="00CA35D5"/>
    <w:rsid w:val="00CC5571"/>
    <w:rsid w:val="00CC7762"/>
    <w:rsid w:val="00CE2C83"/>
    <w:rsid w:val="00D05CEA"/>
    <w:rsid w:val="00D24BA8"/>
    <w:rsid w:val="00D51FA2"/>
    <w:rsid w:val="00D57D90"/>
    <w:rsid w:val="00D75260"/>
    <w:rsid w:val="00D7748E"/>
    <w:rsid w:val="00D86ECD"/>
    <w:rsid w:val="00DA1961"/>
    <w:rsid w:val="00DB3BF5"/>
    <w:rsid w:val="00DE659B"/>
    <w:rsid w:val="00E01CB4"/>
    <w:rsid w:val="00E0708A"/>
    <w:rsid w:val="00E1336E"/>
    <w:rsid w:val="00E13A25"/>
    <w:rsid w:val="00E31DF4"/>
    <w:rsid w:val="00E34BE5"/>
    <w:rsid w:val="00E46835"/>
    <w:rsid w:val="00E66644"/>
    <w:rsid w:val="00E72178"/>
    <w:rsid w:val="00E85331"/>
    <w:rsid w:val="00EA4667"/>
    <w:rsid w:val="00EA634D"/>
    <w:rsid w:val="00EA640E"/>
    <w:rsid w:val="00EA7843"/>
    <w:rsid w:val="00EC761D"/>
    <w:rsid w:val="00ED33F2"/>
    <w:rsid w:val="00EE56C7"/>
    <w:rsid w:val="00F34FD8"/>
    <w:rsid w:val="00F425A4"/>
    <w:rsid w:val="00F43BC7"/>
    <w:rsid w:val="00F46218"/>
    <w:rsid w:val="00F509F4"/>
    <w:rsid w:val="00F56D85"/>
    <w:rsid w:val="00F56DC2"/>
    <w:rsid w:val="00F63DC5"/>
    <w:rsid w:val="00F84A6E"/>
    <w:rsid w:val="00F94519"/>
    <w:rsid w:val="00FA0565"/>
    <w:rsid w:val="00FC08AE"/>
    <w:rsid w:val="00FC699A"/>
    <w:rsid w:val="00FC7AD6"/>
    <w:rsid w:val="00FD3F03"/>
    <w:rsid w:val="00FE532E"/>
    <w:rsid w:val="00FE7DA7"/>
    <w:rsid w:val="00FF0603"/>
    <w:rsid w:val="00FF0D4B"/>
    <w:rsid w:val="01526ABB"/>
    <w:rsid w:val="0EAE6622"/>
    <w:rsid w:val="0FBD7035"/>
    <w:rsid w:val="1C3560D4"/>
    <w:rsid w:val="38265C2B"/>
    <w:rsid w:val="3EF45FA1"/>
    <w:rsid w:val="4AD856DA"/>
    <w:rsid w:val="4D367DAF"/>
    <w:rsid w:val="4D426A4E"/>
    <w:rsid w:val="50C27A2F"/>
    <w:rsid w:val="57DA74B2"/>
    <w:rsid w:val="5D100901"/>
    <w:rsid w:val="5D965719"/>
    <w:rsid w:val="5EBB39EF"/>
    <w:rsid w:val="63A34684"/>
    <w:rsid w:val="74223BFB"/>
    <w:rsid w:val="7CDF5095"/>
    <w:rsid w:val="7E722B0F"/>
    <w:rsid w:val="7E820E9B"/>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68"/>
        <o:r id="V:Rule2" type="connector" idref="#Straight Connector 179"/>
        <o:r id="V:Rule3" type="connector" idref="#Straight Connector 180"/>
        <o:r id="V:Rule4" type="connector" idref="#Straight Connector 181"/>
        <o:r id="V:Rule5" type="connector" idref="#Straight Connector 182"/>
        <o:r id="V:Rule6" type="connector" idref="#Straight Connector 183"/>
        <o:r id="V:Rule7" type="connector" idref="#Straight Connector 184"/>
        <o:r id="V:Rule8" type="connector" idref="#Straight Connector 185"/>
        <o:r id="V:Rule9" type="connector" idref="#Straight Connector 186"/>
        <o:r id="V:Rule10" type="connector" idref="#Straight Connector 187"/>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8">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2">
    <w:name w:val="annotation subject"/>
    <w:basedOn w:val="3"/>
    <w:next w:val="3"/>
    <w:link w:val="20"/>
    <w:unhideWhenUsed/>
    <w:uiPriority w:val="99"/>
    <w:rPr>
      <w:b/>
      <w:bCs/>
    </w:rPr>
  </w:style>
  <w:style w:type="paragraph" w:styleId="3">
    <w:name w:val="annotation text"/>
    <w:basedOn w:val="1"/>
    <w:link w:val="19"/>
    <w:unhideWhenUsed/>
    <w:uiPriority w:val="99"/>
  </w:style>
  <w:style w:type="paragraph" w:styleId="4">
    <w:name w:val="Body Text"/>
    <w:basedOn w:val="1"/>
    <w:link w:val="18"/>
    <w:qFormat/>
    <w:uiPriority w:val="1"/>
    <w:pPr>
      <w:ind w:left="1360"/>
    </w:pPr>
    <w:rPr>
      <w:sz w:val="30"/>
      <w:szCs w:val="30"/>
    </w:rPr>
  </w:style>
  <w:style w:type="paragraph" w:styleId="5">
    <w:name w:val="Balloon Text"/>
    <w:basedOn w:val="1"/>
    <w:link w:val="17"/>
    <w:unhideWhenUsed/>
    <w:uiPriority w:val="99"/>
    <w:rPr>
      <w:sz w:val="18"/>
      <w:szCs w:val="18"/>
    </w:rPr>
  </w:style>
  <w:style w:type="paragraph" w:styleId="6">
    <w:name w:val="footer"/>
    <w:basedOn w:val="1"/>
    <w:link w:val="16"/>
    <w:unhideWhenUsed/>
    <w:uiPriority w:val="99"/>
    <w:pPr>
      <w:tabs>
        <w:tab w:val="center" w:pos="4153"/>
        <w:tab w:val="right" w:pos="8306"/>
      </w:tabs>
      <w:snapToGrid w:val="0"/>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uiPriority w:val="99"/>
    <w:rPr>
      <w:color w:val="0000FF"/>
      <w:u w:val="single"/>
    </w:rPr>
  </w:style>
  <w:style w:type="character" w:styleId="10">
    <w:name w:val="annotation reference"/>
    <w:basedOn w:val="8"/>
    <w:unhideWhenUsed/>
    <w:uiPriority w:val="99"/>
    <w:rPr>
      <w:sz w:val="21"/>
      <w:szCs w:val="21"/>
    </w:rPr>
  </w:style>
  <w:style w:type="paragraph" w:customStyle="1" w:styleId="12">
    <w:name w:val="Heading 1"/>
    <w:basedOn w:val="1"/>
    <w:qFormat/>
    <w:uiPriority w:val="1"/>
    <w:pPr>
      <w:spacing w:line="382" w:lineRule="exact"/>
      <w:ind w:left="1662" w:hanging="303"/>
      <w:outlineLvl w:val="1"/>
    </w:pPr>
    <w:rPr>
      <w:b/>
      <w:bCs/>
      <w:sz w:val="30"/>
      <w:szCs w:val="30"/>
    </w:rPr>
  </w:style>
  <w:style w:type="paragraph" w:customStyle="1" w:styleId="13">
    <w:name w:val="列出段落1"/>
    <w:basedOn w:val="1"/>
    <w:qFormat/>
    <w:uiPriority w:val="1"/>
    <w:pPr>
      <w:ind w:left="760" w:firstLine="600"/>
    </w:pPr>
  </w:style>
  <w:style w:type="paragraph" w:customStyle="1" w:styleId="14">
    <w:name w:val="Table Paragraph"/>
    <w:basedOn w:val="1"/>
    <w:qFormat/>
    <w:uiPriority w:val="1"/>
  </w:style>
  <w:style w:type="character" w:customStyle="1" w:styleId="15">
    <w:name w:val="页眉 Char"/>
    <w:basedOn w:val="8"/>
    <w:link w:val="7"/>
    <w:semiHidden/>
    <w:uiPriority w:val="99"/>
    <w:rPr>
      <w:rFonts w:ascii="仿宋" w:hAnsi="仿宋" w:eastAsia="仿宋" w:cs="仿宋"/>
      <w:sz w:val="18"/>
      <w:szCs w:val="18"/>
      <w:lang w:val="zh-CN" w:eastAsia="zh-CN" w:bidi="zh-CN"/>
    </w:rPr>
  </w:style>
  <w:style w:type="character" w:customStyle="1" w:styleId="16">
    <w:name w:val="页脚 Char"/>
    <w:basedOn w:val="8"/>
    <w:link w:val="6"/>
    <w:semiHidden/>
    <w:uiPriority w:val="99"/>
    <w:rPr>
      <w:rFonts w:ascii="仿宋" w:hAnsi="仿宋" w:eastAsia="仿宋" w:cs="仿宋"/>
      <w:sz w:val="18"/>
      <w:szCs w:val="18"/>
      <w:lang w:val="zh-CN" w:eastAsia="zh-CN" w:bidi="zh-CN"/>
    </w:rPr>
  </w:style>
  <w:style w:type="character" w:customStyle="1" w:styleId="17">
    <w:name w:val="批注框文本 Char"/>
    <w:basedOn w:val="8"/>
    <w:link w:val="5"/>
    <w:semiHidden/>
    <w:uiPriority w:val="99"/>
    <w:rPr>
      <w:rFonts w:ascii="仿宋" w:hAnsi="仿宋" w:eastAsia="仿宋" w:cs="仿宋"/>
      <w:sz w:val="18"/>
      <w:szCs w:val="18"/>
      <w:lang w:val="zh-CN" w:eastAsia="zh-CN" w:bidi="zh-CN"/>
    </w:rPr>
  </w:style>
  <w:style w:type="character" w:customStyle="1" w:styleId="18">
    <w:name w:val="正文文本 Char"/>
    <w:basedOn w:val="8"/>
    <w:link w:val="4"/>
    <w:uiPriority w:val="1"/>
    <w:rPr>
      <w:rFonts w:ascii="仿宋" w:hAnsi="仿宋" w:eastAsia="仿宋" w:cs="仿宋"/>
      <w:sz w:val="30"/>
      <w:szCs w:val="30"/>
      <w:lang w:val="zh-CN" w:eastAsia="zh-CN" w:bidi="zh-CN"/>
    </w:rPr>
  </w:style>
  <w:style w:type="character" w:customStyle="1" w:styleId="19">
    <w:name w:val="批注文字 Char"/>
    <w:basedOn w:val="8"/>
    <w:link w:val="3"/>
    <w:semiHidden/>
    <w:uiPriority w:val="99"/>
    <w:rPr>
      <w:rFonts w:ascii="仿宋" w:hAnsi="仿宋" w:eastAsia="仿宋" w:cs="仿宋"/>
      <w:sz w:val="22"/>
      <w:szCs w:val="22"/>
      <w:lang w:val="zh-CN" w:bidi="zh-CN"/>
    </w:rPr>
  </w:style>
  <w:style w:type="character" w:customStyle="1" w:styleId="20">
    <w:name w:val="批注主题 Char"/>
    <w:basedOn w:val="19"/>
    <w:link w:val="2"/>
    <w:semiHidden/>
    <w:uiPriority w:val="99"/>
    <w:rPr>
      <w:b/>
      <w:bCs/>
    </w:rPr>
  </w:style>
  <w:style w:type="table" w:customStyle="1" w:styleId="21">
    <w:name w:val="Table Normal"/>
    <w:unhideWhenUsed/>
    <w:qFormat/>
    <w:uiPriority w:val="2"/>
    <w:tblPr>
      <w:tblStyle w:val="11"/>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9</Pages>
  <Words>407</Words>
  <Characters>2324</Characters>
  <Lines>19</Lines>
  <Paragraphs>5</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陈炅炜</cp:lastModifiedBy>
  <cp:lastPrinted>2020-03-31T03:19:00Z</cp:lastPrinted>
  <dcterms:modified xsi:type="dcterms:W3CDTF">2023-08-18T03:04:08Z</dcterms:modified>
  <dc:title>  编号：57017</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2052-9.1.0.5019</vt:lpwstr>
  </property>
</Properties>
</file>