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政策性银行、全国性商业银行以外其他银行总行（含外国银行分行）即期结售汇业务市场准入审批</w:t>
      </w:r>
    </w:p>
    <w:p w:rsidR="008D0CDF" w:rsidRPr="00802604" w:rsidRDefault="008D0CDF" w:rsidP="008D0CDF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802604">
        <w:rPr>
          <w:rFonts w:ascii="Times New Roman" w:eastAsia="方正小标宋_GBK" w:hAnsi="Times New Roman" w:cs="方正小标宋_GBK" w:hint="eastAsia"/>
          <w:sz w:val="40"/>
          <w:szCs w:val="40"/>
        </w:rPr>
        <w:t>000171112004</w:t>
      </w:r>
      <w:r w:rsidRPr="00802604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8D0CDF" w:rsidRPr="00802604" w:rsidRDefault="008D0CDF" w:rsidP="008D0CDF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政策性银行、全国性商业银行以外其他银行总行（含外国银行分行）即期结售汇业务市场准入审批【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000171112004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8D0CDF" w:rsidRPr="00802604" w:rsidRDefault="008D0CDF" w:rsidP="00802604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政策性银行、全国性商业银行以外其他银行总行（含外国银行分行）即期结售汇业务市场准入审批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(00017111200401)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号文印发）第九条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8D0CDF" w:rsidRPr="00802604" w:rsidRDefault="008D0CDF" w:rsidP="008D0CDF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局（署、会）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外国银行分行头寸集中管理审批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,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银行（含农村信用社）即期结售汇业务市场准入</w:t>
      </w:r>
    </w:p>
    <w:p w:rsidR="008D0CDF" w:rsidRPr="00802604" w:rsidRDefault="008D0CDF" w:rsidP="008D0CDF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具有金融业务资格。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具备完善的业务管理制度。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具备办理业务所必需的软硬件设备。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拥有具备相应业务工作经验的高级管理人员和业务人员。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5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《银行办理结售汇业务管理办法实施细则》（汇发〔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号文印发）第六条银行申请办理即期结售汇业务，应当具备下列条件：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（一）具有金融业务资格。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（二）具备完善的业务管理制度。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四、</w:t>
      </w:r>
      <w:r w:rsidRPr="00802604">
        <w:rPr>
          <w:rFonts w:ascii="Times New Roman" w:eastAsia="黑体" w:hAnsi="Times New Roman"/>
          <w:sz w:val="28"/>
          <w:szCs w:val="28"/>
        </w:rPr>
        <w:t>行政许可服务对象类型</w:t>
      </w:r>
      <w:r w:rsidRPr="00802604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8D0CDF" w:rsidRPr="00802604" w:rsidRDefault="008D0CDF" w:rsidP="0020616F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8D0CDF" w:rsidRPr="00802604" w:rsidRDefault="008D0CDF" w:rsidP="008D0CDF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开展数据统计与监测，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掌握外汇业务情况。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办理结售汇业务的申请报告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《金融许可证》复印件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办理结售汇业务的内部管理规章制度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具备办理业务所必需的软硬件设备的说明材料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《银行办理结售汇业务管理办法实施细则》（汇发〔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2014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53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号文印发）第九条银行总行申请即期结售汇业务，应提交下列文件和资料：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（四）具备办理业务所必需的软硬件设备的说明材料。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（五）拥有具备相应业务工作经验的高级管理人员和业务人员的说明材料。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（六）需要经银行业监督管理部门批准外汇业务经营资格的，还应提交外汇业务许可文件的复印件。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8D0CDF" w:rsidRPr="00802604" w:rsidRDefault="0020616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8D0CDF" w:rsidRPr="00802604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8D0CDF" w:rsidRPr="00802604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定，出具不予受理行政许可通知书，并告知申请人向有关行政机关申请；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部分情况下开展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802604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lastRenderedPageBreak/>
        <w:t>外汇局征求其他部门意见的时间计算在以上办理时限内；依法需要听证、检验、检测、鉴定、专家评审等的时间，不计算在上述办理时限内。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8026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批准文件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8026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20616F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20616F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802604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8026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802604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8D0CDF" w:rsidRPr="00802604" w:rsidRDefault="008D0CDF" w:rsidP="008D0CDF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802604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8D0CDF" w:rsidRPr="00802604" w:rsidRDefault="008D0CDF" w:rsidP="008D0CDF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D348A3" w:rsidRPr="00802604" w:rsidRDefault="00D348A3">
      <w:pPr>
        <w:rPr>
          <w:rFonts w:ascii="Times New Roman" w:hAnsi="Times New Roman"/>
        </w:rPr>
      </w:pPr>
    </w:p>
    <w:sectPr w:rsidR="00D348A3" w:rsidRPr="00802604" w:rsidSect="0037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1C" w:rsidRDefault="00113E1C" w:rsidP="008D0CDF">
      <w:r>
        <w:separator/>
      </w:r>
    </w:p>
  </w:endnote>
  <w:endnote w:type="continuationSeparator" w:id="1">
    <w:p w:rsidR="00113E1C" w:rsidRDefault="00113E1C" w:rsidP="008D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1C" w:rsidRDefault="00113E1C" w:rsidP="008D0CDF">
      <w:r>
        <w:separator/>
      </w:r>
    </w:p>
  </w:footnote>
  <w:footnote w:type="continuationSeparator" w:id="1">
    <w:p w:rsidR="00113E1C" w:rsidRDefault="00113E1C" w:rsidP="008D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CDF"/>
    <w:rsid w:val="00113E1C"/>
    <w:rsid w:val="00134C20"/>
    <w:rsid w:val="0020616F"/>
    <w:rsid w:val="002B3224"/>
    <w:rsid w:val="003717B6"/>
    <w:rsid w:val="003C2DE1"/>
    <w:rsid w:val="005235FC"/>
    <w:rsid w:val="00751312"/>
    <w:rsid w:val="00802604"/>
    <w:rsid w:val="008D0CDF"/>
    <w:rsid w:val="00D348A3"/>
    <w:rsid w:val="00D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4</cp:revision>
  <dcterms:created xsi:type="dcterms:W3CDTF">2023-12-22T07:38:00Z</dcterms:created>
  <dcterms:modified xsi:type="dcterms:W3CDTF">2023-12-22T08:29:00Z</dcterms:modified>
</cp:coreProperties>
</file>