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4" w:rsidRDefault="00F127E4" w:rsidP="00F127E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地（市）分局办理的服务贸易外汇存放境外核准</w:t>
      </w:r>
    </w:p>
    <w:p w:rsidR="00F127E4" w:rsidRDefault="00F127E4" w:rsidP="00F127E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【000171103005】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F127E4" w:rsidRDefault="00F127E4" w:rsidP="00F127E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经常项目外汇存放境外核准【00017110300Y】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F127E4" w:rsidRDefault="00F127E4" w:rsidP="00F127E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地（市）分局办理的服务贸易外汇存放境外核准【000171103005】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F127E4" w:rsidRDefault="00F127E4" w:rsidP="00F127E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地（市）分局办理的服务贸易外汇存放境外外汇账户新办</w:t>
      </w:r>
      <w:r w:rsidR="00C6499D">
        <w:rPr>
          <w:rFonts w:ascii="方正仿宋_GBK" w:eastAsia="方正仿宋_GBK" w:hAnsi="方正仿宋_GBK" w:cs="方正仿宋_GBK" w:hint="eastAsia"/>
          <w:sz w:val="28"/>
          <w:szCs w:val="28"/>
        </w:rPr>
        <w:t>(00017110300501)</w:t>
      </w:r>
    </w:p>
    <w:p w:rsidR="00F127E4" w:rsidRDefault="00F127E4" w:rsidP="00F127E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地（市）分局办理的服务贸易外汇存放境外外汇账户变更</w:t>
      </w:r>
      <w:r w:rsidR="00C6499D">
        <w:rPr>
          <w:rFonts w:ascii="方正仿宋_GBK" w:eastAsia="方正仿宋_GBK" w:hAnsi="方正仿宋_GBK" w:cs="方正仿宋_GBK" w:hint="eastAsia"/>
          <w:sz w:val="28"/>
          <w:szCs w:val="28"/>
        </w:rPr>
        <w:t>(00017110300502)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F127E4" w:rsidRDefault="00F127E4" w:rsidP="00F127E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（1）《中华人民共和国外汇管理条例》第九条</w:t>
      </w:r>
    </w:p>
    <w:p w:rsidR="00F127E4" w:rsidRDefault="00F127E4" w:rsidP="00F127E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（2）《国务院对确需保留的行政审批项目设定行政许可的决定》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F127E4" w:rsidRDefault="00F127E4" w:rsidP="00F127E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（1）《经常项目外汇业务指引（2020年版）》（汇发〔2020〕14号文印发）第一百六十一条、第一百六十二条、第一百六十三条</w:t>
      </w:r>
    </w:p>
    <w:p w:rsidR="00F127E4" w:rsidRDefault="00F127E4" w:rsidP="00F127E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F127E4" w:rsidRDefault="00F127E4" w:rsidP="00F127E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《中华人民共和国外汇管理条例》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服务贸易外汇收入存放境外外汇账户审批</w:t>
      </w:r>
    </w:p>
    <w:p w:rsidR="00F127E4" w:rsidRDefault="00F127E4" w:rsidP="00F127E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地（市）分局办理的服务贸易外汇存放境外外汇账户新办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申请人为境内机构，服务贸易收入来源真实合法，且在境外有符合相关规定的支付需求；近两年无违反外汇管理规定行为。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地（市）分局办理的服务贸易外汇存放境外外汇账户变更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企业提高存放境外规模、境内企业集团调整参与成员公司的。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一百六十二条存放境外应具备下列条件：（一）货物出口收入或服务贸易外汇收入来源真实合法，且在境外有符合相关规定的支付需求；（二）近两年无违反外汇管理规定行为……。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（2）《经常项目外汇业务指引（2020年版）》（汇发〔2020〕14号文印发）第一百六十三条……企业提高存放境外规模、境内企业集团调整参与成员公司的，应持书面申请向所在地外汇局申请变更登记……。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Pr="00C6499D" w:rsidRDefault="00F127E4" w:rsidP="00C6499D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地（市）分局办理的服务贸易外汇存放境外外汇账户新办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书面申请原件1份。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地（市）分局办理的服务贸易外汇存放境外外汇账户变更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书面申请原件1份。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《经常项目外汇业务指引（2020年版）》（汇发〔2020〕14号文印发）第一百六十三条境内机构开立境外账户，应凭下列材料到所在地外汇局办理境外开户登记：（一）法定代表人或其授权人签字并加盖企业公章的书面申请，书面申请内容包括但不限于：基本情况、业务开展情况、拟开户银行、使用期限、根据实际需要申请的存放境外资金规模等；……企业提高存放境外规模、境内企业集团调整参与成员公司的，应持书面申请书向所在地外汇局申请变更登记。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Pr="00C6499D" w:rsidRDefault="00F127E4" w:rsidP="00C6499D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（一）申请事项属于本局职责范围，但依法不需要取得行政许可的，应即时告知申请人不受理，出具不予受理行政许可通知书；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（二）申请不符合法定条件、拟不予行政许可的，应出具不予行政许可决定书，并说明不予行政许可的理由，告知申请人享有依法申请行政复议的权利。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F127E4" w:rsidRDefault="00F127E4" w:rsidP="00F127E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管副局长批准，可延长10个工作日，并向申请人出具延长行政许可办理期限通知书，说明延长期限的理由。行政许可办理期限只能延长一次。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F127E4" w:rsidRDefault="00F127E4" w:rsidP="00F127E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经常项目外汇业务核准件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无期限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十一、行政许可数量限制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Pr="00C6499D" w:rsidRDefault="00F127E4" w:rsidP="00C6499D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Pr="00C6499D" w:rsidRDefault="00F127E4" w:rsidP="00C6499D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Pr="00C6499D" w:rsidRDefault="00F127E4" w:rsidP="00C6499D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C6499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F127E4" w:rsidRDefault="00F127E4" w:rsidP="00F127E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F127E4" w:rsidRDefault="00F127E4" w:rsidP="00F127E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5167F8" w:rsidRPr="0096526C" w:rsidRDefault="00F127E4" w:rsidP="0096526C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sectPr w:rsidR="005167F8" w:rsidRPr="0096526C" w:rsidSect="00201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FE" w:rsidRDefault="00A501FE" w:rsidP="00F127E4">
      <w:r>
        <w:separator/>
      </w:r>
    </w:p>
  </w:endnote>
  <w:endnote w:type="continuationSeparator" w:id="1">
    <w:p w:rsidR="00A501FE" w:rsidRDefault="00A501FE" w:rsidP="00F1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FE" w:rsidRDefault="00A501FE" w:rsidP="00F127E4">
      <w:r>
        <w:separator/>
      </w:r>
    </w:p>
  </w:footnote>
  <w:footnote w:type="continuationSeparator" w:id="1">
    <w:p w:rsidR="00A501FE" w:rsidRDefault="00A501FE" w:rsidP="00F1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7E4"/>
    <w:rsid w:val="00020CDC"/>
    <w:rsid w:val="00047DDF"/>
    <w:rsid w:val="00196816"/>
    <w:rsid w:val="00201AD4"/>
    <w:rsid w:val="00406AA2"/>
    <w:rsid w:val="005167F8"/>
    <w:rsid w:val="00693AB7"/>
    <w:rsid w:val="009256AA"/>
    <w:rsid w:val="0096526C"/>
    <w:rsid w:val="00A501FE"/>
    <w:rsid w:val="00A71332"/>
    <w:rsid w:val="00C42ECA"/>
    <w:rsid w:val="00C6499D"/>
    <w:rsid w:val="00D94510"/>
    <w:rsid w:val="00DC078F"/>
    <w:rsid w:val="00DD6041"/>
    <w:rsid w:val="00EA1596"/>
    <w:rsid w:val="00F1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15</cp:revision>
  <dcterms:created xsi:type="dcterms:W3CDTF">2023-12-08T08:39:00Z</dcterms:created>
  <dcterms:modified xsi:type="dcterms:W3CDTF">2023-12-08T08:42:00Z</dcterms:modified>
</cp:coreProperties>
</file>