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政策性银行、全国性商业银行决定机构为国家外汇管理局；其他银行决定机构为所在地国家外汇管理局分局（外汇管理部）。外国银行分行视同总行管理。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各地外汇分局办公地址和办公时间见各地外汇局官方互联网站。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cs="Times New Roman"/>
        </w:rPr>
        <w:pict>
          <v:group id="_x0000_s1447" o:spid="_x0000_s1447" o:spt="203" style="position:absolute;left:0pt;margin-left:-39.65pt;margin-top:29.1pt;height:421.5pt;width:459.7pt;z-index:251658240;mso-width-relative:page;mso-height-relative:page;" coordorigin="1007,3270" coordsize="9194,8430">
            <o:lock v:ext="edit"/>
            <v:shape id="_x0000_s1448" o:spid="_x0000_s1448" o:spt="32" type="#_x0000_t32" style="position:absolute;left:2612;top:4693;height:1468;width:17;" o:connectortype="straight" filled="f" coordsize="21600,21600">
              <v:path arrowok="t"/>
              <v:fill on="f" focussize="0,0"/>
              <v:stroke endarrow="block"/>
              <v:imagedata o:title=""/>
              <o:lock v:ext="edit"/>
            </v:shape>
            <v:shape id="_x0000_s1449" o:spid="_x0000_s1449" o:spt="32" type="#_x0000_t32" style="position:absolute;left:3667;top:5789;height:0;width:1172;" o:connectortype="straight" filled="f" coordsize="21600,21600">
              <v:path arrowok="t"/>
              <v:fill on="f" focussize="0,0"/>
              <v:stroke endarrow="block"/>
              <v:imagedata o:title=""/>
              <o:lock v:ext="edit"/>
            </v:shape>
            <v:shape id="_x0000_s1450" o:spid="_x0000_s1450" o:spt="32" type="#_x0000_t32" style="position:absolute;left:3667;top:6593;height:0;width:1172;" o:connectortype="straight" filled="f" coordsize="21600,21600">
              <v:path arrowok="t"/>
              <v:fill on="f" focussize="0,0"/>
              <v:stroke endarrow="block"/>
              <v:imagedata o:title=""/>
              <o:lock v:ext="edit"/>
            </v:shape>
            <v:shape id="_x0000_s1451" o:spid="_x0000_s1451" o:spt="32" type="#_x0000_t32" style="position:absolute;left:8191;top:4642;flip:y;height:895;width:1;" o:connectortype="straight" filled="f" coordsize="21600,21600">
              <v:path arrowok="t"/>
              <v:fill on="f" focussize="0,0"/>
              <v:stroke endarrow="block"/>
              <v:imagedata o:title=""/>
              <o:lock v:ext="edit"/>
            </v:shape>
            <v:shape id="_x0000_s1452" o:spid="_x0000_s1452" o:spt="32" type="#_x0000_t32" style="position:absolute;left:2629;top:4981;flip:x;height:1;width:4643;" o:connectortype="straight" filled="f" coordsize="21600,21600">
              <v:path arrowok="t"/>
              <v:fill on="f" focussize="0,0"/>
              <v:stroke endarrow="block"/>
              <v:imagedata o:title=""/>
              <o:lock v:ext="edit"/>
            </v:shape>
            <v:shape id="_x0000_s1453" o:spid="_x0000_s1453" o:spt="32" type="#_x0000_t32" style="position:absolute;left:5392;top:8652;height:437;width:0;" o:connectortype="straight" filled="f" coordsize="21600,21600">
              <v:path arrowok="t"/>
              <v:fill on="f" focussize="0,0"/>
              <v:stroke endarrow="block"/>
              <v:imagedata o:title=""/>
              <o:lock v:ext="edit"/>
            </v:shape>
            <v:shape id="_x0000_s1454" o:spid="_x0000_s1454" o:spt="32" type="#_x0000_t32" style="position:absolute;left:6547;top:9623;height:905;width:17;" o:connectortype="straight" filled="f" coordsize="21600,21600">
              <v:path arrowok="t"/>
              <v:fill on="f" focussize="0,0"/>
              <v:stroke endarrow="block"/>
              <v:imagedata o:title=""/>
              <o:lock v:ext="edit"/>
            </v:shape>
            <v:shape id="_x0000_s1455" o:spid="_x0000_s1455" o:spt="32" type="#_x0000_t32" style="position:absolute;left:4432;top:9623;height:905;width:1;" o:connectortype="straight" filled="f" coordsize="21600,21600">
              <v:path arrowok="t"/>
              <v:fill on="f" focussize="0,0"/>
              <v:stroke endarrow="block"/>
              <v:imagedata o:title=""/>
              <o:lock v:ext="edit"/>
            </v:shape>
            <v:shape id="_x0000_s1456" o:spid="_x0000_s1456" o:spt="32" type="#_x0000_t32" style="position:absolute;left:2612;top:6826;height:1391;width:0;" o:connectortype="straight" filled="f" coordsize="21600,21600">
              <v:path arrowok="t"/>
              <v:fill on="f" focussize="0,0"/>
              <v:stroke/>
              <v:imagedata o:title=""/>
              <o:lock v:ext="edit"/>
            </v:shape>
            <v:shape id="_x0000_s1457" o:spid="_x0000_s1457" o:spt="32" type="#_x0000_t32" style="position:absolute;left:2612;top:8217;height:0;width:822;" o:connectortype="straight" filled="f" coordsize="21600,21600">
              <v:path arrowok="t"/>
              <v:fill on="f" focussize="0,0"/>
              <v:stroke endarrow="block"/>
              <v:imagedata o:title=""/>
              <o:lock v:ext="edit"/>
            </v:shape>
            <v:shape id="_x0000_s1458" o:spid="_x0000_s1458" o:spt="110" type="#_x0000_t110" style="position:absolute;left:1007;top:5267;height:1889;width:3274;" coordsize="21600,21600">
              <v:path/>
              <v:fill focussize="0,0"/>
              <v:stroke joinstyle="miter"/>
              <v:imagedata o:title=""/>
              <o:lock v:ext="edit"/>
              <v:textbox>
                <w:txbxContent>
                  <w:p>
                    <w:r>
                      <w:rPr>
                        <w:rFonts w:hint="eastAsia"/>
                      </w:rPr>
                      <w:t>接件并当场（或5个工作日）作出是否受理决定</w:t>
                    </w:r>
                  </w:p>
                  <w:p/>
                </w:txbxContent>
              </v:textbox>
            </v:shape>
            <v:rect id="_x0000_s1459" o:spid="_x0000_s1459" o:spt="1" style="position:absolute;left:7272;top:4470;height:796;width:2094;" coordsize="21600,21600">
              <v:path/>
              <v:fill focussize="0,0"/>
              <v:stroke/>
              <v:imagedata o:title=""/>
              <o:lock v:ext="edit"/>
              <v:textbox>
                <w:txbxContent>
                  <w:p>
                    <w:pPr>
                      <w:jc w:val="center"/>
                    </w:pPr>
                    <w:r>
                      <w:rPr>
                        <w:rFonts w:hint="eastAsia"/>
                      </w:rPr>
                      <w:t>申请人补全材料</w:t>
                    </w:r>
                  </w:p>
                  <w:p/>
                </w:txbxContent>
              </v:textbox>
            </v:rect>
            <v:rect id="_x0000_s1460" o:spid="_x0000_s1460" o:spt="1" style="position:absolute;left:4839;top:5537;height:500;width:5362;" coordsize="21600,21600">
              <v:path/>
              <v:fill focussize="0,0"/>
              <v:stroke/>
              <v:imagedata o:title=""/>
              <o:lock v:ext="edit"/>
              <v:textbox>
                <w:txbxContent>
                  <w:p>
                    <w:r>
                      <w:rPr>
                        <w:rFonts w:hint="eastAsia"/>
                      </w:rPr>
                      <w:t>材料不全或不符合法定形式的，一次性告知补正材料</w:t>
                    </w:r>
                  </w:p>
                  <w:p/>
                </w:txbxContent>
              </v:textbox>
            </v:rect>
            <v:rect id="_x0000_s1461" o:spid="_x0000_s1461" o:spt="1" style="position:absolute;left:4839;top:6389;height:906;width:5362;" coordsize="21600,21600">
              <v:path/>
              <v:fill focussize="0,0"/>
              <v:stroke/>
              <v:imagedata o:title=""/>
              <o:lock v:ext="edit"/>
              <v:textbox>
                <w:txbxContent>
                  <w:p>
                    <w:r>
                      <w:rPr>
                        <w:rFonts w:hint="eastAsia"/>
                      </w:rPr>
                      <w:t>依法不予受理的，作出不予受理决定，出具不予受理通知书</w:t>
                    </w:r>
                  </w:p>
                  <w:p/>
                </w:txbxContent>
              </v:textbox>
            </v:rect>
            <v:rect id="_x0000_s1462" o:spid="_x0000_s1462" o:spt="1" style="position:absolute;left:3433;top:8049;height:603;width:4104;" coordsize="21600,21600">
              <v:path/>
              <v:fill focussize="0,0"/>
              <v:stroke/>
              <v:imagedata o:title=""/>
              <o:lock v:ext="edit"/>
              <v:textbox>
                <w:txbxContent>
                  <w:p>
                    <w:pPr>
                      <w:jc w:val="center"/>
                    </w:pPr>
                    <w:r>
                      <w:rPr>
                        <w:rFonts w:hint="eastAsia"/>
                      </w:rPr>
                      <w:t>依法应予受理，出具受理单</w:t>
                    </w:r>
                  </w:p>
                  <w:p/>
                </w:txbxContent>
              </v:textbox>
            </v:rect>
            <v:rect id="_x0000_s1463" o:spid="_x0000_s1463" o:spt="1" style="position:absolute;left:3434;top:9089;height:534;width:4252;" coordsize="21600,21600">
              <v:path/>
              <v:fill focussize="0,0"/>
              <v:stroke/>
              <v:imagedata o:title=""/>
              <o:lock v:ext="edit"/>
              <v:textbox>
                <w:txbxContent>
                  <w:p>
                    <w:pPr>
                      <w:jc w:val="center"/>
                    </w:pPr>
                    <w:r>
                      <w:rPr>
                        <w:rFonts w:hint="eastAsia"/>
                      </w:rPr>
                      <w:t>审查报批</w:t>
                    </w:r>
                  </w:p>
                  <w:p/>
                </w:txbxContent>
              </v:textbox>
            </v:rect>
            <v:rect id="_x0000_s1464" o:spid="_x0000_s1464" o:spt="1" style="position:absolute;left:1771;top:3270;height:1423;width:2894;" coordsize="21600,2160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465" o:spid="_x0000_s1465" o:spt="1" style="position:absolute;left:3433;top:10528;height:1172;width:1747;" coordsize="21600,21600">
              <v:path/>
              <v:fill focussize="0,0"/>
              <v:stroke/>
              <v:imagedata o:title=""/>
              <o:lock v:ext="edit"/>
              <v:textbox>
                <w:txbxContent>
                  <w:p>
                    <w:r>
                      <w:rPr>
                        <w:rFonts w:hint="eastAsia"/>
                      </w:rPr>
                      <w:t>予以许可，向申请人出具正式公文或备案表</w:t>
                    </w:r>
                  </w:p>
                  <w:p/>
                </w:txbxContent>
              </v:textbox>
            </v:rect>
            <v:rect id="_x0000_s1466" o:spid="_x0000_s1466" o:spt="1" style="position:absolute;left:5790;top:10528;height:1172;width:1747;" coordsize="21600,21600">
              <v:path/>
              <v:fill focussize="0,0"/>
              <v:stroke/>
              <v:imagedata o:title=""/>
              <o:lock v:ext="edit"/>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3044"/>
    <w:rsid w:val="00344107"/>
    <w:rsid w:val="00344B01"/>
    <w:rsid w:val="00353AC4"/>
    <w:rsid w:val="00356BC8"/>
    <w:rsid w:val="003616B4"/>
    <w:rsid w:val="003642BD"/>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45AB3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448"/>
        <o:r id="V:Rule2" type="connector" idref="#_x0000_s1449"/>
        <o:r id="V:Rule3" type="connector" idref="#_x0000_s1450"/>
        <o:r id="V:Rule4" type="connector" idref="#_x0000_s1451"/>
        <o:r id="V:Rule5" type="connector" idref="#_x0000_s1452"/>
        <o:r id="V:Rule6" type="connector" idref="#_x0000_s1453"/>
        <o:r id="V:Rule7" type="connector" idref="#_x0000_s1454"/>
        <o:r id="V:Rule8" type="connector" idref="#_x0000_s1455"/>
        <o:r id="V:Rule9" type="connector" idref="#_x0000_s1456"/>
        <o:r id="V:Rule10" type="connector" idref="#_x0000_s14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3"/>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semiHidden/>
    <w:qFormat/>
    <w:uiPriority w:val="0"/>
    <w:pPr>
      <w:snapToGrid w:val="0"/>
      <w:jc w:val="left"/>
    </w:pPr>
    <w:rPr>
      <w:rFonts w:ascii="Times New Roman" w:hAnsi="Times New Roman"/>
      <w:sz w:val="18"/>
      <w:szCs w:val="18"/>
    </w:rPr>
  </w:style>
  <w:style w:type="paragraph" w:styleId="12">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10"/>
    <w:uiPriority w:val="99"/>
    <w:rPr>
      <w:sz w:val="18"/>
      <w:szCs w:val="18"/>
    </w:rPr>
  </w:style>
  <w:style w:type="character" w:customStyle="1" w:styleId="21">
    <w:name w:val="页脚 Char"/>
    <w:basedOn w:val="16"/>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8"/>
    <w:semiHidden/>
    <w:uiPriority w:val="0"/>
    <w:rPr>
      <w:sz w:val="18"/>
      <w:szCs w:val="18"/>
    </w:rPr>
  </w:style>
  <w:style w:type="character" w:customStyle="1" w:styleId="24">
    <w:name w:val="HTML 预设格式 Char"/>
    <w:basedOn w:val="16"/>
    <w:link w:val="12"/>
    <w:uiPriority w:val="99"/>
    <w:rPr>
      <w:rFonts w:ascii="宋体" w:hAnsi="宋体" w:eastAsia="宋体" w:cs="宋体"/>
      <w:kern w:val="0"/>
      <w:sz w:val="24"/>
      <w:szCs w:val="24"/>
    </w:rPr>
  </w:style>
  <w:style w:type="paragraph" w:customStyle="1" w:styleId="25">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qFormat/>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qFormat/>
    <w:uiPriority w:val="99"/>
    <w:rPr>
      <w:kern w:val="2"/>
      <w:sz w:val="18"/>
      <w:szCs w:val="18"/>
    </w:rPr>
  </w:style>
  <w:style w:type="character" w:customStyle="1" w:styleId="33">
    <w:name w:val="脚注文本 Char1"/>
    <w:basedOn w:val="16"/>
    <w:link w:val="11"/>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qFormat/>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qFormat/>
    <w:uiPriority w:val="0"/>
    <w:pPr>
      <w:widowControl/>
    </w:pPr>
    <w:rPr>
      <w:rFonts w:ascii="Calibri" w:hAnsi="Calibri" w:eastAsia="宋体" w:cs="宋体"/>
      <w:kern w:val="0"/>
      <w:szCs w:val="21"/>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78815-C19E-4C13-AAC9-DBCB193D1A3D}">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2309</Characters>
  <Lines>19</Lines>
  <Paragraphs>5</Paragraphs>
  <TotalTime>60</TotalTime>
  <ScaleCrop>false</ScaleCrop>
  <LinksUpToDate>false</LinksUpToDate>
  <CharactersWithSpaces>2708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2020-11-20T10:26:57Z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