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90" w:rsidRPr="004512F2" w:rsidRDefault="005F4090">
      <w:pPr>
        <w:rPr>
          <w:rFonts w:ascii="仿宋_GB2312" w:eastAsia="仿宋_GB2312"/>
          <w:sz w:val="30"/>
          <w:szCs w:val="30"/>
        </w:rPr>
      </w:pPr>
    </w:p>
    <w:p w:rsidR="006030D3" w:rsidRPr="004512F2" w:rsidRDefault="006030D3" w:rsidP="00BE4B57">
      <w:pPr>
        <w:jc w:val="center"/>
        <w:rPr>
          <w:rFonts w:ascii="仿宋_GB2312" w:eastAsia="仿宋_GB2312"/>
          <w:sz w:val="30"/>
          <w:szCs w:val="30"/>
        </w:rPr>
      </w:pPr>
      <w:r w:rsidRPr="004512F2">
        <w:rPr>
          <w:rFonts w:ascii="仿宋_GB2312" w:eastAsia="仿宋_GB2312" w:hint="eastAsia"/>
          <w:sz w:val="30"/>
          <w:szCs w:val="30"/>
        </w:rPr>
        <w:t>境外机构投资者投资银行间债券市场有关外汇管理问题的解答</w:t>
      </w:r>
    </w:p>
    <w:p w:rsidR="006030D3" w:rsidRPr="004512F2" w:rsidRDefault="006030D3" w:rsidP="00BE4B57">
      <w:pPr>
        <w:jc w:val="center"/>
        <w:rPr>
          <w:rFonts w:ascii="仿宋_GB2312" w:eastAsia="仿宋_GB2312"/>
          <w:sz w:val="30"/>
          <w:szCs w:val="30"/>
        </w:rPr>
      </w:pPr>
      <w:r w:rsidRPr="004512F2">
        <w:rPr>
          <w:rFonts w:ascii="仿宋_GB2312" w:eastAsia="仿宋_GB2312" w:hint="eastAsia"/>
          <w:sz w:val="30"/>
          <w:szCs w:val="30"/>
        </w:rPr>
        <w:t>（第一期）</w:t>
      </w:r>
    </w:p>
    <w:p w:rsidR="00BE4B57" w:rsidRPr="004512F2" w:rsidRDefault="006030D3" w:rsidP="00472BE7">
      <w:pPr>
        <w:ind w:firstLineChars="189" w:firstLine="567"/>
        <w:outlineLvl w:val="0"/>
        <w:rPr>
          <w:rFonts w:ascii="仿宋_GB2312" w:eastAsia="仿宋_GB2312"/>
          <w:sz w:val="30"/>
          <w:szCs w:val="30"/>
        </w:rPr>
      </w:pPr>
      <w:r w:rsidRPr="004512F2">
        <w:rPr>
          <w:rFonts w:ascii="仿宋_GB2312" w:eastAsia="仿宋_GB2312" w:hint="eastAsia"/>
          <w:sz w:val="30"/>
          <w:szCs w:val="30"/>
        </w:rPr>
        <w:t>一、</w:t>
      </w:r>
      <w:r w:rsidR="00BE4B57" w:rsidRPr="004512F2">
        <w:rPr>
          <w:rFonts w:ascii="仿宋_GB2312" w:eastAsia="仿宋_GB2312" w:hint="eastAsia"/>
          <w:sz w:val="30"/>
          <w:szCs w:val="30"/>
        </w:rPr>
        <w:t>外汇登记</w:t>
      </w:r>
    </w:p>
    <w:p w:rsidR="006030D3"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t>（一）</w:t>
      </w:r>
      <w:r w:rsidR="006030D3" w:rsidRPr="00472BE7">
        <w:rPr>
          <w:rFonts w:ascii="仿宋_GB2312" w:eastAsia="仿宋_GB2312" w:hint="eastAsia"/>
          <w:b/>
          <w:sz w:val="30"/>
          <w:szCs w:val="30"/>
        </w:rPr>
        <w:t>哪些境外投资者需要办理登记</w:t>
      </w:r>
      <w:r w:rsidR="00F36DD2" w:rsidRPr="00472BE7">
        <w:rPr>
          <w:rFonts w:ascii="仿宋_GB2312" w:eastAsia="仿宋_GB2312" w:hint="eastAsia"/>
          <w:b/>
          <w:sz w:val="30"/>
          <w:szCs w:val="30"/>
        </w:rPr>
        <w:t>？</w:t>
      </w:r>
    </w:p>
    <w:p w:rsidR="00F36DD2" w:rsidRPr="004512F2" w:rsidRDefault="000823EC" w:rsidP="000823EC">
      <w:pPr>
        <w:ind w:firstLineChars="189" w:firstLine="567"/>
        <w:rPr>
          <w:rFonts w:ascii="仿宋_GB2312" w:eastAsia="仿宋_GB2312"/>
          <w:sz w:val="30"/>
          <w:szCs w:val="30"/>
        </w:rPr>
      </w:pPr>
      <w:r>
        <w:rPr>
          <w:rFonts w:ascii="仿宋_GB2312" w:eastAsia="仿宋_GB2312" w:hint="eastAsia"/>
          <w:sz w:val="30"/>
          <w:szCs w:val="30"/>
        </w:rPr>
        <w:t>答：</w:t>
      </w:r>
      <w:r w:rsidR="00F36DD2" w:rsidRPr="004512F2">
        <w:rPr>
          <w:rFonts w:ascii="仿宋_GB2312" w:eastAsia="仿宋_GB2312" w:hint="eastAsia"/>
          <w:sz w:val="30"/>
          <w:szCs w:val="30"/>
        </w:rPr>
        <w:t>根据</w:t>
      </w:r>
      <w:r w:rsidR="004512F2" w:rsidRPr="004512F2">
        <w:rPr>
          <w:rFonts w:ascii="仿宋_GB2312" w:eastAsia="仿宋_GB2312" w:hAnsi="Times New Roman" w:hint="eastAsia"/>
          <w:sz w:val="30"/>
          <w:szCs w:val="30"/>
        </w:rPr>
        <w:t>《国家外汇管理局关于境外机构投资者投资银行间债券市场有关外汇管理问题的通知》（汇发[2016]12号，以下简称</w:t>
      </w:r>
      <w:r w:rsidR="004512F2">
        <w:rPr>
          <w:rFonts w:ascii="仿宋_GB2312" w:eastAsia="仿宋_GB2312" w:hAnsi="Times New Roman" w:hint="eastAsia"/>
          <w:sz w:val="30"/>
          <w:szCs w:val="30"/>
        </w:rPr>
        <w:t>12号文</w:t>
      </w:r>
      <w:r w:rsidR="004512F2" w:rsidRPr="004512F2">
        <w:rPr>
          <w:rFonts w:ascii="仿宋_GB2312" w:eastAsia="仿宋_GB2312" w:hAnsi="Times New Roman" w:hint="eastAsia"/>
          <w:sz w:val="30"/>
          <w:szCs w:val="30"/>
        </w:rPr>
        <w:t>）</w:t>
      </w:r>
      <w:r w:rsidR="004512F2">
        <w:rPr>
          <w:rFonts w:ascii="仿宋_GB2312" w:eastAsia="仿宋_GB2312" w:hAnsi="Times New Roman" w:hint="eastAsia"/>
          <w:sz w:val="30"/>
          <w:szCs w:val="30"/>
        </w:rPr>
        <w:t>的要求，</w:t>
      </w:r>
      <w:r w:rsidR="004512F2">
        <w:rPr>
          <w:rFonts w:ascii="仿宋_GB2312" w:eastAsia="仿宋_GB2312" w:hAnsi="仿宋_GB2312" w:cs="Times New Roman" w:hint="eastAsia"/>
          <w:sz w:val="30"/>
          <w:szCs w:val="30"/>
        </w:rPr>
        <w:t>境外机构投资者投资境内银行间债券市场，应通过其结算代理人在资本</w:t>
      </w:r>
      <w:r w:rsidR="004512F2" w:rsidRPr="004512F2">
        <w:rPr>
          <w:rFonts w:ascii="仿宋_GB2312" w:eastAsia="仿宋_GB2312" w:hint="eastAsia"/>
          <w:sz w:val="30"/>
          <w:szCs w:val="30"/>
        </w:rPr>
        <w:t>项目信息系统中办理登记。</w:t>
      </w:r>
    </w:p>
    <w:p w:rsidR="004512F2" w:rsidRDefault="00AB361B" w:rsidP="000823EC">
      <w:pPr>
        <w:ind w:firstLineChars="189" w:firstLine="567"/>
        <w:rPr>
          <w:rFonts w:ascii="仿宋_GB2312" w:eastAsia="仿宋_GB2312"/>
          <w:sz w:val="30"/>
          <w:szCs w:val="30"/>
        </w:rPr>
      </w:pPr>
      <w:r>
        <w:rPr>
          <w:rFonts w:ascii="仿宋_GB2312" w:eastAsia="仿宋_GB2312" w:hint="eastAsia"/>
          <w:sz w:val="30"/>
          <w:szCs w:val="30"/>
        </w:rPr>
        <w:t>在12号文发布以前已经进入银行间债券市场的投资者，包括</w:t>
      </w:r>
      <w:r w:rsidR="004512F2" w:rsidRPr="004512F2">
        <w:rPr>
          <w:rFonts w:ascii="仿宋_GB2312" w:eastAsia="仿宋_GB2312" w:hint="eastAsia"/>
          <w:sz w:val="30"/>
          <w:szCs w:val="30"/>
        </w:rPr>
        <w:t>根据</w:t>
      </w:r>
      <w:r w:rsidR="0001195E">
        <w:rPr>
          <w:rFonts w:ascii="仿宋_GB2312" w:eastAsia="仿宋_GB2312" w:hint="eastAsia"/>
          <w:sz w:val="30"/>
          <w:szCs w:val="30"/>
        </w:rPr>
        <w:t>《中国人民银行关于境外人民币清算行等三类机构运用人民币投资银行间债券市场试点有关事宜的通知》（银发</w:t>
      </w:r>
      <w:r w:rsidR="0001195E" w:rsidRPr="004512F2">
        <w:rPr>
          <w:rFonts w:ascii="仿宋_GB2312" w:eastAsia="仿宋_GB2312" w:hint="eastAsia"/>
          <w:sz w:val="30"/>
          <w:szCs w:val="30"/>
        </w:rPr>
        <w:t>[201</w:t>
      </w:r>
      <w:r w:rsidR="0001195E">
        <w:rPr>
          <w:rFonts w:ascii="仿宋_GB2312" w:eastAsia="仿宋_GB2312" w:hint="eastAsia"/>
          <w:sz w:val="30"/>
          <w:szCs w:val="30"/>
        </w:rPr>
        <w:t>0</w:t>
      </w:r>
      <w:r w:rsidR="0001195E" w:rsidRPr="004512F2">
        <w:rPr>
          <w:rFonts w:ascii="仿宋_GB2312" w:eastAsia="仿宋_GB2312" w:hint="eastAsia"/>
          <w:sz w:val="30"/>
          <w:szCs w:val="30"/>
        </w:rPr>
        <w:t>]</w:t>
      </w:r>
      <w:r w:rsidR="0001195E">
        <w:rPr>
          <w:rFonts w:ascii="仿宋_GB2312" w:eastAsia="仿宋_GB2312" w:hint="eastAsia"/>
          <w:sz w:val="30"/>
          <w:szCs w:val="30"/>
        </w:rPr>
        <w:t>217</w:t>
      </w:r>
      <w:r w:rsidR="0001195E" w:rsidRPr="004512F2">
        <w:rPr>
          <w:rFonts w:ascii="仿宋_GB2312" w:eastAsia="仿宋_GB2312" w:hint="eastAsia"/>
          <w:sz w:val="30"/>
          <w:szCs w:val="30"/>
        </w:rPr>
        <w:t>号</w:t>
      </w:r>
      <w:r w:rsidR="0001195E">
        <w:rPr>
          <w:rFonts w:ascii="仿宋_GB2312" w:eastAsia="仿宋_GB2312" w:hint="eastAsia"/>
          <w:sz w:val="30"/>
          <w:szCs w:val="30"/>
        </w:rPr>
        <w:t>，以下简称217号文）、</w:t>
      </w:r>
      <w:r>
        <w:rPr>
          <w:rFonts w:ascii="仿宋_GB2312" w:eastAsia="仿宋_GB2312" w:hint="eastAsia"/>
          <w:sz w:val="30"/>
          <w:szCs w:val="30"/>
        </w:rPr>
        <w:t>《中国人民银行关于境外央行、国际金融组织、主权财富基金运用人民币投资银行间市场有关问题的通知</w:t>
      </w:r>
      <w:r w:rsidR="0001195E">
        <w:rPr>
          <w:rFonts w:ascii="仿宋_GB2312" w:eastAsia="仿宋_GB2312" w:hint="eastAsia"/>
          <w:sz w:val="30"/>
          <w:szCs w:val="30"/>
        </w:rPr>
        <w:t>》（银</w:t>
      </w:r>
      <w:r w:rsidR="0001195E" w:rsidRPr="004512F2">
        <w:rPr>
          <w:rFonts w:ascii="仿宋_GB2312" w:eastAsia="仿宋_GB2312" w:hint="eastAsia"/>
          <w:sz w:val="30"/>
          <w:szCs w:val="30"/>
        </w:rPr>
        <w:t>发[2015]</w:t>
      </w:r>
      <w:r w:rsidR="0001195E">
        <w:rPr>
          <w:rFonts w:ascii="仿宋_GB2312" w:eastAsia="仿宋_GB2312" w:hint="eastAsia"/>
          <w:sz w:val="30"/>
          <w:szCs w:val="30"/>
        </w:rPr>
        <w:t>220</w:t>
      </w:r>
      <w:r w:rsidR="0001195E" w:rsidRPr="004512F2">
        <w:rPr>
          <w:rFonts w:ascii="仿宋_GB2312" w:eastAsia="仿宋_GB2312" w:hint="eastAsia"/>
          <w:sz w:val="30"/>
          <w:szCs w:val="30"/>
        </w:rPr>
        <w:t>号</w:t>
      </w:r>
      <w:r w:rsidR="0001195E">
        <w:rPr>
          <w:rFonts w:ascii="仿宋_GB2312" w:eastAsia="仿宋_GB2312" w:hint="eastAsia"/>
          <w:sz w:val="30"/>
          <w:szCs w:val="30"/>
        </w:rPr>
        <w:t>，以下简称220号文）和</w:t>
      </w:r>
      <w:r w:rsidR="004512F2" w:rsidRPr="004512F2">
        <w:rPr>
          <w:rFonts w:ascii="仿宋_GB2312" w:eastAsia="仿宋_GB2312" w:hint="eastAsia"/>
          <w:sz w:val="30"/>
          <w:szCs w:val="30"/>
        </w:rPr>
        <w:t>《</w:t>
      </w:r>
      <w:r w:rsidR="004512F2" w:rsidRPr="004512F2">
        <w:rPr>
          <w:rFonts w:ascii="仿宋_GB2312" w:eastAsia="仿宋_GB2312"/>
          <w:sz w:val="30"/>
          <w:szCs w:val="30"/>
        </w:rPr>
        <w:t>国家外汇管理局关于境外中央银行类机构投资银行间市场外汇账户管理有关问题的通知</w:t>
      </w:r>
      <w:r w:rsidR="004512F2" w:rsidRPr="004512F2">
        <w:rPr>
          <w:rFonts w:ascii="仿宋_GB2312" w:eastAsia="仿宋_GB2312" w:hint="eastAsia"/>
          <w:sz w:val="30"/>
          <w:szCs w:val="30"/>
        </w:rPr>
        <w:t>》（汇发[2015]43号，以下简称43号文）</w:t>
      </w:r>
      <w:r w:rsidR="0001195E">
        <w:rPr>
          <w:rFonts w:ascii="仿宋_GB2312" w:eastAsia="仿宋_GB2312" w:hint="eastAsia"/>
          <w:sz w:val="30"/>
          <w:szCs w:val="30"/>
        </w:rPr>
        <w:t>进入银行间债券市场的境外投资者，其结算代理人应在2016年12月31日前在资本项目信息系统中为其补办登记，并自2017年1月1日起参照12号文</w:t>
      </w:r>
      <w:r w:rsidR="00C85F93">
        <w:rPr>
          <w:rFonts w:ascii="仿宋_GB2312" w:eastAsia="仿宋_GB2312" w:hint="eastAsia"/>
          <w:sz w:val="30"/>
          <w:szCs w:val="30"/>
        </w:rPr>
        <w:t>的要求</w:t>
      </w:r>
      <w:r w:rsidR="0001195E">
        <w:rPr>
          <w:rFonts w:ascii="仿宋_GB2312" w:eastAsia="仿宋_GB2312" w:hint="eastAsia"/>
          <w:sz w:val="30"/>
          <w:szCs w:val="30"/>
        </w:rPr>
        <w:t>报送数据。</w:t>
      </w:r>
    </w:p>
    <w:p w:rsidR="00AB361B" w:rsidRPr="004512F2" w:rsidRDefault="00C85F93" w:rsidP="000823EC">
      <w:pPr>
        <w:ind w:firstLineChars="189" w:firstLine="567"/>
        <w:rPr>
          <w:rFonts w:ascii="仿宋_GB2312" w:eastAsia="仿宋_GB2312"/>
          <w:sz w:val="30"/>
          <w:szCs w:val="30"/>
        </w:rPr>
      </w:pPr>
      <w:r>
        <w:rPr>
          <w:rFonts w:ascii="仿宋_GB2312" w:eastAsia="仿宋_GB2312" w:hint="eastAsia"/>
          <w:sz w:val="30"/>
          <w:szCs w:val="30"/>
        </w:rPr>
        <w:t>境外央行</w:t>
      </w:r>
      <w:r w:rsidR="000823EC">
        <w:rPr>
          <w:rFonts w:ascii="仿宋_GB2312" w:eastAsia="仿宋_GB2312" w:hint="eastAsia"/>
          <w:sz w:val="30"/>
          <w:szCs w:val="30"/>
        </w:rPr>
        <w:t>类</w:t>
      </w:r>
      <w:r>
        <w:rPr>
          <w:rFonts w:ascii="仿宋_GB2312" w:eastAsia="仿宋_GB2312" w:hint="eastAsia"/>
          <w:sz w:val="30"/>
          <w:szCs w:val="30"/>
        </w:rPr>
        <w:t>机构选择人民银行</w:t>
      </w:r>
      <w:r w:rsidR="00AB361B">
        <w:rPr>
          <w:rFonts w:ascii="仿宋_GB2312" w:eastAsia="仿宋_GB2312" w:hint="eastAsia"/>
          <w:sz w:val="30"/>
          <w:szCs w:val="30"/>
        </w:rPr>
        <w:t>上海总部</w:t>
      </w:r>
      <w:r w:rsidR="009D1970">
        <w:rPr>
          <w:rFonts w:ascii="仿宋_GB2312" w:eastAsia="仿宋_GB2312" w:hint="eastAsia"/>
          <w:sz w:val="30"/>
          <w:szCs w:val="30"/>
        </w:rPr>
        <w:t>（以下简称上海总部）</w:t>
      </w:r>
      <w:r w:rsidR="00AB361B">
        <w:rPr>
          <w:rFonts w:ascii="仿宋_GB2312" w:eastAsia="仿宋_GB2312" w:hint="eastAsia"/>
          <w:sz w:val="30"/>
          <w:szCs w:val="30"/>
        </w:rPr>
        <w:t>作为</w:t>
      </w:r>
      <w:r>
        <w:rPr>
          <w:rFonts w:ascii="仿宋_GB2312" w:eastAsia="仿宋_GB2312" w:hint="eastAsia"/>
          <w:sz w:val="30"/>
          <w:szCs w:val="30"/>
        </w:rPr>
        <w:t>其结算</w:t>
      </w:r>
      <w:r w:rsidR="00AB361B">
        <w:rPr>
          <w:rFonts w:ascii="仿宋_GB2312" w:eastAsia="仿宋_GB2312" w:hint="eastAsia"/>
          <w:sz w:val="30"/>
          <w:szCs w:val="30"/>
        </w:rPr>
        <w:t>代理人的，暂不补办登记。</w:t>
      </w:r>
    </w:p>
    <w:p w:rsidR="006030D3"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lastRenderedPageBreak/>
        <w:t>（二）</w:t>
      </w:r>
      <w:r w:rsidR="000823EC" w:rsidRPr="00472BE7">
        <w:rPr>
          <w:rFonts w:ascii="仿宋_GB2312" w:eastAsia="仿宋_GB2312" w:hint="eastAsia"/>
          <w:b/>
          <w:sz w:val="30"/>
          <w:szCs w:val="30"/>
        </w:rPr>
        <w:t>境外投资者</w:t>
      </w:r>
      <w:r w:rsidR="009D1970" w:rsidRPr="00472BE7">
        <w:rPr>
          <w:rFonts w:ascii="仿宋_GB2312" w:eastAsia="仿宋_GB2312" w:hint="eastAsia"/>
          <w:b/>
          <w:sz w:val="30"/>
          <w:szCs w:val="30"/>
        </w:rPr>
        <w:t>全部使</w:t>
      </w:r>
      <w:r w:rsidRPr="00472BE7">
        <w:rPr>
          <w:rFonts w:ascii="仿宋_GB2312" w:eastAsia="仿宋_GB2312" w:hint="eastAsia"/>
          <w:b/>
          <w:sz w:val="30"/>
          <w:szCs w:val="30"/>
        </w:rPr>
        <w:t>用人民币进行投资的是否需要办理外汇登记</w:t>
      </w:r>
      <w:r w:rsidR="000823EC" w:rsidRPr="00472BE7">
        <w:rPr>
          <w:rFonts w:ascii="仿宋_GB2312" w:eastAsia="仿宋_GB2312" w:hint="eastAsia"/>
          <w:b/>
          <w:sz w:val="30"/>
          <w:szCs w:val="30"/>
        </w:rPr>
        <w:t>？</w:t>
      </w:r>
    </w:p>
    <w:p w:rsidR="000823EC" w:rsidRDefault="000823EC" w:rsidP="000823EC">
      <w:pPr>
        <w:ind w:firstLineChars="189" w:firstLine="567"/>
        <w:rPr>
          <w:rFonts w:ascii="仿宋_GB2312" w:eastAsia="仿宋_GB2312"/>
          <w:sz w:val="30"/>
          <w:szCs w:val="30"/>
        </w:rPr>
      </w:pPr>
      <w:r>
        <w:rPr>
          <w:rFonts w:ascii="仿宋_GB2312" w:eastAsia="仿宋_GB2312" w:hint="eastAsia"/>
          <w:sz w:val="30"/>
          <w:szCs w:val="30"/>
        </w:rPr>
        <w:t>答：不论境外投资者以何币种汇入资金，均需要通过其结算代理人在资本项目信息系统中办理登记。</w:t>
      </w:r>
    </w:p>
    <w:p w:rsidR="00BE4B57"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t>（三）</w:t>
      </w:r>
      <w:r w:rsidR="000823EC" w:rsidRPr="00472BE7">
        <w:rPr>
          <w:rFonts w:ascii="仿宋_GB2312" w:eastAsia="仿宋_GB2312" w:hint="eastAsia"/>
          <w:b/>
          <w:sz w:val="30"/>
          <w:szCs w:val="30"/>
        </w:rPr>
        <w:t>以</w:t>
      </w:r>
      <w:r w:rsidRPr="00472BE7">
        <w:rPr>
          <w:rFonts w:ascii="仿宋_GB2312" w:eastAsia="仿宋_GB2312" w:hint="eastAsia"/>
          <w:b/>
          <w:sz w:val="30"/>
          <w:szCs w:val="30"/>
        </w:rPr>
        <w:t>QFII</w:t>
      </w:r>
      <w:r w:rsidR="00555B04" w:rsidRPr="00472BE7">
        <w:rPr>
          <w:rFonts w:ascii="仿宋_GB2312" w:eastAsia="仿宋_GB2312" w:hint="eastAsia"/>
          <w:b/>
          <w:sz w:val="30"/>
          <w:szCs w:val="30"/>
        </w:rPr>
        <w:t>/</w:t>
      </w:r>
      <w:r w:rsidRPr="00472BE7">
        <w:rPr>
          <w:rFonts w:ascii="仿宋_GB2312" w:eastAsia="仿宋_GB2312" w:hint="eastAsia"/>
          <w:b/>
          <w:sz w:val="30"/>
          <w:szCs w:val="30"/>
        </w:rPr>
        <w:t>RQFII</w:t>
      </w:r>
      <w:r w:rsidR="000823EC" w:rsidRPr="00472BE7">
        <w:rPr>
          <w:rFonts w:ascii="仿宋_GB2312" w:eastAsia="仿宋_GB2312" w:hint="eastAsia"/>
          <w:b/>
          <w:sz w:val="30"/>
          <w:szCs w:val="30"/>
        </w:rPr>
        <w:t>身份投资银行间债券市场的，</w:t>
      </w:r>
      <w:r w:rsidRPr="00472BE7">
        <w:rPr>
          <w:rFonts w:ascii="仿宋_GB2312" w:eastAsia="仿宋_GB2312" w:hint="eastAsia"/>
          <w:b/>
          <w:sz w:val="30"/>
          <w:szCs w:val="30"/>
        </w:rPr>
        <w:t>是否需要</w:t>
      </w:r>
      <w:r w:rsidR="009D1970" w:rsidRPr="00472BE7">
        <w:rPr>
          <w:rFonts w:ascii="仿宋_GB2312" w:eastAsia="仿宋_GB2312" w:hint="eastAsia"/>
          <w:b/>
          <w:sz w:val="30"/>
          <w:szCs w:val="30"/>
        </w:rPr>
        <w:t>在资本项目信息系统中</w:t>
      </w:r>
      <w:r w:rsidRPr="00472BE7">
        <w:rPr>
          <w:rFonts w:ascii="仿宋_GB2312" w:eastAsia="仿宋_GB2312" w:hint="eastAsia"/>
          <w:b/>
          <w:sz w:val="30"/>
          <w:szCs w:val="30"/>
        </w:rPr>
        <w:t>办理登记</w:t>
      </w:r>
      <w:r w:rsidR="000823EC" w:rsidRPr="00472BE7">
        <w:rPr>
          <w:rFonts w:ascii="仿宋_GB2312" w:eastAsia="仿宋_GB2312" w:hint="eastAsia"/>
          <w:b/>
          <w:sz w:val="30"/>
          <w:szCs w:val="30"/>
        </w:rPr>
        <w:t>？</w:t>
      </w:r>
    </w:p>
    <w:p w:rsidR="000823EC" w:rsidRDefault="004044E8" w:rsidP="000823EC">
      <w:pPr>
        <w:ind w:firstLineChars="189" w:firstLine="567"/>
        <w:rPr>
          <w:rFonts w:ascii="仿宋_GB2312" w:eastAsia="仿宋_GB2312"/>
          <w:sz w:val="30"/>
          <w:szCs w:val="30"/>
        </w:rPr>
      </w:pPr>
      <w:r>
        <w:rPr>
          <w:rFonts w:ascii="仿宋_GB2312" w:eastAsia="仿宋_GB2312" w:hint="eastAsia"/>
          <w:sz w:val="30"/>
          <w:szCs w:val="30"/>
        </w:rPr>
        <w:t>答：若境外机构投资者</w:t>
      </w:r>
      <w:r w:rsidR="000823EC">
        <w:rPr>
          <w:rFonts w:ascii="仿宋_GB2312" w:eastAsia="仿宋_GB2312" w:hint="eastAsia"/>
          <w:sz w:val="30"/>
          <w:szCs w:val="30"/>
        </w:rPr>
        <w:t>以QFII</w:t>
      </w:r>
      <w:r w:rsidR="00555B04">
        <w:rPr>
          <w:rFonts w:ascii="仿宋_GB2312" w:eastAsia="仿宋_GB2312" w:hint="eastAsia"/>
          <w:sz w:val="30"/>
          <w:szCs w:val="30"/>
        </w:rPr>
        <w:t>/</w:t>
      </w:r>
      <w:r w:rsidR="000823EC">
        <w:rPr>
          <w:rFonts w:ascii="仿宋_GB2312" w:eastAsia="仿宋_GB2312" w:hint="eastAsia"/>
          <w:sz w:val="30"/>
          <w:szCs w:val="30"/>
        </w:rPr>
        <w:t>RQFII身份投资银行间债券市场</w:t>
      </w:r>
      <w:r w:rsidR="00555B04">
        <w:rPr>
          <w:rFonts w:ascii="仿宋_GB2312" w:eastAsia="仿宋_GB2312" w:hint="eastAsia"/>
          <w:sz w:val="30"/>
          <w:szCs w:val="30"/>
        </w:rPr>
        <w:t>且占用QFII/RQFII额度的</w:t>
      </w:r>
      <w:r w:rsidR="000823EC">
        <w:rPr>
          <w:rFonts w:ascii="仿宋_GB2312" w:eastAsia="仿宋_GB2312" w:hint="eastAsia"/>
          <w:sz w:val="30"/>
          <w:szCs w:val="30"/>
        </w:rPr>
        <w:t>，</w:t>
      </w:r>
      <w:r>
        <w:rPr>
          <w:rFonts w:ascii="仿宋_GB2312" w:eastAsia="仿宋_GB2312" w:hint="eastAsia"/>
          <w:sz w:val="30"/>
          <w:szCs w:val="30"/>
        </w:rPr>
        <w:t>因</w:t>
      </w:r>
      <w:r w:rsidR="00555B04">
        <w:rPr>
          <w:rFonts w:ascii="仿宋_GB2312" w:eastAsia="仿宋_GB2312" w:hint="eastAsia"/>
          <w:sz w:val="30"/>
          <w:szCs w:val="30"/>
        </w:rPr>
        <w:t>外汇局已经为其QFII/RQFII投资办理了</w:t>
      </w:r>
      <w:r w:rsidR="009D1970">
        <w:rPr>
          <w:rFonts w:ascii="仿宋_GB2312" w:eastAsia="仿宋_GB2312" w:hint="eastAsia"/>
          <w:sz w:val="30"/>
          <w:szCs w:val="30"/>
        </w:rPr>
        <w:t>外汇</w:t>
      </w:r>
      <w:r w:rsidR="00555B04">
        <w:rPr>
          <w:rFonts w:ascii="仿宋_GB2312" w:eastAsia="仿宋_GB2312" w:hint="eastAsia"/>
          <w:sz w:val="30"/>
          <w:szCs w:val="30"/>
        </w:rPr>
        <w:t>登记，其结算代理人不需要再为其办理登记，否则会导致重复统计。</w:t>
      </w:r>
    </w:p>
    <w:p w:rsidR="00BE4B57"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t>（四）在上海总部以</w:t>
      </w:r>
      <w:r w:rsidR="009D1970" w:rsidRPr="00472BE7">
        <w:rPr>
          <w:rFonts w:ascii="仿宋_GB2312" w:eastAsia="仿宋_GB2312" w:hint="eastAsia"/>
          <w:b/>
          <w:sz w:val="30"/>
          <w:szCs w:val="30"/>
        </w:rPr>
        <w:t>机构</w:t>
      </w:r>
      <w:r w:rsidRPr="00472BE7">
        <w:rPr>
          <w:rFonts w:ascii="仿宋_GB2312" w:eastAsia="仿宋_GB2312" w:hint="eastAsia"/>
          <w:b/>
          <w:sz w:val="30"/>
          <w:szCs w:val="30"/>
        </w:rPr>
        <w:t>方式备案和以</w:t>
      </w:r>
      <w:r w:rsidR="009D1970" w:rsidRPr="00472BE7">
        <w:rPr>
          <w:rFonts w:ascii="仿宋_GB2312" w:eastAsia="仿宋_GB2312" w:hint="eastAsia"/>
          <w:b/>
          <w:sz w:val="30"/>
          <w:szCs w:val="30"/>
        </w:rPr>
        <w:t>产品方式备案，在资本项目信息系统中办理</w:t>
      </w:r>
      <w:r w:rsidRPr="00472BE7">
        <w:rPr>
          <w:rFonts w:ascii="仿宋_GB2312" w:eastAsia="仿宋_GB2312" w:hint="eastAsia"/>
          <w:b/>
          <w:sz w:val="30"/>
          <w:szCs w:val="30"/>
        </w:rPr>
        <w:t>登记时有何区别</w:t>
      </w:r>
      <w:r w:rsidR="009D1970" w:rsidRPr="00472BE7">
        <w:rPr>
          <w:rFonts w:ascii="仿宋_GB2312" w:eastAsia="仿宋_GB2312" w:hint="eastAsia"/>
          <w:b/>
          <w:sz w:val="30"/>
          <w:szCs w:val="30"/>
        </w:rPr>
        <w:t>？</w:t>
      </w:r>
    </w:p>
    <w:p w:rsidR="009D1970" w:rsidRDefault="009D1970" w:rsidP="000823EC">
      <w:pPr>
        <w:ind w:firstLineChars="189" w:firstLine="567"/>
        <w:rPr>
          <w:rFonts w:ascii="仿宋_GB2312" w:eastAsia="仿宋_GB2312"/>
          <w:sz w:val="30"/>
          <w:szCs w:val="30"/>
        </w:rPr>
      </w:pPr>
      <w:r>
        <w:rPr>
          <w:rFonts w:ascii="仿宋_GB2312" w:eastAsia="仿宋_GB2312" w:hint="eastAsia"/>
          <w:sz w:val="30"/>
          <w:szCs w:val="30"/>
        </w:rPr>
        <w:t>答：按照《中国人民银行公告[2016]第3号》（以下简称3号公告），符合要求的境外机构投资者及其发行的产品均可办理备案。如果在上海总部以机构方式备案，则应在资本项目信息系统中以机构方式登记；如果在人民银行上海总部以产品方式备案，则应在资本项目信息系统中以产品方式登记。简单地说，上海总部的备案表与资本项目信息系统的登记存在一一对应的关系。</w:t>
      </w:r>
    </w:p>
    <w:p w:rsidR="009D1970" w:rsidRPr="009D1970" w:rsidRDefault="009D1970" w:rsidP="000823EC">
      <w:pPr>
        <w:ind w:firstLineChars="189" w:firstLine="567"/>
        <w:rPr>
          <w:rFonts w:ascii="仿宋_GB2312" w:eastAsia="仿宋_GB2312"/>
          <w:sz w:val="30"/>
          <w:szCs w:val="30"/>
        </w:rPr>
      </w:pPr>
      <w:r>
        <w:rPr>
          <w:rFonts w:ascii="仿宋_GB2312" w:eastAsia="仿宋_GB2312" w:hint="eastAsia"/>
          <w:sz w:val="30"/>
          <w:szCs w:val="30"/>
        </w:rPr>
        <w:t>近日，外汇局已经在</w:t>
      </w:r>
      <w:r w:rsidR="000E7B9C">
        <w:rPr>
          <w:rFonts w:ascii="仿宋_GB2312" w:eastAsia="仿宋_GB2312" w:hint="eastAsia"/>
          <w:sz w:val="30"/>
          <w:szCs w:val="30"/>
        </w:rPr>
        <w:t>相关协议登记的页面增加了“人民银行备案类型”数据项，历史数据默认为“机构”，请已经办理过登记的结算代理人尽快将该项数据按实际情况修改。</w:t>
      </w:r>
    </w:p>
    <w:p w:rsidR="00BE4B57" w:rsidRPr="004512F2" w:rsidRDefault="00BE4B57" w:rsidP="00472BE7">
      <w:pPr>
        <w:ind w:firstLineChars="189" w:firstLine="567"/>
        <w:outlineLvl w:val="0"/>
        <w:rPr>
          <w:rFonts w:ascii="仿宋_GB2312" w:eastAsia="仿宋_GB2312"/>
          <w:sz w:val="30"/>
          <w:szCs w:val="30"/>
        </w:rPr>
      </w:pPr>
      <w:r w:rsidRPr="004512F2">
        <w:rPr>
          <w:rFonts w:ascii="仿宋_GB2312" w:eastAsia="仿宋_GB2312" w:hint="eastAsia"/>
          <w:sz w:val="30"/>
          <w:szCs w:val="30"/>
        </w:rPr>
        <w:t>二、数据报送</w:t>
      </w:r>
    </w:p>
    <w:p w:rsidR="00BE4B57"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lastRenderedPageBreak/>
        <w:t>（五）境外</w:t>
      </w:r>
      <w:r w:rsidR="00503E79" w:rsidRPr="00472BE7">
        <w:rPr>
          <w:rFonts w:ascii="仿宋_GB2312" w:eastAsia="仿宋_GB2312" w:hint="eastAsia"/>
          <w:b/>
          <w:sz w:val="30"/>
          <w:szCs w:val="30"/>
        </w:rPr>
        <w:t>机构</w:t>
      </w:r>
      <w:r w:rsidRPr="00472BE7">
        <w:rPr>
          <w:rFonts w:ascii="仿宋_GB2312" w:eastAsia="仿宋_GB2312" w:hint="eastAsia"/>
          <w:b/>
          <w:sz w:val="30"/>
          <w:szCs w:val="30"/>
        </w:rPr>
        <w:t>投资者专户上的余额要不要作为非居民机构存款报送外债数据？</w:t>
      </w:r>
      <w:r w:rsidR="00C0593C" w:rsidRPr="00472BE7">
        <w:rPr>
          <w:rFonts w:ascii="仿宋_GB2312" w:eastAsia="仿宋_GB2312"/>
          <w:b/>
          <w:sz w:val="30"/>
          <w:szCs w:val="30"/>
        </w:rPr>
        <w:t xml:space="preserve"> </w:t>
      </w:r>
    </w:p>
    <w:p w:rsidR="00503E79" w:rsidRPr="004512F2" w:rsidRDefault="00503E79" w:rsidP="000823EC">
      <w:pPr>
        <w:ind w:firstLineChars="189" w:firstLine="567"/>
        <w:rPr>
          <w:rFonts w:ascii="仿宋_GB2312" w:eastAsia="仿宋_GB2312"/>
          <w:sz w:val="30"/>
          <w:szCs w:val="30"/>
        </w:rPr>
      </w:pPr>
      <w:r>
        <w:rPr>
          <w:rFonts w:ascii="仿宋_GB2312" w:eastAsia="仿宋_GB2312" w:hint="eastAsia"/>
          <w:sz w:val="30"/>
          <w:szCs w:val="30"/>
        </w:rPr>
        <w:t>答：境外机构投资者</w:t>
      </w:r>
      <w:r w:rsidR="003A2089">
        <w:rPr>
          <w:rFonts w:ascii="仿宋_GB2312" w:eastAsia="仿宋_GB2312" w:hint="eastAsia"/>
          <w:sz w:val="30"/>
          <w:szCs w:val="30"/>
        </w:rPr>
        <w:t>是非居民，其在境内账户的余额应作为非居民机构存款报送为外债数据。</w:t>
      </w:r>
      <w:r w:rsidR="00345ED1">
        <w:rPr>
          <w:rFonts w:ascii="仿宋_GB2312" w:eastAsia="仿宋_GB2312" w:hint="eastAsia"/>
          <w:sz w:val="30"/>
          <w:szCs w:val="30"/>
        </w:rPr>
        <w:t>数据由开户行报送。</w:t>
      </w:r>
    </w:p>
    <w:p w:rsidR="00BE4B57"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t>（六）</w:t>
      </w:r>
      <w:r w:rsidR="00A2696F" w:rsidRPr="00472BE7">
        <w:rPr>
          <w:rFonts w:ascii="仿宋_GB2312" w:eastAsia="仿宋_GB2312" w:hint="eastAsia"/>
          <w:b/>
          <w:sz w:val="30"/>
          <w:szCs w:val="30"/>
        </w:rPr>
        <w:t>清算行等</w:t>
      </w:r>
      <w:r w:rsidRPr="00472BE7">
        <w:rPr>
          <w:rFonts w:ascii="仿宋_GB2312" w:eastAsia="仿宋_GB2312" w:hint="eastAsia"/>
          <w:b/>
          <w:sz w:val="30"/>
          <w:szCs w:val="30"/>
        </w:rPr>
        <w:t>三类机构</w:t>
      </w:r>
      <w:r w:rsidR="00A2696F" w:rsidRPr="00472BE7">
        <w:rPr>
          <w:rFonts w:ascii="仿宋_GB2312" w:eastAsia="仿宋_GB2312" w:hint="eastAsia"/>
          <w:b/>
          <w:sz w:val="30"/>
          <w:szCs w:val="30"/>
        </w:rPr>
        <w:t>、</w:t>
      </w:r>
      <w:r w:rsidRPr="00472BE7">
        <w:rPr>
          <w:rFonts w:ascii="仿宋_GB2312" w:eastAsia="仿宋_GB2312" w:hint="eastAsia"/>
          <w:b/>
          <w:sz w:val="30"/>
          <w:szCs w:val="30"/>
        </w:rPr>
        <w:t>央行类机构开立的账户要不要报送账户数据？报送账户数据时要不要</w:t>
      </w:r>
      <w:r w:rsidR="00A2696F" w:rsidRPr="00472BE7">
        <w:rPr>
          <w:rFonts w:ascii="仿宋_GB2312" w:eastAsia="仿宋_GB2312" w:hint="eastAsia"/>
          <w:b/>
          <w:sz w:val="30"/>
          <w:szCs w:val="30"/>
        </w:rPr>
        <w:t>在“外汇局批件号/备案表号/业务编号”</w:t>
      </w:r>
      <w:r w:rsidRPr="00472BE7">
        <w:rPr>
          <w:rFonts w:ascii="仿宋_GB2312" w:eastAsia="仿宋_GB2312" w:hint="eastAsia"/>
          <w:b/>
          <w:sz w:val="30"/>
          <w:szCs w:val="30"/>
        </w:rPr>
        <w:t>填写业务编号？</w:t>
      </w:r>
    </w:p>
    <w:p w:rsidR="00A2696F" w:rsidRPr="004512F2" w:rsidRDefault="00A2696F" w:rsidP="000823EC">
      <w:pPr>
        <w:ind w:firstLineChars="189" w:firstLine="567"/>
        <w:rPr>
          <w:rFonts w:ascii="仿宋_GB2312" w:eastAsia="仿宋_GB2312"/>
          <w:sz w:val="30"/>
          <w:szCs w:val="30"/>
        </w:rPr>
      </w:pPr>
      <w:r>
        <w:rPr>
          <w:rFonts w:ascii="仿宋_GB2312" w:eastAsia="仿宋_GB2312" w:hint="eastAsia"/>
          <w:sz w:val="30"/>
          <w:szCs w:val="30"/>
        </w:rPr>
        <w:t>答：</w:t>
      </w:r>
      <w:r w:rsidR="00B016F9">
        <w:rPr>
          <w:rFonts w:ascii="仿宋_GB2312" w:eastAsia="仿宋_GB2312" w:hint="eastAsia"/>
          <w:sz w:val="30"/>
          <w:szCs w:val="30"/>
        </w:rPr>
        <w:t>清算行等</w:t>
      </w:r>
      <w:r w:rsidR="00B016F9" w:rsidRPr="004512F2">
        <w:rPr>
          <w:rFonts w:ascii="仿宋_GB2312" w:eastAsia="仿宋_GB2312" w:hint="eastAsia"/>
          <w:sz w:val="30"/>
          <w:szCs w:val="30"/>
        </w:rPr>
        <w:t>三类机构</w:t>
      </w:r>
      <w:r w:rsidR="00B016F9">
        <w:rPr>
          <w:rFonts w:ascii="仿宋_GB2312" w:eastAsia="仿宋_GB2312" w:hint="eastAsia"/>
          <w:sz w:val="30"/>
          <w:szCs w:val="30"/>
        </w:rPr>
        <w:t>、</w:t>
      </w:r>
      <w:r w:rsidR="00B016F9" w:rsidRPr="004512F2">
        <w:rPr>
          <w:rFonts w:ascii="仿宋_GB2312" w:eastAsia="仿宋_GB2312" w:hint="eastAsia"/>
          <w:sz w:val="30"/>
          <w:szCs w:val="30"/>
        </w:rPr>
        <w:t>央行类机构开立的账户</w:t>
      </w:r>
      <w:r w:rsidR="00B016F9">
        <w:rPr>
          <w:rFonts w:ascii="仿宋_GB2312" w:eastAsia="仿宋_GB2312" w:hint="eastAsia"/>
          <w:sz w:val="30"/>
          <w:szCs w:val="30"/>
        </w:rPr>
        <w:t>需</w:t>
      </w:r>
      <w:r w:rsidR="00B016F9" w:rsidRPr="004512F2">
        <w:rPr>
          <w:rFonts w:ascii="仿宋_GB2312" w:eastAsia="仿宋_GB2312" w:hint="eastAsia"/>
          <w:sz w:val="30"/>
          <w:szCs w:val="30"/>
        </w:rPr>
        <w:t>要报送账户数据</w:t>
      </w:r>
      <w:r w:rsidR="00B016F9">
        <w:rPr>
          <w:rFonts w:ascii="仿宋_GB2312" w:eastAsia="仿宋_GB2312" w:hint="eastAsia"/>
          <w:sz w:val="30"/>
          <w:szCs w:val="30"/>
        </w:rPr>
        <w:t>。其中，除上海总部直接代理的、暂未办理资本项目信息系统登记的机构外，其他需要办理登记的，</w:t>
      </w:r>
      <w:r w:rsidR="00345ED1">
        <w:rPr>
          <w:rFonts w:ascii="仿宋_GB2312" w:eastAsia="仿宋_GB2312" w:hint="eastAsia"/>
          <w:sz w:val="30"/>
          <w:szCs w:val="30"/>
        </w:rPr>
        <w:t>其结算代理人</w:t>
      </w:r>
      <w:r w:rsidR="00B016F9">
        <w:rPr>
          <w:rFonts w:ascii="仿宋_GB2312" w:eastAsia="仿宋_GB2312" w:hint="eastAsia"/>
          <w:sz w:val="30"/>
          <w:szCs w:val="30"/>
        </w:rPr>
        <w:t>均需要按照12号文要求报送数据。</w:t>
      </w:r>
    </w:p>
    <w:p w:rsidR="00BE4B57" w:rsidRPr="004512F2" w:rsidRDefault="00BE4B57" w:rsidP="00472BE7">
      <w:pPr>
        <w:ind w:firstLineChars="189" w:firstLine="567"/>
        <w:outlineLvl w:val="0"/>
        <w:rPr>
          <w:rFonts w:ascii="仿宋_GB2312" w:eastAsia="仿宋_GB2312"/>
          <w:sz w:val="30"/>
          <w:szCs w:val="30"/>
        </w:rPr>
      </w:pPr>
      <w:r w:rsidRPr="004512F2">
        <w:rPr>
          <w:rFonts w:ascii="仿宋_GB2312" w:eastAsia="仿宋_GB2312" w:hint="eastAsia"/>
          <w:sz w:val="30"/>
          <w:szCs w:val="30"/>
        </w:rPr>
        <w:t>三、本外币比例一致的计算方法</w:t>
      </w:r>
    </w:p>
    <w:p w:rsidR="00BE4B57"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t>（七）</w:t>
      </w:r>
      <w:r w:rsidR="008C4472" w:rsidRPr="00472BE7">
        <w:rPr>
          <w:rFonts w:ascii="仿宋_GB2312" w:eastAsia="仿宋_GB2312" w:hint="eastAsia"/>
          <w:b/>
          <w:sz w:val="30"/>
          <w:szCs w:val="30"/>
        </w:rPr>
        <w:t>资本项目信息系统中本外币累计汇入/汇出比例的</w:t>
      </w:r>
      <w:r w:rsidRPr="00472BE7">
        <w:rPr>
          <w:rFonts w:ascii="仿宋_GB2312" w:eastAsia="仿宋_GB2312" w:hint="eastAsia"/>
          <w:b/>
          <w:sz w:val="30"/>
          <w:szCs w:val="30"/>
        </w:rPr>
        <w:t>算法</w:t>
      </w:r>
    </w:p>
    <w:p w:rsidR="008C4472" w:rsidRDefault="008C4472" w:rsidP="008C4472">
      <w:pPr>
        <w:ind w:firstLineChars="189" w:firstLine="567"/>
        <w:rPr>
          <w:rFonts w:ascii="仿宋_GB2312" w:eastAsia="仿宋_GB2312"/>
          <w:sz w:val="30"/>
          <w:szCs w:val="30"/>
        </w:rPr>
      </w:pPr>
      <w:r>
        <w:rPr>
          <w:rFonts w:ascii="仿宋_GB2312" w:eastAsia="仿宋_GB2312" w:hint="eastAsia"/>
          <w:sz w:val="30"/>
          <w:szCs w:val="30"/>
        </w:rPr>
        <w:t>答：结算代理人登录资本项目信息系统中可以看到相关投资者的控制信息表（如下图）：</w:t>
      </w:r>
    </w:p>
    <w:p w:rsidR="008C4472" w:rsidRDefault="008C4472" w:rsidP="008C4472">
      <w:pPr>
        <w:ind w:firstLineChars="189" w:firstLine="567"/>
        <w:rPr>
          <w:rFonts w:ascii="仿宋_GB2312" w:eastAsia="仿宋_GB2312"/>
          <w:sz w:val="30"/>
          <w:szCs w:val="30"/>
        </w:rPr>
      </w:pPr>
      <w:r w:rsidRPr="008C4472">
        <w:rPr>
          <w:rFonts w:ascii="仿宋_GB2312" w:eastAsia="仿宋_GB2312"/>
          <w:noProof/>
          <w:sz w:val="30"/>
          <w:szCs w:val="30"/>
        </w:rPr>
        <w:drawing>
          <wp:inline distT="0" distB="0" distL="0" distR="0">
            <wp:extent cx="5274310" cy="1265468"/>
            <wp:effectExtent l="19050" t="0" r="2540" b="0"/>
            <wp:docPr id="1" name="图片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srcRect/>
                    <a:stretch>
                      <a:fillRect/>
                    </a:stretch>
                  </pic:blipFill>
                  <pic:spPr bwMode="auto">
                    <a:xfrm>
                      <a:off x="0" y="0"/>
                      <a:ext cx="5274310" cy="1265468"/>
                    </a:xfrm>
                    <a:prstGeom prst="rect">
                      <a:avLst/>
                    </a:prstGeom>
                    <a:noFill/>
                    <a:ln w="9525">
                      <a:noFill/>
                      <a:miter lim="800000"/>
                      <a:headEnd/>
                      <a:tailEnd/>
                    </a:ln>
                    <a:effectLst/>
                  </pic:spPr>
                </pic:pic>
              </a:graphicData>
            </a:graphic>
          </wp:inline>
        </w:drawing>
      </w:r>
    </w:p>
    <w:p w:rsidR="008C4472" w:rsidRDefault="008C4472" w:rsidP="008C4472">
      <w:pPr>
        <w:ind w:firstLineChars="189" w:firstLine="567"/>
        <w:rPr>
          <w:rFonts w:ascii="仿宋_GB2312" w:eastAsia="仿宋_GB2312"/>
          <w:sz w:val="30"/>
          <w:szCs w:val="30"/>
        </w:rPr>
      </w:pPr>
      <w:r>
        <w:rPr>
          <w:rFonts w:ascii="仿宋_GB2312" w:eastAsia="仿宋_GB2312" w:hint="eastAsia"/>
          <w:sz w:val="30"/>
          <w:szCs w:val="30"/>
        </w:rPr>
        <w:t>其中：</w:t>
      </w:r>
    </w:p>
    <w:p w:rsidR="005F4090" w:rsidRPr="00671B5F" w:rsidRDefault="005950BF" w:rsidP="008C4472">
      <w:pPr>
        <w:ind w:firstLineChars="189" w:firstLine="567"/>
        <w:rPr>
          <w:rFonts w:ascii="仿宋_GB2312" w:eastAsia="仿宋_GB2312"/>
          <w:sz w:val="30"/>
          <w:szCs w:val="30"/>
        </w:rPr>
      </w:pPr>
      <w:r w:rsidRPr="00671B5F">
        <w:rPr>
          <w:rFonts w:ascii="仿宋_GB2312" w:eastAsia="仿宋_GB2312" w:hint="eastAsia"/>
          <w:sz w:val="30"/>
          <w:szCs w:val="30"/>
        </w:rPr>
        <w:t>本外币累计汇入比例</w:t>
      </w:r>
      <w:r w:rsidRPr="00671B5F">
        <w:rPr>
          <w:rFonts w:ascii="仿宋_GB2312" w:eastAsia="仿宋_GB2312"/>
          <w:sz w:val="30"/>
          <w:szCs w:val="30"/>
        </w:rPr>
        <w:t>=</w:t>
      </w:r>
      <w:r w:rsidRPr="00671B5F">
        <w:rPr>
          <w:rFonts w:ascii="仿宋_GB2312" w:eastAsia="仿宋_GB2312" w:hint="eastAsia"/>
          <w:sz w:val="30"/>
          <w:szCs w:val="30"/>
        </w:rPr>
        <w:t>本币汇入比例：外币汇入比例（折人民币）</w:t>
      </w:r>
      <w:r w:rsidR="008C4472">
        <w:rPr>
          <w:rFonts w:ascii="仿宋_GB2312" w:eastAsia="仿宋_GB2312"/>
          <w:sz w:val="30"/>
          <w:szCs w:val="30"/>
        </w:rPr>
        <w:t>=</w:t>
      </w:r>
      <w:r w:rsidRPr="00671B5F">
        <w:rPr>
          <w:rFonts w:ascii="仿宋_GB2312" w:eastAsia="仿宋_GB2312"/>
          <w:sz w:val="30"/>
          <w:szCs w:val="30"/>
        </w:rPr>
        <w:t>[</w:t>
      </w:r>
      <w:r w:rsidRPr="00671B5F">
        <w:rPr>
          <w:rFonts w:ascii="仿宋_GB2312" w:eastAsia="仿宋_GB2312" w:hint="eastAsia"/>
          <w:sz w:val="30"/>
          <w:szCs w:val="30"/>
        </w:rPr>
        <w:t>跨境汇入本币累计金额</w:t>
      </w:r>
      <w:r w:rsidRPr="00671B5F">
        <w:rPr>
          <w:rFonts w:ascii="仿宋_GB2312" w:eastAsia="仿宋_GB2312"/>
          <w:sz w:val="30"/>
          <w:szCs w:val="30"/>
        </w:rPr>
        <w:t>/(</w:t>
      </w:r>
      <w:r w:rsidRPr="00671B5F">
        <w:rPr>
          <w:rFonts w:ascii="仿宋_GB2312" w:eastAsia="仿宋_GB2312" w:hint="eastAsia"/>
          <w:sz w:val="30"/>
          <w:szCs w:val="30"/>
        </w:rPr>
        <w:t>跨境汇入本币累计金额</w:t>
      </w:r>
      <w:r w:rsidRPr="00671B5F">
        <w:rPr>
          <w:rFonts w:ascii="仿宋_GB2312" w:eastAsia="仿宋_GB2312"/>
          <w:sz w:val="30"/>
          <w:szCs w:val="30"/>
        </w:rPr>
        <w:t>+</w:t>
      </w:r>
      <w:r w:rsidRPr="00671B5F">
        <w:rPr>
          <w:rFonts w:ascii="仿宋_GB2312" w:eastAsia="仿宋_GB2312" w:hint="eastAsia"/>
          <w:sz w:val="30"/>
          <w:szCs w:val="30"/>
        </w:rPr>
        <w:t>跨境</w:t>
      </w:r>
      <w:r w:rsidRPr="00671B5F">
        <w:rPr>
          <w:rFonts w:ascii="仿宋_GB2312" w:eastAsia="仿宋_GB2312" w:hint="eastAsia"/>
          <w:sz w:val="30"/>
          <w:szCs w:val="30"/>
        </w:rPr>
        <w:lastRenderedPageBreak/>
        <w:t>汇入外币累计金额</w:t>
      </w:r>
      <w:r w:rsidRPr="00671B5F">
        <w:rPr>
          <w:rFonts w:ascii="仿宋_GB2312" w:eastAsia="仿宋_GB2312"/>
          <w:sz w:val="30"/>
          <w:szCs w:val="30"/>
        </w:rPr>
        <w:t>)*100]</w:t>
      </w:r>
      <w:r w:rsidRPr="00671B5F">
        <w:rPr>
          <w:rFonts w:ascii="仿宋_GB2312" w:eastAsia="仿宋_GB2312" w:hint="eastAsia"/>
          <w:sz w:val="30"/>
          <w:szCs w:val="30"/>
        </w:rPr>
        <w:t>：</w:t>
      </w:r>
      <w:r w:rsidRPr="00671B5F">
        <w:rPr>
          <w:rFonts w:ascii="仿宋_GB2312" w:eastAsia="仿宋_GB2312"/>
          <w:sz w:val="30"/>
          <w:szCs w:val="30"/>
        </w:rPr>
        <w:t>[100-</w:t>
      </w:r>
      <w:r w:rsidRPr="00671B5F">
        <w:rPr>
          <w:rFonts w:ascii="仿宋_GB2312" w:eastAsia="仿宋_GB2312" w:hint="eastAsia"/>
          <w:sz w:val="30"/>
          <w:szCs w:val="30"/>
        </w:rPr>
        <w:t>本币汇入比例</w:t>
      </w:r>
      <w:r w:rsidRPr="00671B5F">
        <w:rPr>
          <w:rFonts w:ascii="仿宋_GB2312" w:eastAsia="仿宋_GB2312"/>
          <w:sz w:val="30"/>
          <w:szCs w:val="30"/>
        </w:rPr>
        <w:t>]</w:t>
      </w:r>
    </w:p>
    <w:p w:rsidR="005F4090" w:rsidRPr="00671B5F" w:rsidRDefault="005950BF" w:rsidP="008C4472">
      <w:pPr>
        <w:ind w:firstLineChars="189" w:firstLine="567"/>
        <w:rPr>
          <w:rFonts w:ascii="仿宋_GB2312" w:eastAsia="仿宋_GB2312"/>
          <w:sz w:val="30"/>
          <w:szCs w:val="30"/>
        </w:rPr>
      </w:pPr>
      <w:r w:rsidRPr="00671B5F">
        <w:rPr>
          <w:rFonts w:ascii="仿宋_GB2312" w:eastAsia="仿宋_GB2312" w:hint="eastAsia"/>
          <w:sz w:val="30"/>
          <w:szCs w:val="30"/>
        </w:rPr>
        <w:t>本外币累计汇出比例</w:t>
      </w:r>
      <w:r w:rsidRPr="00671B5F">
        <w:rPr>
          <w:rFonts w:ascii="仿宋_GB2312" w:eastAsia="仿宋_GB2312"/>
          <w:sz w:val="30"/>
          <w:szCs w:val="30"/>
        </w:rPr>
        <w:t>=</w:t>
      </w:r>
      <w:r w:rsidRPr="00671B5F">
        <w:rPr>
          <w:rFonts w:ascii="仿宋_GB2312" w:eastAsia="仿宋_GB2312" w:hint="eastAsia"/>
          <w:sz w:val="30"/>
          <w:szCs w:val="30"/>
        </w:rPr>
        <w:t>本币汇出比例：外币汇出比例（折人民币）</w:t>
      </w:r>
      <w:r w:rsidRPr="00671B5F">
        <w:rPr>
          <w:rFonts w:ascii="仿宋_GB2312" w:eastAsia="仿宋_GB2312"/>
          <w:sz w:val="30"/>
          <w:szCs w:val="30"/>
        </w:rPr>
        <w:t>=[</w:t>
      </w:r>
      <w:r w:rsidRPr="00671B5F">
        <w:rPr>
          <w:rFonts w:ascii="仿宋_GB2312" w:eastAsia="仿宋_GB2312" w:hint="eastAsia"/>
          <w:sz w:val="30"/>
          <w:szCs w:val="30"/>
        </w:rPr>
        <w:t>跨境汇出本币累计金额</w:t>
      </w:r>
      <w:r w:rsidRPr="00671B5F">
        <w:rPr>
          <w:rFonts w:ascii="仿宋_GB2312" w:eastAsia="仿宋_GB2312"/>
          <w:sz w:val="30"/>
          <w:szCs w:val="30"/>
        </w:rPr>
        <w:t>/(</w:t>
      </w:r>
      <w:r w:rsidRPr="00671B5F">
        <w:rPr>
          <w:rFonts w:ascii="仿宋_GB2312" w:eastAsia="仿宋_GB2312" w:hint="eastAsia"/>
          <w:sz w:val="30"/>
          <w:szCs w:val="30"/>
        </w:rPr>
        <w:t>跨境汇出本币累计金额</w:t>
      </w:r>
      <w:r w:rsidRPr="00671B5F">
        <w:rPr>
          <w:rFonts w:ascii="仿宋_GB2312" w:eastAsia="仿宋_GB2312"/>
          <w:sz w:val="30"/>
          <w:szCs w:val="30"/>
        </w:rPr>
        <w:t>+</w:t>
      </w:r>
      <w:r w:rsidRPr="00671B5F">
        <w:rPr>
          <w:rFonts w:ascii="仿宋_GB2312" w:eastAsia="仿宋_GB2312" w:hint="eastAsia"/>
          <w:sz w:val="30"/>
          <w:szCs w:val="30"/>
        </w:rPr>
        <w:t>跨境汇出外币累计金额</w:t>
      </w:r>
      <w:r w:rsidRPr="00671B5F">
        <w:rPr>
          <w:rFonts w:ascii="仿宋_GB2312" w:eastAsia="仿宋_GB2312"/>
          <w:sz w:val="30"/>
          <w:szCs w:val="30"/>
        </w:rPr>
        <w:t>)*100]</w:t>
      </w:r>
      <w:r w:rsidRPr="00671B5F">
        <w:rPr>
          <w:rFonts w:ascii="仿宋_GB2312" w:eastAsia="仿宋_GB2312" w:hint="eastAsia"/>
          <w:sz w:val="30"/>
          <w:szCs w:val="30"/>
        </w:rPr>
        <w:t>：</w:t>
      </w:r>
      <w:r w:rsidRPr="00671B5F">
        <w:rPr>
          <w:rFonts w:ascii="仿宋_GB2312" w:eastAsia="仿宋_GB2312"/>
          <w:sz w:val="30"/>
          <w:szCs w:val="30"/>
        </w:rPr>
        <w:t>[100-</w:t>
      </w:r>
      <w:r w:rsidRPr="00671B5F">
        <w:rPr>
          <w:rFonts w:ascii="仿宋_GB2312" w:eastAsia="仿宋_GB2312" w:hint="eastAsia"/>
          <w:sz w:val="30"/>
          <w:szCs w:val="30"/>
        </w:rPr>
        <w:t>本币汇出比例</w:t>
      </w:r>
      <w:r w:rsidRPr="00671B5F">
        <w:rPr>
          <w:rFonts w:ascii="仿宋_GB2312" w:eastAsia="仿宋_GB2312"/>
          <w:sz w:val="30"/>
          <w:szCs w:val="30"/>
        </w:rPr>
        <w:t>]</w:t>
      </w:r>
      <w:r w:rsidRPr="00671B5F">
        <w:rPr>
          <w:rFonts w:ascii="仿宋_GB2312" w:eastAsia="仿宋_GB2312" w:hint="eastAsia"/>
          <w:sz w:val="30"/>
          <w:szCs w:val="30"/>
        </w:rPr>
        <w:t>）</w:t>
      </w:r>
    </w:p>
    <w:p w:rsidR="005F4090" w:rsidRPr="00671B5F" w:rsidRDefault="005950BF" w:rsidP="008C4472">
      <w:pPr>
        <w:ind w:firstLineChars="189" w:firstLine="567"/>
        <w:rPr>
          <w:rFonts w:ascii="仿宋_GB2312" w:eastAsia="仿宋_GB2312"/>
          <w:sz w:val="30"/>
          <w:szCs w:val="30"/>
        </w:rPr>
      </w:pPr>
      <w:r w:rsidRPr="00671B5F">
        <w:rPr>
          <w:rFonts w:ascii="仿宋_GB2312" w:eastAsia="仿宋_GB2312" w:hint="eastAsia"/>
          <w:sz w:val="30"/>
          <w:szCs w:val="30"/>
        </w:rPr>
        <w:t>从外币向人民币的折算采用外汇局公布的交易发生当月折算率，累计汇入</w:t>
      </w:r>
      <w:r w:rsidRPr="00671B5F">
        <w:rPr>
          <w:rFonts w:ascii="仿宋_GB2312" w:eastAsia="仿宋_GB2312"/>
          <w:sz w:val="30"/>
          <w:szCs w:val="30"/>
        </w:rPr>
        <w:t>/</w:t>
      </w:r>
      <w:r w:rsidRPr="00671B5F">
        <w:rPr>
          <w:rFonts w:ascii="仿宋_GB2312" w:eastAsia="仿宋_GB2312" w:hint="eastAsia"/>
          <w:sz w:val="30"/>
          <w:szCs w:val="30"/>
        </w:rPr>
        <w:t>汇出数据是先折算再累加</w:t>
      </w:r>
      <w:r w:rsidR="008C4472">
        <w:rPr>
          <w:rFonts w:ascii="仿宋_GB2312" w:eastAsia="仿宋_GB2312" w:hint="eastAsia"/>
          <w:sz w:val="30"/>
          <w:szCs w:val="30"/>
        </w:rPr>
        <w:t>。</w:t>
      </w:r>
      <w:r w:rsidRPr="00671B5F">
        <w:rPr>
          <w:rFonts w:ascii="仿宋_GB2312" w:eastAsia="仿宋_GB2312" w:hint="eastAsia"/>
          <w:sz w:val="30"/>
          <w:szCs w:val="30"/>
        </w:rPr>
        <w:t>汇入和汇出数据均来自国际收支申报，数据无法正常关联会导致数据错误</w:t>
      </w:r>
    </w:p>
    <w:p w:rsidR="00BE4B57" w:rsidRPr="00472BE7" w:rsidRDefault="00BE4B57" w:rsidP="00472BE7">
      <w:pPr>
        <w:ind w:firstLineChars="189" w:firstLine="569"/>
        <w:rPr>
          <w:rFonts w:ascii="仿宋_GB2312" w:eastAsia="仿宋_GB2312"/>
          <w:b/>
          <w:sz w:val="30"/>
          <w:szCs w:val="30"/>
        </w:rPr>
      </w:pPr>
      <w:r w:rsidRPr="00472BE7">
        <w:rPr>
          <w:rFonts w:ascii="仿宋_GB2312" w:eastAsia="仿宋_GB2312" w:hint="eastAsia"/>
          <w:b/>
          <w:sz w:val="30"/>
          <w:szCs w:val="30"/>
        </w:rPr>
        <w:t>（八）</w:t>
      </w:r>
      <w:r w:rsidR="000758B6" w:rsidRPr="00472BE7">
        <w:rPr>
          <w:rFonts w:ascii="仿宋_GB2312" w:eastAsia="仿宋_GB2312" w:hint="eastAsia"/>
          <w:b/>
          <w:sz w:val="30"/>
          <w:szCs w:val="30"/>
        </w:rPr>
        <w:t>如果发生错汇入/汇出并原路返回的，会不会导致上述比例计算错误？</w:t>
      </w:r>
    </w:p>
    <w:p w:rsidR="000758B6" w:rsidRPr="000758B6" w:rsidRDefault="000758B6" w:rsidP="000823EC">
      <w:pPr>
        <w:ind w:firstLineChars="189" w:firstLine="567"/>
        <w:rPr>
          <w:rFonts w:ascii="仿宋_GB2312" w:eastAsia="仿宋_GB2312"/>
          <w:sz w:val="30"/>
          <w:szCs w:val="30"/>
        </w:rPr>
      </w:pPr>
      <w:r>
        <w:rPr>
          <w:rFonts w:ascii="仿宋_GB2312" w:eastAsia="仿宋_GB2312" w:hint="eastAsia"/>
          <w:sz w:val="30"/>
          <w:szCs w:val="30"/>
        </w:rPr>
        <w:t>答：不会。在发生退款的情况下，外汇局会将退款有关的汇入、汇出剔除，不影响</w:t>
      </w:r>
      <w:r w:rsidRPr="00671B5F">
        <w:rPr>
          <w:rFonts w:ascii="仿宋_GB2312" w:eastAsia="仿宋_GB2312" w:hint="eastAsia"/>
          <w:sz w:val="30"/>
          <w:szCs w:val="30"/>
        </w:rPr>
        <w:t>本外币累计汇入</w:t>
      </w:r>
      <w:r>
        <w:rPr>
          <w:rFonts w:ascii="仿宋_GB2312" w:eastAsia="仿宋_GB2312" w:hint="eastAsia"/>
          <w:sz w:val="30"/>
          <w:szCs w:val="30"/>
        </w:rPr>
        <w:t>/汇出</w:t>
      </w:r>
      <w:r w:rsidRPr="00671B5F">
        <w:rPr>
          <w:rFonts w:ascii="仿宋_GB2312" w:eastAsia="仿宋_GB2312" w:hint="eastAsia"/>
          <w:sz w:val="30"/>
          <w:szCs w:val="30"/>
        </w:rPr>
        <w:t>比例</w:t>
      </w:r>
      <w:r>
        <w:rPr>
          <w:rFonts w:ascii="仿宋_GB2312" w:eastAsia="仿宋_GB2312" w:hint="eastAsia"/>
          <w:sz w:val="30"/>
          <w:szCs w:val="30"/>
        </w:rPr>
        <w:t>的计算。</w:t>
      </w:r>
    </w:p>
    <w:sectPr w:rsidR="000758B6" w:rsidRPr="000758B6" w:rsidSect="005F4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91" w:rsidRDefault="00824E91" w:rsidP="006030D3">
      <w:r>
        <w:separator/>
      </w:r>
    </w:p>
  </w:endnote>
  <w:endnote w:type="continuationSeparator" w:id="1">
    <w:p w:rsidR="00824E91" w:rsidRDefault="00824E91" w:rsidP="006030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91" w:rsidRDefault="00824E91" w:rsidP="006030D3">
      <w:r>
        <w:separator/>
      </w:r>
    </w:p>
  </w:footnote>
  <w:footnote w:type="continuationSeparator" w:id="1">
    <w:p w:rsidR="00824E91" w:rsidRDefault="00824E91" w:rsidP="0060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71F"/>
    <w:multiLevelType w:val="hybridMultilevel"/>
    <w:tmpl w:val="CDCA33E4"/>
    <w:lvl w:ilvl="0" w:tplc="05386D70">
      <w:start w:val="1"/>
      <w:numFmt w:val="bullet"/>
      <w:lvlText w:val="•"/>
      <w:lvlJc w:val="left"/>
      <w:pPr>
        <w:tabs>
          <w:tab w:val="num" w:pos="720"/>
        </w:tabs>
        <w:ind w:left="720" w:hanging="360"/>
      </w:pPr>
      <w:rPr>
        <w:rFonts w:ascii="Arial" w:hAnsi="Arial" w:hint="default"/>
      </w:rPr>
    </w:lvl>
    <w:lvl w:ilvl="1" w:tplc="CC7417EC" w:tentative="1">
      <w:start w:val="1"/>
      <w:numFmt w:val="bullet"/>
      <w:lvlText w:val="•"/>
      <w:lvlJc w:val="left"/>
      <w:pPr>
        <w:tabs>
          <w:tab w:val="num" w:pos="1440"/>
        </w:tabs>
        <w:ind w:left="1440" w:hanging="360"/>
      </w:pPr>
      <w:rPr>
        <w:rFonts w:ascii="Arial" w:hAnsi="Arial" w:hint="default"/>
      </w:rPr>
    </w:lvl>
    <w:lvl w:ilvl="2" w:tplc="FA682462" w:tentative="1">
      <w:start w:val="1"/>
      <w:numFmt w:val="bullet"/>
      <w:lvlText w:val="•"/>
      <w:lvlJc w:val="left"/>
      <w:pPr>
        <w:tabs>
          <w:tab w:val="num" w:pos="2160"/>
        </w:tabs>
        <w:ind w:left="2160" w:hanging="360"/>
      </w:pPr>
      <w:rPr>
        <w:rFonts w:ascii="Arial" w:hAnsi="Arial" w:hint="default"/>
      </w:rPr>
    </w:lvl>
    <w:lvl w:ilvl="3" w:tplc="3DD694EC" w:tentative="1">
      <w:start w:val="1"/>
      <w:numFmt w:val="bullet"/>
      <w:lvlText w:val="•"/>
      <w:lvlJc w:val="left"/>
      <w:pPr>
        <w:tabs>
          <w:tab w:val="num" w:pos="2880"/>
        </w:tabs>
        <w:ind w:left="2880" w:hanging="360"/>
      </w:pPr>
      <w:rPr>
        <w:rFonts w:ascii="Arial" w:hAnsi="Arial" w:hint="default"/>
      </w:rPr>
    </w:lvl>
    <w:lvl w:ilvl="4" w:tplc="C2EEB542" w:tentative="1">
      <w:start w:val="1"/>
      <w:numFmt w:val="bullet"/>
      <w:lvlText w:val="•"/>
      <w:lvlJc w:val="left"/>
      <w:pPr>
        <w:tabs>
          <w:tab w:val="num" w:pos="3600"/>
        </w:tabs>
        <w:ind w:left="3600" w:hanging="360"/>
      </w:pPr>
      <w:rPr>
        <w:rFonts w:ascii="Arial" w:hAnsi="Arial" w:hint="default"/>
      </w:rPr>
    </w:lvl>
    <w:lvl w:ilvl="5" w:tplc="44DABDDC" w:tentative="1">
      <w:start w:val="1"/>
      <w:numFmt w:val="bullet"/>
      <w:lvlText w:val="•"/>
      <w:lvlJc w:val="left"/>
      <w:pPr>
        <w:tabs>
          <w:tab w:val="num" w:pos="4320"/>
        </w:tabs>
        <w:ind w:left="4320" w:hanging="360"/>
      </w:pPr>
      <w:rPr>
        <w:rFonts w:ascii="Arial" w:hAnsi="Arial" w:hint="default"/>
      </w:rPr>
    </w:lvl>
    <w:lvl w:ilvl="6" w:tplc="1FE28F4A" w:tentative="1">
      <w:start w:val="1"/>
      <w:numFmt w:val="bullet"/>
      <w:lvlText w:val="•"/>
      <w:lvlJc w:val="left"/>
      <w:pPr>
        <w:tabs>
          <w:tab w:val="num" w:pos="5040"/>
        </w:tabs>
        <w:ind w:left="5040" w:hanging="360"/>
      </w:pPr>
      <w:rPr>
        <w:rFonts w:ascii="Arial" w:hAnsi="Arial" w:hint="default"/>
      </w:rPr>
    </w:lvl>
    <w:lvl w:ilvl="7" w:tplc="8A4E4D24" w:tentative="1">
      <w:start w:val="1"/>
      <w:numFmt w:val="bullet"/>
      <w:lvlText w:val="•"/>
      <w:lvlJc w:val="left"/>
      <w:pPr>
        <w:tabs>
          <w:tab w:val="num" w:pos="5760"/>
        </w:tabs>
        <w:ind w:left="5760" w:hanging="360"/>
      </w:pPr>
      <w:rPr>
        <w:rFonts w:ascii="Arial" w:hAnsi="Arial" w:hint="default"/>
      </w:rPr>
    </w:lvl>
    <w:lvl w:ilvl="8" w:tplc="C7DE46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0D3"/>
    <w:rsid w:val="0001195E"/>
    <w:rsid w:val="000758B6"/>
    <w:rsid w:val="000823EC"/>
    <w:rsid w:val="00097679"/>
    <w:rsid w:val="000E7B9C"/>
    <w:rsid w:val="001D7CBE"/>
    <w:rsid w:val="00345ED1"/>
    <w:rsid w:val="0035650E"/>
    <w:rsid w:val="00373183"/>
    <w:rsid w:val="003A2089"/>
    <w:rsid w:val="003B6B7B"/>
    <w:rsid w:val="004044E8"/>
    <w:rsid w:val="004512F2"/>
    <w:rsid w:val="00472BE7"/>
    <w:rsid w:val="00503E79"/>
    <w:rsid w:val="00555B04"/>
    <w:rsid w:val="005950BF"/>
    <w:rsid w:val="005F4090"/>
    <w:rsid w:val="006030D3"/>
    <w:rsid w:val="0065705E"/>
    <w:rsid w:val="00671B5F"/>
    <w:rsid w:val="00684DAD"/>
    <w:rsid w:val="006A4592"/>
    <w:rsid w:val="00806344"/>
    <w:rsid w:val="00824E91"/>
    <w:rsid w:val="008C4472"/>
    <w:rsid w:val="008F66FB"/>
    <w:rsid w:val="009D1970"/>
    <w:rsid w:val="009D298F"/>
    <w:rsid w:val="00A2696F"/>
    <w:rsid w:val="00AB361B"/>
    <w:rsid w:val="00B016F9"/>
    <w:rsid w:val="00B32191"/>
    <w:rsid w:val="00B96398"/>
    <w:rsid w:val="00BE4B57"/>
    <w:rsid w:val="00C0593C"/>
    <w:rsid w:val="00C85F93"/>
    <w:rsid w:val="00D57DC3"/>
    <w:rsid w:val="00D57EC5"/>
    <w:rsid w:val="00F36DD2"/>
    <w:rsid w:val="00FC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30D3"/>
    <w:rPr>
      <w:sz w:val="18"/>
      <w:szCs w:val="18"/>
    </w:rPr>
  </w:style>
  <w:style w:type="paragraph" w:styleId="a4">
    <w:name w:val="footer"/>
    <w:basedOn w:val="a"/>
    <w:link w:val="Char0"/>
    <w:uiPriority w:val="99"/>
    <w:semiHidden/>
    <w:unhideWhenUsed/>
    <w:rsid w:val="006030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30D3"/>
    <w:rPr>
      <w:sz w:val="18"/>
      <w:szCs w:val="18"/>
    </w:rPr>
  </w:style>
  <w:style w:type="paragraph" w:styleId="a5">
    <w:name w:val="List Paragraph"/>
    <w:basedOn w:val="a"/>
    <w:uiPriority w:val="34"/>
    <w:qFormat/>
    <w:rsid w:val="006030D3"/>
    <w:pPr>
      <w:ind w:firstLineChars="200" w:firstLine="420"/>
    </w:pPr>
  </w:style>
  <w:style w:type="paragraph" w:styleId="a6">
    <w:name w:val="Balloon Text"/>
    <w:basedOn w:val="a"/>
    <w:link w:val="Char1"/>
    <w:uiPriority w:val="99"/>
    <w:semiHidden/>
    <w:unhideWhenUsed/>
    <w:rsid w:val="008C4472"/>
    <w:rPr>
      <w:sz w:val="18"/>
      <w:szCs w:val="18"/>
    </w:rPr>
  </w:style>
  <w:style w:type="character" w:customStyle="1" w:styleId="Char1">
    <w:name w:val="批注框文本 Char"/>
    <w:basedOn w:val="a0"/>
    <w:link w:val="a6"/>
    <w:uiPriority w:val="99"/>
    <w:semiHidden/>
    <w:rsid w:val="008C4472"/>
    <w:rPr>
      <w:sz w:val="18"/>
      <w:szCs w:val="18"/>
    </w:rPr>
  </w:style>
  <w:style w:type="paragraph" w:styleId="a7">
    <w:name w:val="Document Map"/>
    <w:basedOn w:val="a"/>
    <w:link w:val="Char2"/>
    <w:uiPriority w:val="99"/>
    <w:semiHidden/>
    <w:unhideWhenUsed/>
    <w:rsid w:val="00472BE7"/>
    <w:rPr>
      <w:rFonts w:ascii="宋体" w:eastAsia="宋体"/>
      <w:sz w:val="18"/>
      <w:szCs w:val="18"/>
    </w:rPr>
  </w:style>
  <w:style w:type="character" w:customStyle="1" w:styleId="Char2">
    <w:name w:val="文档结构图 Char"/>
    <w:basedOn w:val="a0"/>
    <w:link w:val="a7"/>
    <w:uiPriority w:val="99"/>
    <w:semiHidden/>
    <w:rsid w:val="00472BE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487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259</Words>
  <Characters>1477</Characters>
  <Application>Microsoft Office Word</Application>
  <DocSecurity>0</DocSecurity>
  <Lines>12</Lines>
  <Paragraphs>3</Paragraphs>
  <ScaleCrop>false</ScaleCrop>
  <Company>Lenovo (Beijing) Limited</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24</cp:revision>
  <dcterms:created xsi:type="dcterms:W3CDTF">2016-11-23T00:43:00Z</dcterms:created>
  <dcterms:modified xsi:type="dcterms:W3CDTF">2016-11-24T05:55:00Z</dcterms:modified>
</cp:coreProperties>
</file>