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360" w:lineRule="auto"/>
        <w:jc w:val="center"/>
        <w:rPr>
          <w:rFonts w:hint="default" w:ascii="黑体" w:hAnsi="黑体" w:eastAsia="黑体" w:cs="黑体"/>
          <w:sz w:val="36"/>
          <w:szCs w:val="36"/>
        </w:rPr>
      </w:pPr>
    </w:p>
    <w:p>
      <w:pPr>
        <w:spacing w:line="360" w:lineRule="auto"/>
        <w:jc w:val="center"/>
        <w:rPr>
          <w:rFonts w:hint="default" w:ascii="黑体" w:hAnsi="黑体" w:eastAsia="黑体" w:cs="黑体"/>
          <w:sz w:val="36"/>
          <w:szCs w:val="36"/>
        </w:rPr>
      </w:pPr>
    </w:p>
    <w:p>
      <w:pPr>
        <w:spacing w:line="360" w:lineRule="auto"/>
        <w:jc w:val="center"/>
        <w:rPr>
          <w:rFonts w:hint="default" w:ascii="黑体" w:hAnsi="黑体" w:eastAsia="黑体" w:cs="黑体"/>
          <w:sz w:val="36"/>
          <w:szCs w:val="36"/>
        </w:rPr>
      </w:pPr>
    </w:p>
    <w:p>
      <w:pPr>
        <w:spacing w:line="360" w:lineRule="auto"/>
        <w:jc w:val="center"/>
        <w:rPr>
          <w:rFonts w:hint="default" w:ascii="黑体" w:hAnsi="黑体" w:eastAsia="黑体" w:cs="黑体"/>
          <w:sz w:val="36"/>
          <w:szCs w:val="36"/>
        </w:rPr>
      </w:pPr>
    </w:p>
    <w:p>
      <w:pPr>
        <w:spacing w:line="360" w:lineRule="auto"/>
        <w:jc w:val="center"/>
        <w:rPr>
          <w:rFonts w:hint="default" w:ascii="黑体" w:hAnsi="黑体" w:eastAsia="黑体" w:cs="黑体"/>
          <w:sz w:val="36"/>
          <w:szCs w:val="36"/>
        </w:rPr>
      </w:pPr>
    </w:p>
    <w:p>
      <w:pPr>
        <w:spacing w:line="360" w:lineRule="auto"/>
        <w:jc w:val="center"/>
        <w:rPr>
          <w:rFonts w:hint="default" w:ascii="黑体" w:hAnsi="黑体" w:eastAsia="黑体" w:cs="黑体"/>
          <w:sz w:val="36"/>
          <w:szCs w:val="36"/>
        </w:rPr>
      </w:pPr>
      <w:r>
        <w:rPr>
          <w:rFonts w:hint="eastAsia" w:ascii="黑体" w:hAnsi="黑体" w:eastAsia="黑体" w:cs="黑体"/>
          <w:sz w:val="36"/>
          <w:szCs w:val="36"/>
          <w:lang w:val="en-US" w:eastAsia="zh-CN"/>
        </w:rPr>
        <w:t>资本项目行政审批</w:t>
      </w:r>
      <w:r>
        <w:rPr>
          <w:rFonts w:ascii="黑体" w:hAnsi="黑体" w:eastAsia="黑体" w:cs="黑体"/>
          <w:sz w:val="36"/>
          <w:szCs w:val="36"/>
        </w:rPr>
        <w:t>服务指南</w:t>
      </w:r>
    </w:p>
    <w:p>
      <w:pPr>
        <w:spacing w:line="360" w:lineRule="auto"/>
        <w:jc w:val="center"/>
        <w:rPr>
          <w:rFonts w:hint="default" w:ascii="黑体" w:hAnsi="黑体" w:eastAsia="黑体" w:cs="黑体"/>
          <w:sz w:val="36"/>
          <w:szCs w:val="36"/>
        </w:rPr>
      </w:pPr>
    </w:p>
    <w:p>
      <w:pPr>
        <w:spacing w:line="360" w:lineRule="auto"/>
        <w:jc w:val="center"/>
        <w:rPr>
          <w:rFonts w:hint="default" w:ascii="黑体" w:hAnsi="黑体" w:eastAsia="黑体" w:cs="黑体"/>
          <w:sz w:val="36"/>
          <w:szCs w:val="36"/>
        </w:rPr>
      </w:pPr>
    </w:p>
    <w:p>
      <w:pPr>
        <w:spacing w:line="360" w:lineRule="auto"/>
        <w:jc w:val="center"/>
        <w:rPr>
          <w:rFonts w:hint="default" w:ascii="黑体" w:hAnsi="黑体" w:eastAsia="黑体" w:cs="黑体"/>
          <w:sz w:val="36"/>
          <w:szCs w:val="36"/>
        </w:rPr>
      </w:pPr>
    </w:p>
    <w:p>
      <w:pPr>
        <w:spacing w:line="360" w:lineRule="auto"/>
        <w:jc w:val="center"/>
        <w:rPr>
          <w:rFonts w:hint="default" w:ascii="黑体" w:hAnsi="黑体" w:eastAsia="黑体" w:cs="黑体"/>
          <w:sz w:val="36"/>
          <w:szCs w:val="36"/>
        </w:rPr>
      </w:pPr>
    </w:p>
    <w:p>
      <w:pPr>
        <w:spacing w:line="360" w:lineRule="auto"/>
        <w:jc w:val="center"/>
        <w:rPr>
          <w:rFonts w:hint="default" w:ascii="黑体" w:hAnsi="黑体" w:eastAsia="黑体" w:cs="黑体"/>
          <w:sz w:val="36"/>
          <w:szCs w:val="36"/>
        </w:rPr>
      </w:pPr>
    </w:p>
    <w:p>
      <w:pPr>
        <w:spacing w:line="360" w:lineRule="auto"/>
        <w:jc w:val="center"/>
        <w:rPr>
          <w:rFonts w:hint="default" w:ascii="黑体" w:hAnsi="黑体" w:eastAsia="黑体" w:cs="黑体"/>
          <w:sz w:val="36"/>
          <w:szCs w:val="36"/>
        </w:rPr>
      </w:pPr>
    </w:p>
    <w:p>
      <w:pPr>
        <w:spacing w:line="360" w:lineRule="auto"/>
        <w:jc w:val="center"/>
        <w:rPr>
          <w:rFonts w:ascii="黑体" w:hAnsi="黑体" w:eastAsia="黑体" w:cs="黑体"/>
          <w:sz w:val="36"/>
          <w:szCs w:val="36"/>
        </w:rPr>
      </w:pPr>
      <w:r>
        <w:rPr>
          <w:rFonts w:ascii="黑体" w:hAnsi="黑体" w:eastAsia="黑体" w:cs="黑体"/>
          <w:sz w:val="36"/>
          <w:szCs w:val="36"/>
        </w:rPr>
        <w:t>国家外汇管理局青海省分局</w:t>
      </w:r>
    </w:p>
    <w:p>
      <w:pPr>
        <w:spacing w:line="360" w:lineRule="auto"/>
        <w:jc w:val="center"/>
        <w:rPr>
          <w:rFonts w:hint="eastAsia" w:ascii="黑体" w:hAnsi="黑体" w:eastAsia="黑体" w:cs="黑体"/>
          <w:sz w:val="36"/>
          <w:szCs w:val="36"/>
          <w:lang w:val="en-US" w:eastAsia="zh-CN"/>
        </w:rPr>
      </w:pPr>
      <w:r>
        <w:rPr>
          <w:rFonts w:hint="eastAsia" w:ascii="黑体" w:hAnsi="黑体" w:eastAsia="黑体" w:cs="黑体"/>
          <w:sz w:val="36"/>
          <w:szCs w:val="36"/>
          <w:lang w:val="en-US" w:eastAsia="zh-CN"/>
        </w:rPr>
        <w:t>2019.6</w:t>
      </w:r>
    </w:p>
    <w:p>
      <w:pPr>
        <w:spacing w:line="360" w:lineRule="auto"/>
        <w:jc w:val="center"/>
        <w:rPr>
          <w:rFonts w:hint="default" w:ascii="黑体" w:hAnsi="黑体" w:eastAsia="黑体" w:cs="黑体"/>
          <w:sz w:val="30"/>
          <w:szCs w:val="30"/>
        </w:rPr>
      </w:pPr>
    </w:p>
    <w:p>
      <w:pPr>
        <w:spacing w:line="360" w:lineRule="auto"/>
        <w:jc w:val="center"/>
        <w:rPr>
          <w:rFonts w:hint="default" w:ascii="黑体" w:hAnsi="黑体" w:eastAsia="黑体" w:cs="黑体"/>
          <w:sz w:val="30"/>
          <w:szCs w:val="30"/>
        </w:rPr>
      </w:pPr>
    </w:p>
    <w:p>
      <w:pPr>
        <w:spacing w:line="360" w:lineRule="auto"/>
        <w:jc w:val="center"/>
        <w:rPr>
          <w:rFonts w:hint="default" w:ascii="黑体" w:hAnsi="黑体" w:eastAsia="黑体" w:cs="黑体"/>
          <w:sz w:val="30"/>
          <w:szCs w:val="30"/>
        </w:rPr>
      </w:pPr>
    </w:p>
    <w:p>
      <w:pPr>
        <w:spacing w:line="360" w:lineRule="auto"/>
        <w:jc w:val="center"/>
        <w:rPr>
          <w:rFonts w:hint="default" w:ascii="黑体" w:hAnsi="黑体" w:eastAsia="黑体" w:cs="黑体"/>
          <w:sz w:val="30"/>
          <w:szCs w:val="30"/>
        </w:rPr>
      </w:pPr>
    </w:p>
    <w:p>
      <w:pPr>
        <w:spacing w:line="360" w:lineRule="auto"/>
        <w:jc w:val="center"/>
        <w:rPr>
          <w:rFonts w:hint="default" w:ascii="黑体" w:hAnsi="黑体" w:eastAsia="黑体" w:cs="黑体"/>
          <w:sz w:val="30"/>
          <w:szCs w:val="30"/>
        </w:rPr>
      </w:pPr>
    </w:p>
    <w:p>
      <w:pPr>
        <w:adjustRightInd w:val="0"/>
        <w:snapToGrid w:val="0"/>
        <w:spacing w:line="384" w:lineRule="auto"/>
        <w:jc w:val="center"/>
        <w:rPr>
          <w:rFonts w:hint="default" w:ascii="黑体" w:hAnsi="黑体" w:eastAsia="黑体" w:cs="仿宋_GB2312"/>
          <w:b/>
          <w:bCs/>
          <w:sz w:val="32"/>
          <w:szCs w:val="32"/>
        </w:rPr>
      </w:pPr>
      <w:bookmarkStart w:id="0" w:name="_GoBack"/>
      <w:bookmarkEnd w:id="0"/>
      <w:r>
        <w:rPr>
          <w:rFonts w:ascii="黑体" w:hAnsi="黑体" w:eastAsia="黑体" w:cs="仿宋_GB2312"/>
          <w:b/>
          <w:bCs/>
          <w:sz w:val="32"/>
          <w:szCs w:val="32"/>
        </w:rPr>
        <w:t>一、外汇管理行政审批服务规范</w:t>
      </w:r>
    </w:p>
    <w:p>
      <w:pPr>
        <w:adjustRightInd w:val="0"/>
        <w:snapToGrid w:val="0"/>
        <w:spacing w:line="384" w:lineRule="auto"/>
        <w:ind w:firstLine="643" w:firstLineChars="200"/>
        <w:rPr>
          <w:rFonts w:hint="default" w:ascii="黑体" w:hAnsi="黑体" w:eastAsia="黑体" w:cs="黑体"/>
          <w:b/>
          <w:sz w:val="32"/>
          <w:szCs w:val="32"/>
        </w:rPr>
      </w:pPr>
    </w:p>
    <w:p>
      <w:pPr>
        <w:adjustRightInd w:val="0"/>
        <w:snapToGrid w:val="0"/>
        <w:spacing w:line="384" w:lineRule="auto"/>
        <w:ind w:firstLine="643" w:firstLineChars="200"/>
        <w:rPr>
          <w:rFonts w:hint="default" w:ascii="黑体" w:hAnsi="黑体" w:eastAsia="黑体" w:cs="黑体"/>
          <w:sz w:val="28"/>
          <w:szCs w:val="28"/>
        </w:rPr>
      </w:pPr>
      <w:r>
        <w:rPr>
          <w:rFonts w:ascii="黑体" w:hAnsi="黑体" w:eastAsia="黑体" w:cs="黑体"/>
          <w:b/>
          <w:sz w:val="32"/>
          <w:szCs w:val="32"/>
        </w:rPr>
        <w:t>（一）</w:t>
      </w:r>
      <w:r>
        <w:rPr>
          <w:rFonts w:ascii="黑体" w:hAnsi="黑体" w:eastAsia="黑体" w:cs="黑体"/>
          <w:sz w:val="28"/>
          <w:szCs w:val="28"/>
        </w:rPr>
        <w:t>基本要求</w:t>
      </w:r>
    </w:p>
    <w:p>
      <w:pPr>
        <w:adjustRightInd w:val="0"/>
        <w:snapToGrid w:val="0"/>
        <w:spacing w:line="384" w:lineRule="auto"/>
        <w:ind w:firstLine="560" w:firstLineChars="200"/>
        <w:rPr>
          <w:rFonts w:hint="default" w:ascii="仿宋_GB2312" w:hAnsi="仿宋_GB2312" w:eastAsia="仿宋_GB2312" w:cs="仿宋_GB2312"/>
          <w:sz w:val="28"/>
          <w:szCs w:val="28"/>
        </w:rPr>
      </w:pPr>
      <w:r>
        <w:rPr>
          <w:rFonts w:ascii="仿宋_GB2312" w:hAnsi="仿宋_GB2312" w:eastAsia="仿宋_GB2312" w:cs="仿宋_GB2312"/>
          <w:sz w:val="28"/>
          <w:szCs w:val="28"/>
        </w:rPr>
        <w:t>优质服务、限时办结；严格落实首问负责、一次性告知等服务制度；根据服务对象合法需求，持续优化服务方式和服务行为，促进阳光审批和服务水平提升。</w:t>
      </w:r>
    </w:p>
    <w:p>
      <w:pPr>
        <w:adjustRightInd w:val="0"/>
        <w:snapToGrid w:val="0"/>
        <w:spacing w:line="384" w:lineRule="auto"/>
        <w:ind w:left="560"/>
        <w:rPr>
          <w:rFonts w:hint="default" w:ascii="黑体" w:hAnsi="黑体" w:eastAsia="黑体" w:cs="黑体"/>
          <w:sz w:val="28"/>
          <w:szCs w:val="28"/>
        </w:rPr>
      </w:pPr>
      <w:r>
        <w:rPr>
          <w:rFonts w:ascii="黑体" w:hAnsi="黑体" w:eastAsia="黑体" w:cs="黑体"/>
          <w:sz w:val="28"/>
          <w:szCs w:val="28"/>
        </w:rPr>
        <w:t>（二)接受咨询</w:t>
      </w:r>
    </w:p>
    <w:p>
      <w:pPr>
        <w:adjustRightInd w:val="0"/>
        <w:snapToGrid w:val="0"/>
        <w:spacing w:line="384" w:lineRule="auto"/>
        <w:ind w:firstLine="560" w:firstLineChars="200"/>
        <w:rPr>
          <w:rFonts w:hint="default" w:ascii="仿宋_GB2312" w:hAnsi="仿宋_GB2312" w:eastAsia="仿宋_GB2312" w:cs="仿宋_GB2312"/>
          <w:sz w:val="28"/>
          <w:szCs w:val="28"/>
        </w:rPr>
      </w:pPr>
      <w:r>
        <w:rPr>
          <w:rFonts w:ascii="仿宋_GB2312" w:hAnsi="仿宋_GB2312" w:eastAsia="仿宋_GB2312" w:cs="仿宋_GB2312"/>
          <w:sz w:val="28"/>
          <w:szCs w:val="28"/>
        </w:rPr>
        <w:t>咨询一次说清、表格一次发清，对于本部门承办的事项，工作人员等应按照有关规定对服务对象做出清晰明确答复，并提供相关事项的服务网址等，告知服务对象需要提交哪些材料以及材料的出处、份数和要求；对不属于本部门（窗口）承办的、停止办理的、无需审批的事项，应向服务对象做好解释说明；对不具备申请条件或不符合要求的事项，要依法依规处理。</w:t>
      </w:r>
    </w:p>
    <w:p>
      <w:pPr>
        <w:adjustRightInd w:val="0"/>
        <w:snapToGrid w:val="0"/>
        <w:spacing w:line="384" w:lineRule="auto"/>
        <w:ind w:left="560"/>
        <w:rPr>
          <w:rFonts w:hint="default" w:ascii="黑体" w:hAnsi="黑体" w:eastAsia="黑体" w:cs="黑体"/>
          <w:sz w:val="28"/>
          <w:szCs w:val="28"/>
        </w:rPr>
      </w:pPr>
      <w:r>
        <w:rPr>
          <w:rFonts w:ascii="黑体" w:hAnsi="黑体" w:eastAsia="黑体" w:cs="黑体"/>
          <w:sz w:val="28"/>
          <w:szCs w:val="28"/>
        </w:rPr>
        <w:t>（三）受理申请</w:t>
      </w:r>
    </w:p>
    <w:p>
      <w:pPr>
        <w:adjustRightInd w:val="0"/>
        <w:snapToGrid w:val="0"/>
        <w:spacing w:line="384" w:lineRule="auto"/>
        <w:ind w:firstLine="560" w:firstLineChars="200"/>
        <w:rPr>
          <w:rFonts w:hint="default" w:ascii="仿宋_GB2312" w:hAnsi="仿宋_GB2312" w:eastAsia="仿宋_GB2312" w:cs="仿宋_GB2312"/>
          <w:sz w:val="28"/>
          <w:szCs w:val="28"/>
        </w:rPr>
      </w:pPr>
      <w:r>
        <w:rPr>
          <w:rFonts w:ascii="仿宋_GB2312" w:hAnsi="仿宋_GB2312" w:eastAsia="仿宋_GB2312" w:cs="仿宋_GB2312"/>
          <w:sz w:val="28"/>
          <w:szCs w:val="28"/>
        </w:rPr>
        <w:t>材料一次收清，内容一次审清。服务对象提出申请，及时接收。能够当场受理的，当场受理；能够当场指正补充修改申请材料的，当场指正。不得擅自增加申请材料。</w:t>
      </w:r>
    </w:p>
    <w:p>
      <w:pPr>
        <w:numPr>
          <w:ilvl w:val="0"/>
          <w:numId w:val="1"/>
        </w:numPr>
        <w:adjustRightInd w:val="0"/>
        <w:snapToGrid w:val="0"/>
        <w:spacing w:line="384" w:lineRule="auto"/>
        <w:rPr>
          <w:rFonts w:hint="default" w:ascii="黑体" w:hAnsi="黑体" w:eastAsia="黑体" w:cs="黑体"/>
          <w:sz w:val="28"/>
          <w:szCs w:val="28"/>
        </w:rPr>
      </w:pPr>
      <w:r>
        <w:rPr>
          <w:rFonts w:ascii="黑体" w:hAnsi="黑体" w:eastAsia="黑体" w:cs="黑体"/>
          <w:sz w:val="28"/>
          <w:szCs w:val="28"/>
        </w:rPr>
        <w:t>审查办理</w:t>
      </w:r>
    </w:p>
    <w:p>
      <w:pPr>
        <w:adjustRightInd w:val="0"/>
        <w:snapToGrid w:val="0"/>
        <w:spacing w:line="384" w:lineRule="auto"/>
        <w:ind w:firstLine="560" w:firstLineChars="200"/>
        <w:rPr>
          <w:rFonts w:hint="default" w:ascii="仿宋_GB2312" w:hAnsi="仿宋_GB2312" w:eastAsia="仿宋_GB2312" w:cs="仿宋_GB2312"/>
          <w:sz w:val="28"/>
          <w:szCs w:val="28"/>
        </w:rPr>
      </w:pPr>
      <w:r>
        <w:rPr>
          <w:rFonts w:ascii="仿宋_GB2312" w:hAnsi="仿宋_GB2312" w:eastAsia="仿宋_GB2312" w:cs="仿宋_GB2312"/>
          <w:sz w:val="28"/>
          <w:szCs w:val="28"/>
        </w:rPr>
        <w:t>落实授权制度，权责一致，审查办理准、规范、及时；依职责对服务对象提供材料的真实性、合法性和规范性进行审核，出具意见。属于本级权限内事项，按时完成；属于上级部门批准事项，应审查后及时上报。</w:t>
      </w:r>
    </w:p>
    <w:p>
      <w:pPr>
        <w:adjustRightInd w:val="0"/>
        <w:snapToGrid w:val="0"/>
        <w:spacing w:line="384" w:lineRule="auto"/>
        <w:ind w:left="560"/>
        <w:rPr>
          <w:rFonts w:hint="default" w:ascii="黑体" w:hAnsi="黑体" w:eastAsia="黑体" w:cs="黑体"/>
          <w:sz w:val="28"/>
          <w:szCs w:val="28"/>
        </w:rPr>
      </w:pPr>
      <w:r>
        <w:rPr>
          <w:rFonts w:ascii="黑体" w:hAnsi="黑体" w:eastAsia="黑体" w:cs="黑体"/>
          <w:sz w:val="28"/>
          <w:szCs w:val="28"/>
        </w:rPr>
        <w:t>（五）满意度评价</w:t>
      </w:r>
    </w:p>
    <w:p>
      <w:pPr>
        <w:adjustRightInd w:val="0"/>
        <w:snapToGrid w:val="0"/>
        <w:spacing w:line="384" w:lineRule="auto"/>
        <w:ind w:firstLine="560" w:firstLineChars="200"/>
        <w:rPr>
          <w:rFonts w:hint="default" w:ascii="仿宋_GB2312" w:hAnsi="仿宋_GB2312" w:eastAsia="仿宋_GB2312" w:cs="仿宋_GB2312"/>
          <w:sz w:val="28"/>
          <w:szCs w:val="28"/>
        </w:rPr>
      </w:pPr>
      <w:r>
        <w:rPr>
          <w:rFonts w:ascii="仿宋_GB2312" w:hAnsi="仿宋_GB2312" w:eastAsia="仿宋_GB2312" w:cs="仿宋_GB2312"/>
          <w:sz w:val="28"/>
          <w:szCs w:val="28"/>
        </w:rPr>
        <w:t>各级外汇局应发放满意度评价表，请申请人对服务质量进行评价。</w:t>
      </w:r>
    </w:p>
    <w:p>
      <w:pPr>
        <w:adjustRightInd w:val="0"/>
        <w:snapToGrid w:val="0"/>
        <w:spacing w:line="384" w:lineRule="auto"/>
        <w:ind w:firstLine="560" w:firstLineChars="200"/>
        <w:rPr>
          <w:rFonts w:hint="default" w:ascii="黑体" w:hAnsi="黑体" w:eastAsia="黑体" w:cs="黑体"/>
          <w:sz w:val="28"/>
          <w:szCs w:val="28"/>
        </w:rPr>
      </w:pPr>
      <w:r>
        <w:rPr>
          <w:rFonts w:ascii="黑体" w:hAnsi="黑体" w:eastAsia="黑体" w:cs="黑体"/>
          <w:sz w:val="28"/>
          <w:szCs w:val="28"/>
        </w:rPr>
        <w:t>（六）纪律要求</w:t>
      </w:r>
    </w:p>
    <w:p>
      <w:pPr>
        <w:adjustRightInd w:val="0"/>
        <w:snapToGrid w:val="0"/>
        <w:spacing w:line="384" w:lineRule="auto"/>
        <w:ind w:firstLine="560" w:firstLineChars="200"/>
        <w:rPr>
          <w:rFonts w:hint="default" w:ascii="仿宋_GB2312" w:hAnsi="仿宋_GB2312" w:eastAsia="仿宋_GB2312" w:cs="仿宋_GB2312"/>
          <w:sz w:val="28"/>
          <w:szCs w:val="28"/>
        </w:rPr>
      </w:pPr>
      <w:r>
        <w:rPr>
          <w:rFonts w:ascii="仿宋_GB2312" w:hAnsi="仿宋_GB2312" w:eastAsia="仿宋_GB2312" w:cs="仿宋_GB2312"/>
          <w:sz w:val="28"/>
          <w:szCs w:val="28"/>
        </w:rPr>
        <w:t>业务能力强，服务态度好，熟悉流程。言行礼仪得当、热情大方；接待服务、接听电话、遇到服务对象投诉时，认真耐心，必要时做好记录。</w:t>
      </w:r>
    </w:p>
    <w:p>
      <w:pPr>
        <w:adjustRightInd w:val="0"/>
        <w:snapToGrid w:val="0"/>
        <w:spacing w:line="384" w:lineRule="auto"/>
        <w:ind w:firstLine="560" w:firstLineChars="200"/>
        <w:rPr>
          <w:rFonts w:hint="default" w:ascii="仿宋_GB2312" w:hAnsi="仿宋_GB2312" w:eastAsia="仿宋_GB2312" w:cs="仿宋_GB2312"/>
          <w:sz w:val="28"/>
          <w:szCs w:val="28"/>
        </w:rPr>
      </w:pPr>
      <w:r>
        <w:rPr>
          <w:rFonts w:ascii="仿宋_GB2312" w:hAnsi="仿宋_GB2312" w:eastAsia="仿宋_GB2312" w:cs="仿宋_GB2312"/>
          <w:sz w:val="28"/>
          <w:szCs w:val="28"/>
        </w:rPr>
        <w:t>不得擅自离岗、串岗、聊天、喧哗或从事与工作无关的事务；未经批准不得中途或提前终止服务。如服务期间因故离开窗口中断服务，必须摆放暂停服务牌，向服务对象明示并引导其在其他窗口办理业务，以防服务对象在无人窗口前等待。</w:t>
      </w:r>
    </w:p>
    <w:p>
      <w:pPr>
        <w:adjustRightInd w:val="0"/>
        <w:snapToGrid w:val="0"/>
        <w:spacing w:line="384" w:lineRule="auto"/>
        <w:ind w:firstLine="560" w:firstLineChars="200"/>
        <w:rPr>
          <w:rFonts w:hint="default" w:ascii="仿宋_GB2312" w:hAnsi="仿宋_GB2312" w:eastAsia="仿宋_GB2312" w:cs="仿宋_GB2312"/>
          <w:sz w:val="28"/>
          <w:szCs w:val="28"/>
        </w:rPr>
      </w:pPr>
      <w:r>
        <w:rPr>
          <w:rFonts w:ascii="仿宋_GB2312" w:hAnsi="仿宋_GB2312" w:eastAsia="仿宋_GB2312" w:cs="仿宋_GB2312"/>
          <w:sz w:val="28"/>
          <w:szCs w:val="28"/>
        </w:rPr>
        <w:t>遵守法纪保守秘密，不违反国家法律、法规及有关规章制度，保守服务对象秘密；按规定整理归档，保证服务对象信息安全。</w:t>
      </w:r>
    </w:p>
    <w:p>
      <w:pPr>
        <w:adjustRightInd w:val="0"/>
        <w:snapToGrid w:val="0"/>
        <w:spacing w:line="384" w:lineRule="auto"/>
        <w:ind w:left="6896" w:leftChars="284" w:hanging="6300" w:hangingChars="2250"/>
        <w:rPr>
          <w:rFonts w:hint="default" w:ascii="仿宋_GB2312" w:hAnsi="仿宋_GB2312" w:eastAsia="仿宋_GB2312" w:cs="仿宋_GB2312"/>
          <w:b/>
          <w:sz w:val="32"/>
          <w:szCs w:val="32"/>
        </w:rPr>
      </w:pPr>
      <w:r>
        <w:rPr>
          <w:rFonts w:ascii="仿宋_GB2312" w:hAnsi="仿宋_GB2312" w:eastAsia="仿宋_GB2312" w:cs="仿宋_GB2312"/>
          <w:sz w:val="28"/>
          <w:szCs w:val="28"/>
        </w:rPr>
        <w:t xml:space="preserve">                        </w:t>
      </w:r>
      <w:r>
        <w:rPr>
          <w:rFonts w:ascii="仿宋_GB2312" w:hAnsi="仿宋_GB2312" w:eastAsia="仿宋_GB2312" w:cs="仿宋_GB2312"/>
          <w:b/>
          <w:sz w:val="32"/>
          <w:szCs w:val="32"/>
        </w:rPr>
        <w:t xml:space="preserve">                             </w:t>
      </w:r>
    </w:p>
    <w:p>
      <w:pPr>
        <w:spacing w:line="360" w:lineRule="auto"/>
        <w:ind w:firstLine="560" w:firstLineChars="200"/>
        <w:rPr>
          <w:rFonts w:hint="default" w:ascii="仿宋_GB2312" w:hAnsi="仿宋_GB2312" w:eastAsia="仿宋_GB2312" w:cs="仿宋_GB2312"/>
          <w:bCs/>
          <w:kern w:val="0"/>
          <w:sz w:val="28"/>
          <w:szCs w:val="28"/>
        </w:rPr>
      </w:pPr>
    </w:p>
    <w:p>
      <w:pPr>
        <w:spacing w:line="360" w:lineRule="auto"/>
        <w:ind w:firstLine="560" w:firstLineChars="200"/>
        <w:rPr>
          <w:rFonts w:hint="default" w:ascii="仿宋_GB2312" w:hAnsi="仿宋_GB2312" w:eastAsia="仿宋_GB2312" w:cs="仿宋_GB2312"/>
          <w:bCs/>
          <w:kern w:val="0"/>
          <w:sz w:val="28"/>
          <w:szCs w:val="28"/>
        </w:rPr>
      </w:pPr>
    </w:p>
    <w:p>
      <w:pPr>
        <w:spacing w:line="360" w:lineRule="auto"/>
        <w:ind w:firstLine="560" w:firstLineChars="200"/>
        <w:rPr>
          <w:rFonts w:hint="default" w:ascii="仿宋_GB2312" w:hAnsi="仿宋_GB2312" w:eastAsia="仿宋_GB2312" w:cs="仿宋_GB2312"/>
          <w:bCs/>
          <w:kern w:val="0"/>
          <w:sz w:val="28"/>
          <w:szCs w:val="28"/>
        </w:rPr>
      </w:pPr>
    </w:p>
    <w:p>
      <w:pPr>
        <w:spacing w:line="360" w:lineRule="auto"/>
        <w:ind w:firstLine="560" w:firstLineChars="200"/>
        <w:rPr>
          <w:rFonts w:hint="default" w:ascii="仿宋_GB2312" w:hAnsi="仿宋_GB2312" w:eastAsia="仿宋_GB2312" w:cs="仿宋_GB2312"/>
          <w:bCs/>
          <w:kern w:val="0"/>
          <w:sz w:val="28"/>
          <w:szCs w:val="28"/>
        </w:rPr>
      </w:pPr>
    </w:p>
    <w:p>
      <w:pPr>
        <w:spacing w:line="360" w:lineRule="auto"/>
        <w:ind w:firstLine="560" w:firstLineChars="200"/>
        <w:rPr>
          <w:rFonts w:hint="default" w:ascii="仿宋_GB2312" w:hAnsi="仿宋_GB2312" w:eastAsia="仿宋_GB2312" w:cs="仿宋_GB2312"/>
          <w:bCs/>
          <w:kern w:val="0"/>
          <w:sz w:val="28"/>
          <w:szCs w:val="28"/>
        </w:rPr>
      </w:pPr>
    </w:p>
    <w:p>
      <w:pPr>
        <w:spacing w:line="360" w:lineRule="auto"/>
        <w:ind w:firstLine="560" w:firstLineChars="200"/>
        <w:rPr>
          <w:rFonts w:hint="default" w:ascii="仿宋_GB2312" w:hAnsi="仿宋_GB2312" w:eastAsia="仿宋_GB2312" w:cs="仿宋_GB2312"/>
          <w:bCs/>
          <w:kern w:val="0"/>
          <w:sz w:val="28"/>
          <w:szCs w:val="28"/>
        </w:rPr>
      </w:pPr>
    </w:p>
    <w:p>
      <w:pPr>
        <w:spacing w:line="360" w:lineRule="auto"/>
        <w:ind w:firstLine="560" w:firstLineChars="200"/>
        <w:rPr>
          <w:rFonts w:hint="default" w:ascii="仿宋_GB2312" w:hAnsi="仿宋_GB2312" w:eastAsia="仿宋_GB2312" w:cs="仿宋_GB2312"/>
          <w:bCs/>
          <w:kern w:val="0"/>
          <w:sz w:val="28"/>
          <w:szCs w:val="28"/>
        </w:rPr>
      </w:pPr>
    </w:p>
    <w:p>
      <w:pPr>
        <w:spacing w:line="360" w:lineRule="auto"/>
        <w:ind w:firstLine="560" w:firstLineChars="200"/>
        <w:rPr>
          <w:rFonts w:hint="default" w:ascii="仿宋_GB2312" w:hAnsi="仿宋_GB2312" w:eastAsia="仿宋_GB2312" w:cs="仿宋_GB2312"/>
          <w:bCs/>
          <w:kern w:val="0"/>
          <w:sz w:val="28"/>
          <w:szCs w:val="28"/>
        </w:rPr>
      </w:pPr>
    </w:p>
    <w:p>
      <w:pPr>
        <w:rPr>
          <w:rFonts w:hint="default" w:eastAsia="Times New Roman"/>
        </w:rPr>
      </w:pPr>
    </w:p>
    <w:p>
      <w:pPr>
        <w:rPr>
          <w:rFonts w:hint="default" w:eastAsia="Times New Roman"/>
        </w:rPr>
      </w:pPr>
    </w:p>
    <w:p>
      <w:pPr>
        <w:widowControl/>
        <w:numPr>
          <w:numId w:val="0"/>
        </w:numPr>
        <w:snapToGrid w:val="0"/>
        <w:jc w:val="both"/>
        <w:rPr>
          <w:rFonts w:hint="eastAsia" w:ascii="宋体" w:hAnsi="宋体"/>
          <w:b/>
          <w:kern w:val="0"/>
          <w:sz w:val="28"/>
          <w:lang w:val="en-US" w:eastAsia="zh-CN"/>
        </w:rPr>
      </w:pPr>
      <w:r>
        <w:rPr>
          <w:rFonts w:hint="eastAsia" w:ascii="宋体" w:hAnsi="宋体"/>
          <w:b/>
          <w:kern w:val="0"/>
          <w:sz w:val="28"/>
          <w:lang w:val="en-US" w:eastAsia="zh-CN"/>
        </w:rPr>
        <w:t xml:space="preserve">        </w:t>
      </w:r>
    </w:p>
    <w:p>
      <w:pPr>
        <w:widowControl/>
        <w:numPr>
          <w:numId w:val="0"/>
        </w:numPr>
        <w:snapToGrid w:val="0"/>
        <w:jc w:val="both"/>
        <w:rPr>
          <w:rFonts w:hint="eastAsia" w:ascii="宋体" w:hAnsi="宋体"/>
          <w:b/>
          <w:kern w:val="0"/>
          <w:sz w:val="28"/>
          <w:lang w:val="en-US" w:eastAsia="zh-CN"/>
        </w:rPr>
      </w:pPr>
    </w:p>
    <w:p>
      <w:pPr>
        <w:widowControl/>
        <w:numPr>
          <w:numId w:val="0"/>
        </w:numPr>
        <w:snapToGrid w:val="0"/>
        <w:jc w:val="both"/>
        <w:rPr>
          <w:rFonts w:ascii="宋体" w:hAnsi="宋体"/>
          <w:b/>
          <w:kern w:val="0"/>
          <w:sz w:val="28"/>
        </w:rPr>
      </w:pPr>
      <w:r>
        <w:rPr>
          <w:rFonts w:hint="eastAsia" w:ascii="宋体" w:hAnsi="宋体"/>
          <w:b/>
          <w:kern w:val="0"/>
          <w:sz w:val="28"/>
          <w:lang w:val="en-US" w:eastAsia="zh-CN"/>
        </w:rPr>
        <w:t xml:space="preserve">          </w:t>
      </w:r>
      <w:r>
        <w:rPr>
          <w:rFonts w:ascii="宋体" w:hAnsi="宋体"/>
          <w:b/>
          <w:kern w:val="0"/>
          <w:sz w:val="28"/>
        </w:rPr>
        <w:t>国家外汇管理局青海省分局资本项目业务服务指南</w:t>
      </w:r>
    </w:p>
    <w:tbl>
      <w:tblPr>
        <w:tblStyle w:val="16"/>
        <w:tblW w:w="850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093"/>
        <w:gridCol w:w="741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jc w:val="center"/>
        </w:trPr>
        <w:tc>
          <w:tcPr>
            <w:tcW w:w="1093" w:type="dxa"/>
            <w:tcBorders>
              <w:top w:val="single" w:color="000000" w:sz="4" w:space="0"/>
              <w:left w:val="single" w:color="000000" w:sz="4" w:space="0"/>
              <w:bottom w:val="single" w:color="000000" w:sz="4" w:space="0"/>
              <w:right w:val="single" w:color="000000" w:sz="4" w:space="0"/>
            </w:tcBorders>
            <w:vAlign w:val="center"/>
          </w:tcPr>
          <w:p>
            <w:pPr>
              <w:widowControl/>
              <w:snapToGrid w:val="0"/>
              <w:jc w:val="left"/>
              <w:rPr>
                <w:rFonts w:hint="default"/>
                <w:kern w:val="0"/>
                <w:sz w:val="20"/>
              </w:rPr>
            </w:pPr>
            <w:r>
              <w:rPr>
                <w:rFonts w:ascii="宋体" w:hAnsi="宋体"/>
                <w:kern w:val="0"/>
              </w:rPr>
              <w:t>业务名称</w:t>
            </w:r>
          </w:p>
        </w:tc>
        <w:tc>
          <w:tcPr>
            <w:tcW w:w="7412" w:type="dxa"/>
            <w:tcBorders>
              <w:top w:val="single" w:color="000000" w:sz="4" w:space="0"/>
              <w:left w:val="nil"/>
              <w:bottom w:val="single" w:color="000000" w:sz="4" w:space="0"/>
              <w:right w:val="single" w:color="000000" w:sz="4" w:space="0"/>
            </w:tcBorders>
            <w:vAlign w:val="center"/>
          </w:tcPr>
          <w:p>
            <w:pPr>
              <w:widowControl/>
              <w:snapToGrid w:val="0"/>
              <w:jc w:val="left"/>
              <w:rPr>
                <w:rFonts w:hint="default"/>
                <w:b/>
                <w:kern w:val="0"/>
                <w:sz w:val="20"/>
              </w:rPr>
            </w:pPr>
            <w:r>
              <w:rPr>
                <w:rFonts w:ascii="宋体" w:hAnsi="宋体"/>
                <w:b/>
                <w:kern w:val="0"/>
              </w:rPr>
              <w:t>（一）</w:t>
            </w:r>
            <w:r>
              <w:rPr>
                <w:rFonts w:hint="eastAsia" w:ascii="宋体" w:hAnsi="宋体"/>
                <w:b/>
                <w:kern w:val="0"/>
              </w:rPr>
              <w:t>短期外债余额指标核准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jc w:val="center"/>
        </w:trPr>
        <w:tc>
          <w:tcPr>
            <w:tcW w:w="1093" w:type="dxa"/>
            <w:tcBorders>
              <w:top w:val="single" w:color="000000" w:sz="4" w:space="0"/>
              <w:left w:val="single" w:color="000000" w:sz="4" w:space="0"/>
              <w:bottom w:val="single" w:color="000000" w:sz="4" w:space="0"/>
              <w:right w:val="single" w:color="000000" w:sz="4" w:space="0"/>
            </w:tcBorders>
            <w:vAlign w:val="center"/>
          </w:tcPr>
          <w:p>
            <w:pPr>
              <w:widowControl/>
              <w:snapToGrid w:val="0"/>
              <w:jc w:val="left"/>
              <w:rPr>
                <w:rFonts w:hint="default"/>
                <w:kern w:val="0"/>
                <w:sz w:val="20"/>
              </w:rPr>
            </w:pPr>
            <w:r>
              <w:rPr>
                <w:rFonts w:ascii="宋体" w:hAnsi="宋体"/>
                <w:kern w:val="0"/>
              </w:rPr>
              <w:t>设定依据</w:t>
            </w:r>
          </w:p>
          <w:p>
            <w:pPr>
              <w:widowControl/>
              <w:spacing w:line="271" w:lineRule="auto"/>
              <w:jc w:val="center"/>
              <w:rPr>
                <w:rFonts w:hint="default" w:ascii="Times New Roman" w:eastAsia="Times New Roman"/>
                <w:b/>
                <w:kern w:val="0"/>
              </w:rPr>
            </w:pPr>
          </w:p>
        </w:tc>
        <w:tc>
          <w:tcPr>
            <w:tcW w:w="7412" w:type="dxa"/>
            <w:tcBorders>
              <w:top w:val="single" w:color="000000" w:sz="4" w:space="0"/>
              <w:left w:val="nil"/>
              <w:bottom w:val="single" w:color="000000" w:sz="4" w:space="0"/>
              <w:right w:val="single" w:color="000000" w:sz="4" w:space="0"/>
            </w:tcBorders>
            <w:vAlign w:val="center"/>
          </w:tcPr>
          <w:p>
            <w:pPr>
              <w:widowControl/>
              <w:snapToGrid w:val="0"/>
              <w:jc w:val="left"/>
              <w:rPr>
                <w:rFonts w:hint="default" w:ascii="宋体" w:hAnsi="宋体"/>
                <w:kern w:val="0"/>
              </w:rPr>
            </w:pPr>
            <w:r>
              <w:rPr>
                <w:rFonts w:hint="eastAsia" w:ascii="宋体" w:hAnsi="宋体"/>
                <w:kern w:val="0"/>
                <w:lang w:val="en-US" w:eastAsia="zh-CN"/>
              </w:rPr>
              <w:t>1</w:t>
            </w:r>
            <w:r>
              <w:rPr>
                <w:rFonts w:hint="default" w:ascii="宋体" w:hAnsi="宋体"/>
                <w:kern w:val="0"/>
              </w:rPr>
              <w:t>.《中华人民共和国外汇管理条例》（国务院令第532号）</w:t>
            </w:r>
          </w:p>
          <w:p>
            <w:pPr>
              <w:widowControl/>
              <w:snapToGrid w:val="0"/>
              <w:jc w:val="left"/>
              <w:rPr>
                <w:rFonts w:hint="default" w:ascii="宋体" w:hAnsi="宋体"/>
                <w:kern w:val="0"/>
              </w:rPr>
            </w:pPr>
            <w:r>
              <w:rPr>
                <w:rFonts w:hint="default" w:ascii="宋体" w:hAnsi="宋体"/>
                <w:kern w:val="0"/>
              </w:rPr>
              <w:t>2.《境内机构借用国际商业贷款管理办法》（[97]汇政发字06号）</w:t>
            </w:r>
          </w:p>
          <w:p>
            <w:pPr>
              <w:widowControl/>
              <w:snapToGrid w:val="0"/>
              <w:jc w:val="left"/>
              <w:rPr>
                <w:rFonts w:hint="default" w:ascii="宋体" w:hAnsi="宋体"/>
                <w:kern w:val="0"/>
              </w:rPr>
            </w:pPr>
            <w:r>
              <w:rPr>
                <w:rFonts w:hint="default" w:ascii="宋体" w:hAnsi="宋体"/>
                <w:kern w:val="0"/>
              </w:rPr>
              <w:t>3.《境内外资银行外债管理办法》（国家发展和改革委员会、中国人民银行、中国银行业监督管理委员会令2004年第9号）</w:t>
            </w:r>
          </w:p>
          <w:p>
            <w:pPr>
              <w:widowControl/>
              <w:snapToGrid w:val="0"/>
              <w:jc w:val="left"/>
              <w:rPr>
                <w:rFonts w:hint="default" w:ascii="宋体" w:hAnsi="宋体"/>
                <w:kern w:val="0"/>
              </w:rPr>
            </w:pPr>
            <w:r>
              <w:rPr>
                <w:rFonts w:hint="default" w:ascii="宋体" w:hAnsi="宋体"/>
                <w:kern w:val="0"/>
              </w:rPr>
              <w:t>4.</w:t>
            </w:r>
            <w:r>
              <w:rPr>
                <w:rFonts w:hint="eastAsia" w:ascii="宋体" w:hAnsi="宋体"/>
                <w:kern w:val="0"/>
              </w:rPr>
              <w:t>《国家外汇管理局关于发布〈外债登记管理办法〉的通知》（汇发〔2013〕19号）。</w:t>
            </w:r>
          </w:p>
          <w:p>
            <w:pPr>
              <w:widowControl/>
              <w:snapToGrid w:val="0"/>
              <w:jc w:val="left"/>
              <w:rPr>
                <w:rFonts w:hint="default" w:ascii="宋体" w:hAnsi="宋体"/>
                <w:kern w:val="0"/>
              </w:rPr>
            </w:pPr>
            <w:r>
              <w:rPr>
                <w:rFonts w:hint="default" w:ascii="宋体" w:hAnsi="宋体"/>
                <w:kern w:val="0"/>
              </w:rPr>
              <w:t>5.</w:t>
            </w:r>
            <w:r>
              <w:rPr>
                <w:rFonts w:hint="eastAsia" w:ascii="宋体" w:hAnsi="宋体"/>
                <w:kern w:val="0"/>
              </w:rPr>
              <w:t>《中国人民银行关于全口径跨境融资宏观审慎管理有关事宜的通知》（银发〔</w:t>
            </w:r>
            <w:r>
              <w:rPr>
                <w:rFonts w:hint="default" w:ascii="宋体" w:hAnsi="宋体"/>
                <w:kern w:val="0"/>
              </w:rPr>
              <w:t>2017</w:t>
            </w:r>
            <w:r>
              <w:rPr>
                <w:rFonts w:hint="eastAsia" w:ascii="宋体" w:hAnsi="宋体"/>
                <w:kern w:val="0"/>
              </w:rPr>
              <w:t>〕</w:t>
            </w:r>
            <w:r>
              <w:rPr>
                <w:rFonts w:hint="default" w:ascii="宋体" w:hAnsi="宋体"/>
                <w:kern w:val="0"/>
              </w:rPr>
              <w:t>9</w:t>
            </w:r>
            <w:r>
              <w:rPr>
                <w:rFonts w:hint="eastAsia" w:ascii="宋体" w:hAnsi="宋体"/>
                <w:kern w:val="0"/>
              </w:rPr>
              <w:t>号）。</w:t>
            </w:r>
          </w:p>
          <w:p>
            <w:pPr>
              <w:widowControl/>
              <w:snapToGrid w:val="0"/>
              <w:jc w:val="left"/>
              <w:rPr>
                <w:rFonts w:hint="default"/>
                <w:kern w:val="0"/>
                <w:sz w:val="20"/>
              </w:rPr>
            </w:pPr>
            <w:r>
              <w:rPr>
                <w:rFonts w:hint="default" w:ascii="宋体" w:hAnsi="宋体"/>
                <w:kern w:val="0"/>
              </w:rPr>
              <w:t xml:space="preserve">6.其他相关法规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jc w:val="center"/>
        </w:trPr>
        <w:tc>
          <w:tcPr>
            <w:tcW w:w="1093"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rFonts w:ascii="宋体" w:hAnsi="宋体"/>
                <w:kern w:val="0"/>
              </w:rPr>
            </w:pPr>
            <w:r>
              <w:rPr>
                <w:rFonts w:ascii="宋体" w:hAnsi="宋体"/>
                <w:kern w:val="0"/>
              </w:rPr>
              <w:t>申请条件</w:t>
            </w:r>
          </w:p>
          <w:p>
            <w:pPr>
              <w:widowControl/>
              <w:snapToGrid w:val="0"/>
              <w:jc w:val="center"/>
              <w:rPr>
                <w:rFonts w:hint="eastAsia" w:ascii="宋体" w:hAnsi="宋体"/>
                <w:kern w:val="0"/>
                <w:lang w:val="en-US" w:eastAsia="zh-CN"/>
              </w:rPr>
            </w:pPr>
            <w:r>
              <w:rPr>
                <w:rFonts w:hint="eastAsia" w:ascii="宋体" w:hAnsi="宋体"/>
                <w:kern w:val="0"/>
                <w:lang w:val="en-US" w:eastAsia="zh-CN"/>
              </w:rPr>
              <w:t>及</w:t>
            </w:r>
          </w:p>
          <w:p>
            <w:pPr>
              <w:widowControl/>
              <w:snapToGrid w:val="0"/>
              <w:jc w:val="center"/>
              <w:rPr>
                <w:rFonts w:hint="eastAsia" w:ascii="宋体" w:hAnsi="宋体"/>
                <w:kern w:val="0"/>
                <w:lang w:val="en-US" w:eastAsia="zh-CN"/>
              </w:rPr>
            </w:pPr>
            <w:r>
              <w:rPr>
                <w:rFonts w:hint="eastAsia" w:ascii="宋体" w:hAnsi="宋体"/>
                <w:kern w:val="0"/>
                <w:lang w:val="en-US" w:eastAsia="zh-CN"/>
              </w:rPr>
              <w:t>注意事项</w:t>
            </w:r>
          </w:p>
        </w:tc>
        <w:tc>
          <w:tcPr>
            <w:tcW w:w="7412" w:type="dxa"/>
            <w:tcBorders>
              <w:top w:val="single" w:color="000000" w:sz="4" w:space="0"/>
              <w:left w:val="nil"/>
              <w:bottom w:val="single" w:color="000000" w:sz="4" w:space="0"/>
              <w:right w:val="single" w:color="000000" w:sz="4" w:space="0"/>
            </w:tcBorders>
            <w:vAlign w:val="center"/>
          </w:tcPr>
          <w:p>
            <w:pPr>
              <w:widowControl/>
              <w:snapToGrid w:val="0"/>
              <w:jc w:val="left"/>
              <w:rPr>
                <w:rFonts w:hint="eastAsia" w:ascii="宋体" w:hAnsi="宋体"/>
                <w:kern w:val="0"/>
              </w:rPr>
            </w:pPr>
            <w:r>
              <w:rPr>
                <w:rFonts w:hint="eastAsia" w:ascii="宋体" w:hAnsi="宋体"/>
                <w:kern w:val="0"/>
              </w:rPr>
              <w:t>1.短期外债使用无不良记录。</w:t>
            </w:r>
          </w:p>
          <w:p>
            <w:pPr>
              <w:widowControl/>
              <w:snapToGrid w:val="0"/>
              <w:jc w:val="left"/>
              <w:rPr>
                <w:rFonts w:hint="eastAsia" w:ascii="宋体" w:hAnsi="宋体"/>
                <w:kern w:val="0"/>
              </w:rPr>
            </w:pPr>
            <w:r>
              <w:rPr>
                <w:rFonts w:hint="eastAsia" w:ascii="宋体" w:hAnsi="宋体"/>
                <w:kern w:val="0"/>
              </w:rPr>
              <w:t>2.外汇局根据外资银行对外汇资金的实际合理需求，统筹考虑国际收支等因素为银行核定短期外债指标。</w:t>
            </w:r>
          </w:p>
          <w:p>
            <w:pPr>
              <w:widowControl/>
              <w:snapToGrid w:val="0"/>
              <w:jc w:val="left"/>
              <w:rPr>
                <w:rFonts w:hint="eastAsia" w:ascii="宋体" w:hAnsi="宋体"/>
                <w:kern w:val="0"/>
              </w:rPr>
            </w:pPr>
            <w:r>
              <w:rPr>
                <w:rFonts w:hint="eastAsia" w:ascii="宋体" w:hAnsi="宋体"/>
                <w:kern w:val="0"/>
              </w:rPr>
              <w:t>3.短期外债实行余额管理，除另有规定外，债务人在任一个工作日末应当纳入短期外债指标控制的未偿本金余额，不得超过外汇局核定的短期外债余额指标。</w:t>
            </w:r>
          </w:p>
          <w:p>
            <w:pPr>
              <w:widowControl/>
              <w:snapToGrid w:val="0"/>
              <w:jc w:val="left"/>
              <w:rPr>
                <w:rFonts w:hint="eastAsia" w:ascii="宋体" w:hAnsi="宋体"/>
                <w:kern w:val="0"/>
              </w:rPr>
            </w:pPr>
            <w:r>
              <w:rPr>
                <w:rFonts w:hint="eastAsia" w:ascii="宋体" w:hAnsi="宋体"/>
                <w:kern w:val="0"/>
                <w:lang w:val="en-US" w:eastAsia="zh-CN"/>
              </w:rPr>
              <w:t>4</w:t>
            </w:r>
            <w:r>
              <w:rPr>
                <w:rFonts w:hint="eastAsia" w:ascii="宋体" w:hAnsi="宋体"/>
                <w:kern w:val="0"/>
              </w:rPr>
              <w:t>.选择短期外债余额指标管理模式的，银发〔2017〕9号文件规定的不纳入跨境融资风险加权余额计算的豁免项不适用本条操作。</w:t>
            </w:r>
          </w:p>
          <w:p>
            <w:pPr>
              <w:widowControl/>
              <w:snapToGrid w:val="0"/>
              <w:jc w:val="left"/>
              <w:rPr>
                <w:rFonts w:hint="eastAsia" w:ascii="宋体" w:hAnsi="宋体"/>
                <w:kern w:val="0"/>
              </w:rPr>
            </w:pPr>
            <w:r>
              <w:rPr>
                <w:rFonts w:hint="eastAsia" w:ascii="宋体" w:hAnsi="宋体"/>
                <w:kern w:val="0"/>
                <w:lang w:val="en-US" w:eastAsia="zh-CN"/>
              </w:rPr>
              <w:t>5</w:t>
            </w:r>
            <w:r>
              <w:rPr>
                <w:rFonts w:hint="eastAsia" w:ascii="宋体" w:hAnsi="宋体"/>
                <w:kern w:val="0"/>
              </w:rPr>
              <w:t>.除第4条规定的情形外，金融机构开立的期限在1年（不含）以上的已承兑未付款远期信用证和海外代付、期限不确定或期限在1年（不含）以上的境外机构或个人存款，视同短期外债纳入短期外债余额指标管理。</w:t>
            </w:r>
          </w:p>
          <w:p>
            <w:pPr>
              <w:widowControl/>
              <w:snapToGrid w:val="0"/>
              <w:jc w:val="left"/>
              <w:rPr>
                <w:rFonts w:hint="eastAsia" w:ascii="宋体" w:hAnsi="宋体"/>
                <w:kern w:val="0"/>
              </w:rPr>
            </w:pPr>
            <w:r>
              <w:rPr>
                <w:rFonts w:hint="eastAsia" w:ascii="宋体" w:hAnsi="宋体"/>
                <w:kern w:val="0"/>
                <w:lang w:val="en-US" w:eastAsia="zh-CN"/>
              </w:rPr>
              <w:t>6</w:t>
            </w:r>
            <w:r>
              <w:rPr>
                <w:rFonts w:hint="eastAsia" w:ascii="宋体" w:hAnsi="宋体"/>
                <w:kern w:val="0"/>
              </w:rPr>
              <w:t>.短期外债资金的使用期限应与其还款期限相匹配。除“搭桥”外，短期外债不得用于中长期用途；短期外债不得用于金融性投机交易。</w:t>
            </w:r>
          </w:p>
          <w:p>
            <w:pPr>
              <w:widowControl/>
              <w:snapToGrid w:val="0"/>
              <w:jc w:val="left"/>
              <w:rPr>
                <w:rFonts w:hint="default"/>
                <w:kern w:val="0"/>
                <w:sz w:val="20"/>
              </w:rPr>
            </w:pPr>
            <w:r>
              <w:rPr>
                <w:rFonts w:hint="eastAsia" w:ascii="宋体" w:hAnsi="宋体"/>
                <w:kern w:val="0"/>
                <w:lang w:val="en-US" w:eastAsia="zh-CN"/>
              </w:rPr>
              <w:t>7</w:t>
            </w:r>
            <w:r>
              <w:rPr>
                <w:rFonts w:hint="eastAsia" w:ascii="宋体" w:hAnsi="宋体"/>
                <w:kern w:val="0"/>
              </w:rPr>
              <w:t>.金融机构融入资金可用于补充资本金，服务实体经济发展，并符合国家产业宏观调控方向，经国家外汇管理局批准，金融机构融入外汇资金可结汇使用。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jc w:val="center"/>
        </w:trPr>
        <w:tc>
          <w:tcPr>
            <w:tcW w:w="1093" w:type="dxa"/>
            <w:tcBorders>
              <w:top w:val="single" w:color="000000" w:sz="4" w:space="0"/>
              <w:left w:val="single" w:color="000000" w:sz="4" w:space="0"/>
              <w:bottom w:val="single" w:color="000000" w:sz="4" w:space="0"/>
              <w:right w:val="single" w:color="000000" w:sz="4" w:space="0"/>
            </w:tcBorders>
            <w:vAlign w:val="center"/>
          </w:tcPr>
          <w:p>
            <w:pPr>
              <w:widowControl/>
              <w:snapToGrid w:val="0"/>
              <w:jc w:val="left"/>
              <w:rPr>
                <w:rFonts w:hint="default"/>
                <w:kern w:val="0"/>
                <w:sz w:val="20"/>
              </w:rPr>
            </w:pPr>
            <w:r>
              <w:rPr>
                <w:rFonts w:ascii="宋体" w:hAnsi="宋体"/>
                <w:kern w:val="0"/>
              </w:rPr>
              <w:t>办理材料</w:t>
            </w:r>
          </w:p>
        </w:tc>
        <w:tc>
          <w:tcPr>
            <w:tcW w:w="7412" w:type="dxa"/>
            <w:tcBorders>
              <w:top w:val="single" w:color="000000" w:sz="4" w:space="0"/>
              <w:left w:val="nil"/>
              <w:bottom w:val="single" w:color="000000" w:sz="4" w:space="0"/>
              <w:right w:val="single" w:color="000000" w:sz="4" w:space="0"/>
            </w:tcBorders>
            <w:vAlign w:val="center"/>
          </w:tcPr>
          <w:p>
            <w:pPr>
              <w:widowControl/>
              <w:snapToGrid w:val="0"/>
              <w:jc w:val="left"/>
              <w:rPr>
                <w:rFonts w:hint="default" w:ascii="宋体" w:hAnsi="宋体"/>
                <w:kern w:val="0"/>
              </w:rPr>
            </w:pPr>
            <w:r>
              <w:rPr>
                <w:rFonts w:hint="default" w:ascii="宋体" w:hAnsi="宋体"/>
                <w:kern w:val="0"/>
              </w:rPr>
              <w:t>1.</w:t>
            </w:r>
            <w:r>
              <w:rPr>
                <w:rFonts w:hint="eastAsia" w:ascii="宋体" w:hAnsi="宋体"/>
                <w:kern w:val="0"/>
              </w:rPr>
              <w:t>申请书（内容包括但不限于机构基本情况、上年度业务经营和资产负债状况、当前指标使用情况、本年度融资需求和资金用途等）。</w:t>
            </w:r>
          </w:p>
          <w:p>
            <w:pPr>
              <w:widowControl/>
              <w:snapToGrid w:val="0"/>
              <w:jc w:val="left"/>
              <w:rPr>
                <w:rFonts w:hint="default" w:ascii="宋体" w:hAnsi="宋体"/>
                <w:kern w:val="0"/>
              </w:rPr>
            </w:pPr>
            <w:r>
              <w:rPr>
                <w:rFonts w:hint="default" w:ascii="宋体" w:hAnsi="宋体"/>
                <w:kern w:val="0"/>
              </w:rPr>
              <w:t>2.</w:t>
            </w:r>
            <w:r>
              <w:rPr>
                <w:rFonts w:hint="eastAsia" w:ascii="宋体" w:hAnsi="宋体"/>
                <w:kern w:val="0"/>
              </w:rPr>
              <w:t>最新一期资产负债表和损益表。</w:t>
            </w:r>
          </w:p>
          <w:p>
            <w:pPr>
              <w:widowControl/>
              <w:snapToGrid w:val="0"/>
              <w:jc w:val="left"/>
              <w:rPr>
                <w:rFonts w:hint="default" w:ascii="宋体" w:hAnsi="宋体"/>
                <w:kern w:val="0"/>
              </w:rPr>
            </w:pPr>
            <w:r>
              <w:rPr>
                <w:rFonts w:hint="default" w:ascii="宋体" w:hAnsi="宋体"/>
                <w:kern w:val="0"/>
              </w:rPr>
              <w:t>3.</w:t>
            </w:r>
            <w:r>
              <w:rPr>
                <w:rFonts w:hint="eastAsia" w:ascii="宋体" w:hAnsi="宋体"/>
                <w:kern w:val="0"/>
              </w:rPr>
              <w:t>流动性需要或资金用途有关的证明材料。</w:t>
            </w:r>
          </w:p>
          <w:p>
            <w:pPr>
              <w:widowControl/>
              <w:snapToGrid w:val="0"/>
              <w:jc w:val="left"/>
              <w:rPr>
                <w:rFonts w:hint="default" w:ascii="宋体" w:hAnsi="宋体"/>
                <w:kern w:val="0"/>
              </w:rPr>
            </w:pPr>
            <w:r>
              <w:rPr>
                <w:rFonts w:hint="default" w:ascii="宋体" w:hAnsi="宋体"/>
                <w:kern w:val="0"/>
              </w:rPr>
              <w:t>4.</w:t>
            </w:r>
            <w:r>
              <w:rPr>
                <w:rFonts w:hint="eastAsia" w:ascii="宋体" w:hAnsi="宋体"/>
                <w:kern w:val="0"/>
              </w:rPr>
              <w:t>外资金融机构的境内非法人分支机构还应提供：</w:t>
            </w:r>
          </w:p>
          <w:p>
            <w:pPr>
              <w:widowControl/>
              <w:snapToGrid w:val="0"/>
              <w:jc w:val="left"/>
              <w:rPr>
                <w:rFonts w:hint="default" w:ascii="宋体" w:hAnsi="宋体"/>
                <w:kern w:val="0"/>
              </w:rPr>
            </w:pPr>
            <w:r>
              <w:rPr>
                <w:rFonts w:hint="eastAsia" w:ascii="宋体" w:hAnsi="宋体"/>
                <w:kern w:val="0"/>
              </w:rPr>
              <w:t>（</w:t>
            </w:r>
            <w:r>
              <w:rPr>
                <w:rFonts w:hint="default" w:ascii="宋体" w:hAnsi="宋体"/>
                <w:kern w:val="0"/>
              </w:rPr>
              <w:t>1</w:t>
            </w:r>
            <w:r>
              <w:rPr>
                <w:rFonts w:hint="eastAsia" w:ascii="宋体" w:hAnsi="宋体"/>
                <w:kern w:val="0"/>
              </w:rPr>
              <w:t>）境外总行或地区管理部门批准的对中国境内债务人的年度授信限额文件。</w:t>
            </w:r>
          </w:p>
          <w:p>
            <w:pPr>
              <w:widowControl/>
              <w:snapToGrid w:val="0"/>
              <w:jc w:val="left"/>
              <w:rPr>
                <w:rFonts w:hint="default" w:ascii="宋体" w:hAnsi="宋体"/>
                <w:kern w:val="0"/>
              </w:rPr>
            </w:pPr>
            <w:r>
              <w:rPr>
                <w:rFonts w:hint="eastAsia" w:ascii="宋体" w:hAnsi="宋体"/>
                <w:kern w:val="0"/>
              </w:rPr>
              <w:t>（</w:t>
            </w:r>
            <w:r>
              <w:rPr>
                <w:rFonts w:hint="default" w:ascii="宋体" w:hAnsi="宋体"/>
                <w:kern w:val="0"/>
              </w:rPr>
              <w:t>2</w:t>
            </w:r>
            <w:r>
              <w:rPr>
                <w:rFonts w:hint="eastAsia" w:ascii="宋体" w:hAnsi="宋体"/>
                <w:kern w:val="0"/>
              </w:rPr>
              <w:t>）</w:t>
            </w:r>
            <w:r>
              <w:rPr>
                <w:rFonts w:hint="default" w:ascii="宋体" w:hAnsi="宋体"/>
                <w:kern w:val="0"/>
              </w:rPr>
              <w:t>“</w:t>
            </w:r>
            <w:r>
              <w:rPr>
                <w:rFonts w:hint="eastAsia" w:ascii="宋体" w:hAnsi="宋体"/>
                <w:kern w:val="0"/>
              </w:rPr>
              <w:t>短期外债管理行</w:t>
            </w:r>
            <w:r>
              <w:rPr>
                <w:rFonts w:hint="default" w:ascii="宋体" w:hAnsi="宋体"/>
                <w:kern w:val="0"/>
              </w:rPr>
              <w:t>”</w:t>
            </w:r>
            <w:r>
              <w:rPr>
                <w:rFonts w:hint="eastAsia" w:ascii="宋体" w:hAnsi="宋体"/>
                <w:kern w:val="0"/>
              </w:rPr>
              <w:t>还应提供其境外总行授权文件，并附各成员行提出的短期外债指标需求计划和有关财务报表（有人民币业务的还须单独提供外汇财务报表）。</w:t>
            </w:r>
          </w:p>
          <w:p>
            <w:pPr>
              <w:widowControl/>
              <w:snapToGrid w:val="0"/>
              <w:jc w:val="left"/>
              <w:rPr>
                <w:rFonts w:hint="default"/>
                <w:kern w:val="0"/>
                <w:sz w:val="20"/>
              </w:rPr>
            </w:pPr>
            <w:r>
              <w:rPr>
                <w:rFonts w:hint="default" w:ascii="宋体" w:hAnsi="宋体"/>
                <w:kern w:val="0"/>
              </w:rPr>
              <w:t>5.</w:t>
            </w:r>
            <w:r>
              <w:rPr>
                <w:rFonts w:hint="eastAsia" w:ascii="宋体" w:hAnsi="宋体"/>
                <w:kern w:val="0"/>
              </w:rPr>
              <w:t>外汇局要求提供的其他材料。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1" w:hRule="atLeast"/>
          <w:jc w:val="center"/>
        </w:trPr>
        <w:tc>
          <w:tcPr>
            <w:tcW w:w="1093" w:type="dxa"/>
            <w:tcBorders>
              <w:top w:val="single" w:color="000000" w:sz="4" w:space="0"/>
              <w:left w:val="single" w:color="000000" w:sz="4" w:space="0"/>
              <w:bottom w:val="single" w:color="000000" w:sz="4" w:space="0"/>
              <w:right w:val="single" w:color="000000" w:sz="4" w:space="0"/>
            </w:tcBorders>
            <w:vAlign w:val="center"/>
          </w:tcPr>
          <w:p>
            <w:pPr>
              <w:widowControl/>
              <w:snapToGrid w:val="0"/>
              <w:jc w:val="left"/>
              <w:rPr>
                <w:rFonts w:hint="default"/>
                <w:kern w:val="0"/>
                <w:sz w:val="20"/>
              </w:rPr>
            </w:pPr>
            <w:r>
              <w:rPr>
                <w:rFonts w:ascii="宋体" w:hAnsi="宋体"/>
                <w:kern w:val="0"/>
              </w:rPr>
              <w:t>办理地点</w:t>
            </w:r>
          </w:p>
        </w:tc>
        <w:tc>
          <w:tcPr>
            <w:tcW w:w="7412" w:type="dxa"/>
            <w:tcBorders>
              <w:top w:val="single" w:color="000000" w:sz="4" w:space="0"/>
              <w:left w:val="nil"/>
              <w:bottom w:val="single" w:color="000000" w:sz="4" w:space="0"/>
              <w:right w:val="single" w:color="000000" w:sz="4" w:space="0"/>
            </w:tcBorders>
            <w:vAlign w:val="top"/>
          </w:tcPr>
          <w:p>
            <w:pPr>
              <w:widowControl/>
              <w:snapToGrid w:val="0"/>
              <w:jc w:val="left"/>
              <w:rPr>
                <w:rFonts w:hint="default"/>
                <w:kern w:val="0"/>
              </w:rPr>
            </w:pPr>
            <w:r>
              <w:rPr>
                <w:rFonts w:ascii="宋体" w:hAnsi="宋体"/>
                <w:kern w:val="0"/>
              </w:rPr>
              <w:t>国家外汇管理局青海省分局外汇管理处资本科（西宁市昆仑路3号人民银行政务大厅）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jc w:val="center"/>
        </w:trPr>
        <w:tc>
          <w:tcPr>
            <w:tcW w:w="1093" w:type="dxa"/>
            <w:tcBorders>
              <w:top w:val="single" w:color="000000" w:sz="4" w:space="0"/>
              <w:left w:val="single" w:color="000000" w:sz="4" w:space="0"/>
              <w:bottom w:val="single" w:color="000000" w:sz="4" w:space="0"/>
              <w:right w:val="single" w:color="000000" w:sz="4" w:space="0"/>
            </w:tcBorders>
            <w:vAlign w:val="center"/>
          </w:tcPr>
          <w:p>
            <w:pPr>
              <w:widowControl/>
              <w:snapToGrid w:val="0"/>
              <w:jc w:val="left"/>
              <w:rPr>
                <w:rFonts w:hint="default"/>
                <w:kern w:val="0"/>
                <w:sz w:val="20"/>
              </w:rPr>
            </w:pPr>
            <w:r>
              <w:rPr>
                <w:rFonts w:ascii="宋体" w:hAnsi="宋体"/>
                <w:kern w:val="0"/>
              </w:rPr>
              <w:t>办理时间</w:t>
            </w:r>
          </w:p>
          <w:p>
            <w:pPr>
              <w:widowControl/>
              <w:spacing w:line="271" w:lineRule="auto"/>
              <w:jc w:val="center"/>
              <w:rPr>
                <w:rFonts w:hint="default" w:ascii="Times New Roman" w:eastAsia="Times New Roman"/>
                <w:b/>
                <w:kern w:val="0"/>
              </w:rPr>
            </w:pPr>
          </w:p>
        </w:tc>
        <w:tc>
          <w:tcPr>
            <w:tcW w:w="7412" w:type="dxa"/>
            <w:tcBorders>
              <w:top w:val="single" w:color="000000" w:sz="4" w:space="0"/>
              <w:left w:val="nil"/>
              <w:bottom w:val="single" w:color="000000" w:sz="4" w:space="0"/>
              <w:right w:val="single" w:color="000000" w:sz="4" w:space="0"/>
            </w:tcBorders>
            <w:vAlign w:val="top"/>
          </w:tcPr>
          <w:p>
            <w:pPr>
              <w:widowControl/>
              <w:snapToGrid w:val="0"/>
              <w:jc w:val="left"/>
              <w:rPr>
                <w:rFonts w:hint="default"/>
                <w:kern w:val="0"/>
              </w:rPr>
            </w:pPr>
            <w:r>
              <w:rPr>
                <w:rFonts w:ascii="宋体" w:hAnsi="宋体"/>
                <w:kern w:val="0"/>
              </w:rPr>
              <w:t>周一至周五（法定节假日除外）</w:t>
            </w:r>
          </w:p>
          <w:p>
            <w:pPr>
              <w:widowControl/>
              <w:snapToGrid w:val="0"/>
              <w:jc w:val="left"/>
              <w:rPr>
                <w:rFonts w:hint="default"/>
                <w:kern w:val="0"/>
                <w:sz w:val="20"/>
              </w:rPr>
            </w:pPr>
            <w:r>
              <w:rPr>
                <w:rFonts w:ascii="宋体" w:hAnsi="宋体"/>
                <w:kern w:val="0"/>
              </w:rPr>
              <w:t>上午8：30-11：30，下午2：00-5：30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9" w:hRule="atLeast"/>
          <w:jc w:val="center"/>
        </w:trPr>
        <w:tc>
          <w:tcPr>
            <w:tcW w:w="1093" w:type="dxa"/>
            <w:tcBorders>
              <w:top w:val="single" w:color="000000" w:sz="4" w:space="0"/>
              <w:left w:val="single" w:color="000000" w:sz="4" w:space="0"/>
              <w:bottom w:val="single" w:color="000000" w:sz="4" w:space="0"/>
              <w:right w:val="single" w:color="000000" w:sz="4" w:space="0"/>
            </w:tcBorders>
            <w:vAlign w:val="center"/>
          </w:tcPr>
          <w:p>
            <w:pPr>
              <w:widowControl/>
              <w:snapToGrid w:val="0"/>
              <w:jc w:val="left"/>
              <w:rPr>
                <w:rFonts w:hint="default"/>
                <w:kern w:val="0"/>
                <w:sz w:val="20"/>
              </w:rPr>
            </w:pPr>
            <w:r>
              <w:rPr>
                <w:rFonts w:ascii="宋体" w:hAnsi="宋体"/>
                <w:kern w:val="0"/>
              </w:rPr>
              <w:t>联系电话</w:t>
            </w:r>
          </w:p>
        </w:tc>
        <w:tc>
          <w:tcPr>
            <w:tcW w:w="7412" w:type="dxa"/>
            <w:tcBorders>
              <w:top w:val="single" w:color="000000" w:sz="4" w:space="0"/>
              <w:left w:val="nil"/>
              <w:bottom w:val="single" w:color="000000" w:sz="4" w:space="0"/>
              <w:right w:val="single" w:color="000000" w:sz="4" w:space="0"/>
            </w:tcBorders>
            <w:vAlign w:val="center"/>
          </w:tcPr>
          <w:p>
            <w:pPr>
              <w:widowControl/>
              <w:snapToGrid w:val="0"/>
              <w:jc w:val="both"/>
              <w:rPr>
                <w:rFonts w:hint="default"/>
                <w:kern w:val="0"/>
              </w:rPr>
            </w:pPr>
            <w:r>
              <w:rPr>
                <w:rFonts w:ascii="宋体" w:hAnsi="宋体"/>
                <w:kern w:val="0"/>
              </w:rPr>
              <w:t>0971-6126143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jc w:val="center"/>
        </w:trPr>
        <w:tc>
          <w:tcPr>
            <w:tcW w:w="1093" w:type="dxa"/>
            <w:tcBorders>
              <w:top w:val="single" w:color="000000" w:sz="4" w:space="0"/>
              <w:left w:val="single" w:color="000000" w:sz="4" w:space="0"/>
              <w:bottom w:val="single" w:color="000000" w:sz="4" w:space="0"/>
              <w:right w:val="single" w:color="000000" w:sz="4" w:space="0"/>
            </w:tcBorders>
            <w:vAlign w:val="center"/>
          </w:tcPr>
          <w:p>
            <w:pPr>
              <w:widowControl/>
              <w:snapToGrid w:val="0"/>
              <w:jc w:val="left"/>
              <w:rPr>
                <w:rFonts w:hint="default"/>
                <w:kern w:val="0"/>
                <w:sz w:val="20"/>
              </w:rPr>
            </w:pPr>
            <w:r>
              <w:rPr>
                <w:rFonts w:ascii="宋体" w:hAnsi="宋体"/>
                <w:kern w:val="0"/>
              </w:rPr>
              <w:t>办理流程</w:t>
            </w:r>
          </w:p>
        </w:tc>
        <w:tc>
          <w:tcPr>
            <w:tcW w:w="7412" w:type="dxa"/>
            <w:tcBorders>
              <w:top w:val="single" w:color="000000" w:sz="4" w:space="0"/>
              <w:left w:val="nil"/>
              <w:bottom w:val="single" w:color="000000" w:sz="4" w:space="0"/>
              <w:right w:val="single" w:color="000000" w:sz="4" w:space="0"/>
            </w:tcBorders>
            <w:vAlign w:val="top"/>
          </w:tcPr>
          <w:p>
            <w:pPr>
              <w:widowControl/>
              <w:numPr>
                <w:ilvl w:val="0"/>
                <w:numId w:val="2"/>
              </w:numPr>
              <w:snapToGrid w:val="0"/>
              <w:jc w:val="left"/>
              <w:rPr>
                <w:rFonts w:hint="eastAsia" w:ascii="宋体" w:hAnsi="宋体"/>
                <w:kern w:val="0"/>
                <w:lang w:eastAsia="zh-CN"/>
              </w:rPr>
            </w:pPr>
            <w:r>
              <w:rPr>
                <w:rFonts w:hint="eastAsia" w:ascii="宋体" w:hAnsi="宋体"/>
                <w:kern w:val="0"/>
                <w:lang w:eastAsia="zh-CN"/>
              </w:rPr>
              <w:t>企业（或金融机构）提出申请；</w:t>
            </w:r>
          </w:p>
          <w:p>
            <w:pPr>
              <w:widowControl/>
              <w:numPr>
                <w:ilvl w:val="0"/>
                <w:numId w:val="3"/>
              </w:numPr>
              <w:snapToGrid w:val="0"/>
              <w:jc w:val="left"/>
              <w:rPr>
                <w:rFonts w:hint="eastAsia" w:ascii="宋体" w:hAnsi="宋体"/>
                <w:kern w:val="0"/>
                <w:lang w:val="en-US" w:eastAsia="zh-CN"/>
              </w:rPr>
            </w:pPr>
            <w:r>
              <w:rPr>
                <w:rFonts w:hint="eastAsia" w:ascii="宋体" w:hAnsi="宋体"/>
                <w:kern w:val="0"/>
                <w:lang w:val="en-US" w:eastAsia="zh-CN"/>
              </w:rPr>
              <w:t>外汇局核定短期外债规模；</w:t>
            </w:r>
          </w:p>
          <w:p>
            <w:pPr>
              <w:widowControl/>
              <w:numPr>
                <w:ilvl w:val="0"/>
                <w:numId w:val="4"/>
              </w:numPr>
              <w:snapToGrid w:val="0"/>
              <w:jc w:val="left"/>
              <w:rPr>
                <w:rFonts w:ascii="宋体" w:hAnsi="宋体"/>
                <w:kern w:val="0"/>
              </w:rPr>
            </w:pPr>
            <w:r>
              <w:rPr>
                <w:rFonts w:hint="eastAsia" w:ascii="宋体" w:hAnsi="宋体"/>
                <w:kern w:val="0"/>
                <w:lang w:val="en-US" w:eastAsia="zh-CN"/>
              </w:rPr>
              <w:t>企业（或金融机构）</w:t>
            </w:r>
            <w:r>
              <w:rPr>
                <w:rFonts w:ascii="宋体" w:hAnsi="宋体"/>
                <w:kern w:val="0"/>
              </w:rPr>
              <w:t>签订外债合同；</w:t>
            </w:r>
          </w:p>
          <w:p>
            <w:pPr>
              <w:widowControl/>
              <w:numPr>
                <w:numId w:val="0"/>
              </w:numPr>
              <w:snapToGrid w:val="0"/>
              <w:jc w:val="left"/>
              <w:rPr>
                <w:rFonts w:hint="default" w:ascii="宋体" w:hAnsi="宋体"/>
                <w:kern w:val="0"/>
                <w:lang w:eastAsia="zh-CN"/>
              </w:rPr>
            </w:pPr>
            <w:r>
              <w:rPr>
                <w:rFonts w:hint="eastAsia" w:ascii="宋体" w:hAnsi="宋体"/>
                <w:kern w:val="0"/>
                <w:lang w:val="en-US" w:eastAsia="zh-CN"/>
              </w:rPr>
              <w:t>4.</w:t>
            </w:r>
            <w:r>
              <w:rPr>
                <w:rFonts w:hint="eastAsia" w:ascii="宋体" w:hAnsi="宋体"/>
                <w:kern w:val="0"/>
                <w:lang w:eastAsia="zh-CN"/>
              </w:rPr>
              <w:t>外债签约即时逐笔登记（材料齐全当日办结，特殊情况五个工作日办结）审核通过后发放《境内机构外债签约情况表》和业务登记凭证）；</w:t>
            </w:r>
          </w:p>
          <w:p>
            <w:pPr>
              <w:widowControl/>
              <w:numPr>
                <w:numId w:val="0"/>
              </w:numPr>
              <w:snapToGrid w:val="0"/>
              <w:jc w:val="left"/>
              <w:rPr>
                <w:rFonts w:hint="default" w:ascii="宋体" w:hAnsi="宋体"/>
                <w:kern w:val="0"/>
                <w:lang w:eastAsia="zh-CN"/>
              </w:rPr>
            </w:pPr>
            <w:r>
              <w:rPr>
                <w:rFonts w:hint="eastAsia" w:ascii="宋体" w:hAnsi="宋体"/>
                <w:kern w:val="0"/>
                <w:lang w:val="en-US" w:eastAsia="zh-CN"/>
              </w:rPr>
              <w:t>5.</w:t>
            </w:r>
            <w:r>
              <w:rPr>
                <w:rFonts w:hint="eastAsia" w:ascii="宋体" w:hAnsi="宋体"/>
                <w:kern w:val="0"/>
                <w:lang w:eastAsia="zh-CN"/>
              </w:rPr>
              <w:t>开立外债账户（向银行申请办理）；</w:t>
            </w:r>
          </w:p>
          <w:p>
            <w:pPr>
              <w:widowControl/>
              <w:numPr>
                <w:numId w:val="0"/>
              </w:numPr>
              <w:snapToGrid w:val="0"/>
              <w:jc w:val="left"/>
              <w:rPr>
                <w:rFonts w:hint="default"/>
                <w:kern w:val="0"/>
                <w:sz w:val="20"/>
              </w:rPr>
            </w:pPr>
            <w:r>
              <w:rPr>
                <w:rFonts w:hint="eastAsia" w:ascii="宋体" w:hAnsi="宋体"/>
                <w:kern w:val="0"/>
                <w:lang w:val="en-US" w:eastAsia="zh-CN"/>
              </w:rPr>
              <w:t>6.</w:t>
            </w:r>
            <w:r>
              <w:rPr>
                <w:rFonts w:hint="eastAsia" w:ascii="宋体" w:hAnsi="宋体"/>
                <w:kern w:val="0"/>
                <w:lang w:eastAsia="zh-CN"/>
              </w:rPr>
              <w:t>外债提款登记、外债结汇核准、外债还本付息核准（向银行申请办理）。</w:t>
            </w:r>
          </w:p>
        </w:tc>
      </w:tr>
    </w:tbl>
    <w:p>
      <w:pPr>
        <w:widowControl/>
        <w:numPr>
          <w:numId w:val="0"/>
        </w:numPr>
        <w:snapToGrid w:val="0"/>
        <w:jc w:val="both"/>
        <w:rPr>
          <w:rFonts w:hint="default" w:ascii="宋体" w:hAnsi="宋体"/>
          <w:b/>
          <w:kern w:val="0"/>
          <w:sz w:val="28"/>
        </w:rPr>
      </w:pPr>
    </w:p>
    <w:p>
      <w:pPr>
        <w:widowControl/>
        <w:numPr>
          <w:numId w:val="0"/>
        </w:numPr>
        <w:snapToGrid w:val="0"/>
        <w:jc w:val="both"/>
        <w:rPr>
          <w:rFonts w:hint="default" w:ascii="宋体" w:hAnsi="宋体"/>
          <w:b/>
          <w:kern w:val="0"/>
          <w:sz w:val="28"/>
        </w:rPr>
      </w:pPr>
    </w:p>
    <w:p>
      <w:pPr>
        <w:widowControl/>
        <w:numPr>
          <w:numId w:val="0"/>
        </w:numPr>
        <w:snapToGrid w:val="0"/>
        <w:jc w:val="both"/>
        <w:rPr>
          <w:rFonts w:hint="default" w:ascii="宋体" w:hAnsi="宋体"/>
          <w:b/>
          <w:kern w:val="0"/>
          <w:sz w:val="28"/>
        </w:rPr>
      </w:pPr>
    </w:p>
    <w:p>
      <w:pPr>
        <w:widowControl/>
        <w:numPr>
          <w:numId w:val="0"/>
        </w:numPr>
        <w:snapToGrid w:val="0"/>
        <w:jc w:val="both"/>
        <w:rPr>
          <w:rFonts w:hint="default" w:ascii="宋体" w:hAnsi="宋体"/>
          <w:b/>
          <w:kern w:val="0"/>
          <w:sz w:val="28"/>
        </w:rPr>
      </w:pPr>
    </w:p>
    <w:p>
      <w:pPr>
        <w:widowControl/>
        <w:numPr>
          <w:numId w:val="0"/>
        </w:numPr>
        <w:snapToGrid w:val="0"/>
        <w:jc w:val="both"/>
        <w:rPr>
          <w:rFonts w:hint="default" w:ascii="宋体" w:hAnsi="宋体"/>
          <w:b/>
          <w:kern w:val="0"/>
          <w:sz w:val="28"/>
        </w:rPr>
      </w:pPr>
    </w:p>
    <w:p>
      <w:pPr>
        <w:widowControl/>
        <w:numPr>
          <w:numId w:val="0"/>
        </w:numPr>
        <w:snapToGrid w:val="0"/>
        <w:jc w:val="both"/>
        <w:rPr>
          <w:rFonts w:hint="default" w:ascii="宋体" w:hAnsi="宋体"/>
          <w:b/>
          <w:kern w:val="0"/>
          <w:sz w:val="28"/>
        </w:rPr>
      </w:pPr>
    </w:p>
    <w:p>
      <w:pPr>
        <w:widowControl/>
        <w:numPr>
          <w:numId w:val="0"/>
        </w:numPr>
        <w:snapToGrid w:val="0"/>
        <w:jc w:val="both"/>
        <w:rPr>
          <w:rFonts w:hint="default" w:ascii="宋体" w:hAnsi="宋体"/>
          <w:b/>
          <w:kern w:val="0"/>
          <w:sz w:val="28"/>
        </w:rPr>
      </w:pPr>
    </w:p>
    <w:p>
      <w:pPr>
        <w:widowControl/>
        <w:numPr>
          <w:numId w:val="0"/>
        </w:numPr>
        <w:snapToGrid w:val="0"/>
        <w:jc w:val="both"/>
        <w:rPr>
          <w:rFonts w:hint="default" w:ascii="宋体" w:hAnsi="宋体"/>
          <w:b/>
          <w:kern w:val="0"/>
          <w:sz w:val="28"/>
        </w:rPr>
      </w:pPr>
    </w:p>
    <w:p>
      <w:pPr>
        <w:widowControl/>
        <w:numPr>
          <w:numId w:val="0"/>
        </w:numPr>
        <w:snapToGrid w:val="0"/>
        <w:jc w:val="both"/>
        <w:rPr>
          <w:rFonts w:hint="default" w:ascii="宋体" w:hAnsi="宋体"/>
          <w:b/>
          <w:kern w:val="0"/>
          <w:sz w:val="28"/>
        </w:rPr>
      </w:pPr>
    </w:p>
    <w:p>
      <w:pPr>
        <w:widowControl/>
        <w:numPr>
          <w:numId w:val="0"/>
        </w:numPr>
        <w:snapToGrid w:val="0"/>
        <w:jc w:val="both"/>
        <w:rPr>
          <w:rFonts w:hint="default" w:ascii="宋体" w:hAnsi="宋体"/>
          <w:b/>
          <w:kern w:val="0"/>
          <w:sz w:val="28"/>
        </w:rPr>
      </w:pPr>
    </w:p>
    <w:p>
      <w:pPr>
        <w:widowControl/>
        <w:numPr>
          <w:numId w:val="0"/>
        </w:numPr>
        <w:snapToGrid w:val="0"/>
        <w:jc w:val="both"/>
        <w:rPr>
          <w:rFonts w:hint="default" w:ascii="宋体" w:hAnsi="宋体"/>
          <w:b/>
          <w:kern w:val="0"/>
          <w:sz w:val="28"/>
        </w:rPr>
      </w:pPr>
    </w:p>
    <w:p>
      <w:pPr>
        <w:widowControl/>
        <w:numPr>
          <w:numId w:val="0"/>
        </w:numPr>
        <w:snapToGrid w:val="0"/>
        <w:jc w:val="both"/>
        <w:rPr>
          <w:rFonts w:hint="default" w:ascii="宋体" w:hAnsi="宋体"/>
          <w:b/>
          <w:kern w:val="0"/>
          <w:sz w:val="28"/>
        </w:rPr>
      </w:pPr>
    </w:p>
    <w:p>
      <w:pPr>
        <w:widowControl/>
        <w:numPr>
          <w:numId w:val="0"/>
        </w:numPr>
        <w:snapToGrid w:val="0"/>
        <w:jc w:val="both"/>
        <w:rPr>
          <w:rFonts w:hint="default" w:ascii="宋体" w:hAnsi="宋体"/>
          <w:b/>
          <w:kern w:val="0"/>
          <w:sz w:val="28"/>
        </w:rPr>
      </w:pPr>
    </w:p>
    <w:p>
      <w:pPr>
        <w:widowControl/>
        <w:numPr>
          <w:numId w:val="0"/>
        </w:numPr>
        <w:snapToGrid w:val="0"/>
        <w:jc w:val="both"/>
        <w:rPr>
          <w:rFonts w:hint="default" w:ascii="宋体" w:hAnsi="宋体"/>
          <w:b/>
          <w:kern w:val="0"/>
          <w:sz w:val="28"/>
        </w:rPr>
      </w:pPr>
    </w:p>
    <w:p>
      <w:pPr>
        <w:widowControl/>
        <w:numPr>
          <w:numId w:val="0"/>
        </w:numPr>
        <w:snapToGrid w:val="0"/>
        <w:jc w:val="both"/>
        <w:rPr>
          <w:rFonts w:hint="default" w:ascii="宋体" w:hAnsi="宋体"/>
          <w:b/>
          <w:kern w:val="0"/>
          <w:sz w:val="28"/>
        </w:rPr>
      </w:pPr>
    </w:p>
    <w:p>
      <w:pPr>
        <w:widowControl/>
        <w:numPr>
          <w:numId w:val="0"/>
        </w:numPr>
        <w:snapToGrid w:val="0"/>
        <w:jc w:val="both"/>
        <w:rPr>
          <w:rFonts w:hint="default" w:ascii="宋体" w:hAnsi="宋体"/>
          <w:b/>
          <w:kern w:val="0"/>
          <w:sz w:val="28"/>
        </w:rPr>
      </w:pPr>
    </w:p>
    <w:p>
      <w:pPr>
        <w:widowControl/>
        <w:numPr>
          <w:numId w:val="0"/>
        </w:numPr>
        <w:snapToGrid w:val="0"/>
        <w:jc w:val="both"/>
        <w:rPr>
          <w:rFonts w:hint="default" w:ascii="宋体" w:hAnsi="宋体"/>
          <w:b/>
          <w:kern w:val="0"/>
          <w:sz w:val="28"/>
        </w:rPr>
      </w:pPr>
    </w:p>
    <w:p>
      <w:pPr>
        <w:widowControl/>
        <w:numPr>
          <w:numId w:val="0"/>
        </w:numPr>
        <w:snapToGrid w:val="0"/>
        <w:jc w:val="both"/>
        <w:rPr>
          <w:rFonts w:hint="default" w:ascii="宋体" w:hAnsi="宋体"/>
          <w:b/>
          <w:kern w:val="0"/>
          <w:sz w:val="28"/>
        </w:rPr>
      </w:pPr>
    </w:p>
    <w:p>
      <w:pPr>
        <w:widowControl/>
        <w:numPr>
          <w:numId w:val="0"/>
        </w:numPr>
        <w:snapToGrid w:val="0"/>
        <w:jc w:val="both"/>
        <w:rPr>
          <w:rFonts w:hint="default" w:ascii="宋体" w:hAnsi="宋体"/>
          <w:b/>
          <w:kern w:val="0"/>
          <w:sz w:val="28"/>
        </w:rPr>
      </w:pPr>
    </w:p>
    <w:p>
      <w:pPr>
        <w:widowControl/>
        <w:numPr>
          <w:numId w:val="0"/>
        </w:numPr>
        <w:snapToGrid w:val="0"/>
        <w:jc w:val="both"/>
        <w:rPr>
          <w:rFonts w:hint="default" w:ascii="宋体" w:hAnsi="宋体"/>
          <w:b/>
          <w:kern w:val="0"/>
          <w:sz w:val="28"/>
        </w:rPr>
      </w:pPr>
    </w:p>
    <w:p>
      <w:pPr>
        <w:widowControl/>
        <w:numPr>
          <w:numId w:val="0"/>
        </w:numPr>
        <w:snapToGrid w:val="0"/>
        <w:jc w:val="both"/>
        <w:rPr>
          <w:rFonts w:hint="default" w:ascii="宋体" w:hAnsi="宋体"/>
          <w:b/>
          <w:kern w:val="0"/>
          <w:sz w:val="28"/>
        </w:rPr>
      </w:pPr>
    </w:p>
    <w:p>
      <w:pPr>
        <w:widowControl/>
        <w:numPr>
          <w:numId w:val="0"/>
        </w:numPr>
        <w:snapToGrid w:val="0"/>
        <w:jc w:val="both"/>
        <w:rPr>
          <w:rFonts w:hint="default" w:ascii="宋体" w:hAnsi="宋体"/>
          <w:b/>
          <w:kern w:val="0"/>
          <w:sz w:val="28"/>
        </w:rPr>
      </w:pPr>
    </w:p>
    <w:p>
      <w:pPr>
        <w:widowControl/>
        <w:numPr>
          <w:numId w:val="0"/>
        </w:numPr>
        <w:snapToGrid w:val="0"/>
        <w:jc w:val="both"/>
        <w:rPr>
          <w:rFonts w:hint="default" w:ascii="宋体" w:hAnsi="宋体"/>
          <w:b/>
          <w:kern w:val="0"/>
          <w:sz w:val="28"/>
        </w:rPr>
      </w:pPr>
    </w:p>
    <w:p>
      <w:pPr>
        <w:widowControl/>
        <w:numPr>
          <w:numId w:val="0"/>
        </w:numPr>
        <w:snapToGrid w:val="0"/>
        <w:jc w:val="both"/>
        <w:rPr>
          <w:rFonts w:hint="default" w:ascii="宋体" w:hAnsi="宋体"/>
          <w:b/>
          <w:kern w:val="0"/>
          <w:sz w:val="28"/>
        </w:rPr>
      </w:pPr>
    </w:p>
    <w:p>
      <w:pPr>
        <w:widowControl/>
        <w:numPr>
          <w:numId w:val="0"/>
        </w:numPr>
        <w:snapToGrid w:val="0"/>
        <w:jc w:val="both"/>
        <w:rPr>
          <w:rFonts w:hint="default" w:ascii="宋体" w:hAnsi="宋体"/>
          <w:b/>
          <w:kern w:val="0"/>
          <w:sz w:val="28"/>
        </w:rPr>
      </w:pPr>
    </w:p>
    <w:p>
      <w:pPr>
        <w:widowControl/>
        <w:numPr>
          <w:numId w:val="0"/>
        </w:numPr>
        <w:snapToGrid w:val="0"/>
        <w:jc w:val="both"/>
        <w:rPr>
          <w:rFonts w:hint="default" w:ascii="宋体" w:hAnsi="宋体"/>
          <w:b/>
          <w:kern w:val="0"/>
          <w:sz w:val="28"/>
        </w:rPr>
      </w:pPr>
    </w:p>
    <w:p>
      <w:pPr>
        <w:widowControl/>
        <w:numPr>
          <w:numId w:val="0"/>
        </w:numPr>
        <w:snapToGrid w:val="0"/>
        <w:jc w:val="both"/>
        <w:rPr>
          <w:rFonts w:hint="default" w:ascii="宋体" w:hAnsi="宋体"/>
          <w:b/>
          <w:kern w:val="0"/>
          <w:sz w:val="28"/>
        </w:rPr>
      </w:pPr>
    </w:p>
    <w:p>
      <w:pPr>
        <w:widowControl/>
        <w:numPr>
          <w:numId w:val="0"/>
        </w:numPr>
        <w:snapToGrid w:val="0"/>
        <w:jc w:val="both"/>
        <w:rPr>
          <w:rFonts w:hint="default" w:ascii="宋体" w:hAnsi="宋体"/>
          <w:b/>
          <w:kern w:val="0"/>
          <w:sz w:val="28"/>
        </w:rPr>
      </w:pPr>
    </w:p>
    <w:p>
      <w:pPr>
        <w:widowControl/>
        <w:numPr>
          <w:numId w:val="0"/>
        </w:numPr>
        <w:snapToGrid w:val="0"/>
        <w:jc w:val="both"/>
        <w:rPr>
          <w:rFonts w:hint="default" w:ascii="宋体" w:hAnsi="宋体"/>
          <w:b/>
          <w:kern w:val="0"/>
          <w:sz w:val="28"/>
        </w:rPr>
      </w:pPr>
    </w:p>
    <w:p>
      <w:pPr>
        <w:widowControl/>
        <w:numPr>
          <w:numId w:val="0"/>
        </w:numPr>
        <w:snapToGrid w:val="0"/>
        <w:jc w:val="both"/>
        <w:rPr>
          <w:rFonts w:hint="default" w:ascii="宋体" w:hAnsi="宋体"/>
          <w:b/>
          <w:kern w:val="0"/>
          <w:sz w:val="28"/>
        </w:rPr>
      </w:pPr>
    </w:p>
    <w:p>
      <w:pPr>
        <w:widowControl/>
        <w:numPr>
          <w:numId w:val="0"/>
        </w:numPr>
        <w:snapToGrid w:val="0"/>
        <w:jc w:val="both"/>
        <w:rPr>
          <w:rFonts w:hint="default" w:ascii="宋体" w:hAnsi="宋体"/>
          <w:b/>
          <w:kern w:val="0"/>
          <w:sz w:val="28"/>
        </w:rPr>
      </w:pPr>
    </w:p>
    <w:p>
      <w:pPr>
        <w:widowControl/>
        <w:numPr>
          <w:numId w:val="0"/>
        </w:numPr>
        <w:snapToGrid w:val="0"/>
        <w:jc w:val="both"/>
        <w:rPr>
          <w:rFonts w:hint="default" w:ascii="宋体" w:hAnsi="宋体"/>
          <w:b/>
          <w:kern w:val="0"/>
          <w:sz w:val="28"/>
        </w:rPr>
      </w:pPr>
    </w:p>
    <w:p>
      <w:pPr>
        <w:widowControl/>
        <w:numPr>
          <w:numId w:val="0"/>
        </w:numPr>
        <w:snapToGrid w:val="0"/>
        <w:jc w:val="both"/>
        <w:rPr>
          <w:rFonts w:hint="default" w:ascii="宋体" w:hAnsi="宋体"/>
          <w:b/>
          <w:kern w:val="0"/>
          <w:sz w:val="28"/>
        </w:rPr>
      </w:pPr>
    </w:p>
    <w:tbl>
      <w:tblPr>
        <w:tblStyle w:val="16"/>
        <w:tblW w:w="850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093"/>
        <w:gridCol w:w="741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jc w:val="center"/>
        </w:trPr>
        <w:tc>
          <w:tcPr>
            <w:tcW w:w="1093" w:type="dxa"/>
            <w:tcBorders>
              <w:top w:val="single" w:color="000000" w:sz="4" w:space="0"/>
              <w:left w:val="single" w:color="000000" w:sz="4" w:space="0"/>
              <w:bottom w:val="single" w:color="000000" w:sz="4" w:space="0"/>
              <w:right w:val="single" w:color="000000" w:sz="4" w:space="0"/>
            </w:tcBorders>
            <w:vAlign w:val="center"/>
          </w:tcPr>
          <w:p>
            <w:pPr>
              <w:widowControl/>
              <w:snapToGrid w:val="0"/>
              <w:jc w:val="left"/>
              <w:rPr>
                <w:rFonts w:hint="default"/>
                <w:kern w:val="0"/>
                <w:sz w:val="20"/>
              </w:rPr>
            </w:pPr>
            <w:r>
              <w:rPr>
                <w:rFonts w:ascii="宋体" w:hAnsi="宋体"/>
                <w:kern w:val="0"/>
              </w:rPr>
              <w:t>业务名称</w:t>
            </w:r>
          </w:p>
        </w:tc>
        <w:tc>
          <w:tcPr>
            <w:tcW w:w="7412" w:type="dxa"/>
            <w:tcBorders>
              <w:top w:val="single" w:color="000000" w:sz="4" w:space="0"/>
              <w:left w:val="nil"/>
              <w:bottom w:val="single" w:color="000000" w:sz="4" w:space="0"/>
              <w:right w:val="single" w:color="000000" w:sz="4" w:space="0"/>
            </w:tcBorders>
            <w:vAlign w:val="center"/>
          </w:tcPr>
          <w:p>
            <w:pPr>
              <w:widowControl/>
              <w:snapToGrid w:val="0"/>
              <w:jc w:val="left"/>
              <w:rPr>
                <w:rFonts w:hint="default"/>
                <w:b/>
                <w:kern w:val="0"/>
                <w:sz w:val="20"/>
              </w:rPr>
            </w:pPr>
            <w:r>
              <w:rPr>
                <w:rFonts w:ascii="宋体" w:hAnsi="宋体"/>
                <w:b/>
                <w:kern w:val="0"/>
              </w:rPr>
              <w:t>（</w:t>
            </w:r>
            <w:r>
              <w:rPr>
                <w:rFonts w:hint="eastAsia" w:ascii="宋体" w:hAnsi="宋体"/>
                <w:b/>
                <w:kern w:val="0"/>
                <w:lang w:eastAsia="zh-CN"/>
              </w:rPr>
              <w:t>二</w:t>
            </w:r>
            <w:r>
              <w:rPr>
                <w:rFonts w:ascii="宋体" w:hAnsi="宋体"/>
                <w:b/>
                <w:kern w:val="0"/>
              </w:rPr>
              <w:t>）非银行债务人办理外债签约登记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jc w:val="center"/>
        </w:trPr>
        <w:tc>
          <w:tcPr>
            <w:tcW w:w="1093" w:type="dxa"/>
            <w:tcBorders>
              <w:top w:val="single" w:color="000000" w:sz="4" w:space="0"/>
              <w:left w:val="single" w:color="000000" w:sz="4" w:space="0"/>
              <w:bottom w:val="single" w:color="000000" w:sz="4" w:space="0"/>
              <w:right w:val="single" w:color="000000" w:sz="4" w:space="0"/>
            </w:tcBorders>
            <w:vAlign w:val="center"/>
          </w:tcPr>
          <w:p>
            <w:pPr>
              <w:widowControl/>
              <w:snapToGrid w:val="0"/>
              <w:jc w:val="left"/>
              <w:rPr>
                <w:rFonts w:hint="default"/>
                <w:kern w:val="0"/>
                <w:sz w:val="20"/>
              </w:rPr>
            </w:pPr>
            <w:r>
              <w:rPr>
                <w:rFonts w:ascii="宋体" w:hAnsi="宋体"/>
                <w:kern w:val="0"/>
              </w:rPr>
              <w:t>设定依据</w:t>
            </w:r>
          </w:p>
          <w:p>
            <w:pPr>
              <w:widowControl/>
              <w:spacing w:line="271" w:lineRule="auto"/>
              <w:jc w:val="center"/>
              <w:rPr>
                <w:rFonts w:hint="default" w:ascii="Times New Roman" w:eastAsia="Times New Roman"/>
                <w:b/>
                <w:kern w:val="0"/>
              </w:rPr>
            </w:pPr>
          </w:p>
        </w:tc>
        <w:tc>
          <w:tcPr>
            <w:tcW w:w="7412" w:type="dxa"/>
            <w:tcBorders>
              <w:top w:val="single" w:color="000000" w:sz="4" w:space="0"/>
              <w:left w:val="nil"/>
              <w:bottom w:val="single" w:color="000000" w:sz="4" w:space="0"/>
              <w:right w:val="single" w:color="000000" w:sz="4" w:space="0"/>
            </w:tcBorders>
            <w:vAlign w:val="center"/>
          </w:tcPr>
          <w:p>
            <w:pPr>
              <w:widowControl/>
              <w:snapToGrid w:val="0"/>
              <w:jc w:val="left"/>
              <w:rPr>
                <w:rFonts w:hint="default" w:ascii="宋体" w:hAnsi="宋体"/>
                <w:kern w:val="0"/>
              </w:rPr>
            </w:pPr>
            <w:r>
              <w:rPr>
                <w:rFonts w:hint="default" w:ascii="宋体" w:hAnsi="宋体"/>
                <w:kern w:val="0"/>
              </w:rPr>
              <w:t>1.</w:t>
            </w:r>
            <w:r>
              <w:rPr>
                <w:rFonts w:hint="eastAsia" w:ascii="宋体" w:hAnsi="宋体"/>
                <w:kern w:val="0"/>
              </w:rPr>
              <w:t>《中华人民共和国外汇管理条例》（国务院令第</w:t>
            </w:r>
            <w:r>
              <w:rPr>
                <w:rFonts w:hint="default" w:ascii="宋体" w:hAnsi="宋体"/>
                <w:kern w:val="0"/>
              </w:rPr>
              <w:t>532</w:t>
            </w:r>
            <w:r>
              <w:rPr>
                <w:rFonts w:hint="eastAsia" w:ascii="宋体" w:hAnsi="宋体"/>
                <w:kern w:val="0"/>
              </w:rPr>
              <w:t>号）。</w:t>
            </w:r>
          </w:p>
          <w:p>
            <w:pPr>
              <w:widowControl/>
              <w:snapToGrid w:val="0"/>
              <w:jc w:val="left"/>
              <w:rPr>
                <w:rFonts w:hint="default" w:ascii="宋体" w:hAnsi="宋体"/>
                <w:kern w:val="0"/>
              </w:rPr>
            </w:pPr>
            <w:r>
              <w:rPr>
                <w:rFonts w:hint="default" w:ascii="宋体" w:hAnsi="宋体"/>
                <w:kern w:val="0"/>
              </w:rPr>
              <w:t>2.</w:t>
            </w:r>
            <w:r>
              <w:rPr>
                <w:rFonts w:hint="eastAsia" w:ascii="宋体" w:hAnsi="宋体"/>
                <w:kern w:val="0"/>
              </w:rPr>
              <w:t>《外债统计监测暂行规定》（</w:t>
            </w:r>
            <w:r>
              <w:rPr>
                <w:rFonts w:hint="default" w:ascii="宋体" w:hAnsi="宋体"/>
                <w:kern w:val="0"/>
              </w:rPr>
              <w:t>1987</w:t>
            </w:r>
            <w:r>
              <w:rPr>
                <w:rFonts w:hint="eastAsia" w:ascii="宋体" w:hAnsi="宋体"/>
                <w:kern w:val="0"/>
              </w:rPr>
              <w:t>年公布）。</w:t>
            </w:r>
          </w:p>
          <w:p>
            <w:pPr>
              <w:widowControl/>
              <w:snapToGrid w:val="0"/>
              <w:jc w:val="left"/>
              <w:rPr>
                <w:rFonts w:hint="default" w:ascii="宋体" w:hAnsi="宋体"/>
                <w:kern w:val="0"/>
              </w:rPr>
            </w:pPr>
            <w:r>
              <w:rPr>
                <w:rFonts w:hint="default" w:ascii="宋体" w:hAnsi="宋体"/>
                <w:kern w:val="0"/>
              </w:rPr>
              <w:t>3</w:t>
            </w:r>
            <w:r>
              <w:rPr>
                <w:rFonts w:hint="eastAsia" w:ascii="宋体" w:hAnsi="宋体"/>
                <w:kern w:val="0"/>
              </w:rPr>
              <w:t>.《国家外汇管理局关于发布</w:t>
            </w:r>
            <w:r>
              <w:rPr>
                <w:rFonts w:hint="default" w:ascii="宋体" w:hAnsi="宋体"/>
                <w:kern w:val="0"/>
              </w:rPr>
              <w:t>〈</w:t>
            </w:r>
            <w:r>
              <w:rPr>
                <w:rFonts w:hint="eastAsia" w:ascii="宋体" w:hAnsi="宋体"/>
                <w:kern w:val="0"/>
              </w:rPr>
              <w:t>外债登记管理办法</w:t>
            </w:r>
            <w:r>
              <w:rPr>
                <w:rFonts w:hint="default" w:ascii="宋体" w:hAnsi="宋体"/>
                <w:kern w:val="0"/>
              </w:rPr>
              <w:t>〉</w:t>
            </w:r>
            <w:r>
              <w:rPr>
                <w:rFonts w:hint="eastAsia" w:ascii="宋体" w:hAnsi="宋体"/>
                <w:kern w:val="0"/>
              </w:rPr>
              <w:t>的通知》（汇发</w:t>
            </w:r>
            <w:r>
              <w:rPr>
                <w:rFonts w:hint="default" w:ascii="宋体" w:hAnsi="宋体"/>
                <w:kern w:val="0"/>
              </w:rPr>
              <w:t>〔2013〕19</w:t>
            </w:r>
            <w:r>
              <w:rPr>
                <w:rFonts w:hint="eastAsia" w:ascii="宋体" w:hAnsi="宋体"/>
                <w:kern w:val="0"/>
              </w:rPr>
              <w:t>号）。</w:t>
            </w:r>
          </w:p>
          <w:p>
            <w:pPr>
              <w:widowControl/>
              <w:snapToGrid w:val="0"/>
              <w:jc w:val="left"/>
              <w:rPr>
                <w:rFonts w:hint="default" w:ascii="宋体" w:hAnsi="宋体"/>
                <w:kern w:val="0"/>
              </w:rPr>
            </w:pPr>
            <w:r>
              <w:rPr>
                <w:rFonts w:hint="eastAsia" w:ascii="宋体" w:hAnsi="宋体"/>
                <w:kern w:val="0"/>
              </w:rPr>
              <w:t>4.《国家外汇管理局关于废止和修改涉及注册资本登记制度改革相关规范性文件的通知》（汇发〔2015〕20号）。</w:t>
            </w:r>
          </w:p>
          <w:p>
            <w:pPr>
              <w:widowControl/>
              <w:snapToGrid w:val="0"/>
              <w:jc w:val="left"/>
              <w:rPr>
                <w:rFonts w:hint="default" w:ascii="宋体" w:hAnsi="宋体"/>
                <w:kern w:val="0"/>
              </w:rPr>
            </w:pPr>
            <w:r>
              <w:rPr>
                <w:rFonts w:hint="eastAsia" w:ascii="宋体" w:hAnsi="宋体"/>
                <w:kern w:val="0"/>
              </w:rPr>
              <w:t>5.《中国人民银行关于全口径跨境融资宏观审慎管理有关事宜的通知》（银发〔</w:t>
            </w:r>
            <w:r>
              <w:rPr>
                <w:rFonts w:hint="default" w:ascii="宋体" w:hAnsi="宋体"/>
                <w:kern w:val="0"/>
              </w:rPr>
              <w:t>2017</w:t>
            </w:r>
            <w:r>
              <w:rPr>
                <w:rFonts w:hint="eastAsia" w:ascii="宋体" w:hAnsi="宋体"/>
                <w:kern w:val="0"/>
              </w:rPr>
              <w:t>〕</w:t>
            </w:r>
            <w:r>
              <w:rPr>
                <w:rFonts w:hint="default" w:ascii="宋体" w:hAnsi="宋体"/>
                <w:kern w:val="0"/>
              </w:rPr>
              <w:t>9</w:t>
            </w:r>
            <w:r>
              <w:rPr>
                <w:rFonts w:hint="eastAsia" w:ascii="宋体" w:hAnsi="宋体"/>
                <w:kern w:val="0"/>
              </w:rPr>
              <w:t>号）。</w:t>
            </w:r>
          </w:p>
          <w:p>
            <w:pPr>
              <w:widowControl/>
              <w:snapToGrid w:val="0"/>
              <w:jc w:val="left"/>
              <w:rPr>
                <w:rFonts w:hint="default"/>
                <w:kern w:val="0"/>
                <w:sz w:val="20"/>
              </w:rPr>
            </w:pPr>
            <w:r>
              <w:rPr>
                <w:rFonts w:hint="eastAsia" w:ascii="宋体" w:hAnsi="宋体"/>
                <w:kern w:val="0"/>
              </w:rPr>
              <w:t>6.其他相关法规。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jc w:val="center"/>
        </w:trPr>
        <w:tc>
          <w:tcPr>
            <w:tcW w:w="1093"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rFonts w:hint="eastAsia" w:ascii="宋体" w:hAnsi="宋体"/>
                <w:kern w:val="0"/>
                <w:lang w:val="en-US" w:eastAsia="zh-CN"/>
              </w:rPr>
            </w:pPr>
            <w:r>
              <w:rPr>
                <w:rFonts w:ascii="宋体" w:hAnsi="宋体"/>
                <w:kern w:val="0"/>
              </w:rPr>
              <w:t>申请条件</w:t>
            </w:r>
            <w:r>
              <w:rPr>
                <w:rFonts w:hint="eastAsia" w:ascii="宋体" w:hAnsi="宋体"/>
                <w:kern w:val="0"/>
                <w:lang w:val="en-US" w:eastAsia="zh-CN"/>
              </w:rPr>
              <w:t>及</w:t>
            </w:r>
          </w:p>
          <w:p>
            <w:pPr>
              <w:widowControl/>
              <w:snapToGrid w:val="0"/>
              <w:jc w:val="center"/>
              <w:rPr>
                <w:rFonts w:hint="default" w:ascii="宋体" w:hAnsi="宋体"/>
                <w:kern w:val="0"/>
                <w:lang w:val="en-US" w:eastAsia="zh-CN"/>
              </w:rPr>
            </w:pPr>
            <w:r>
              <w:rPr>
                <w:rFonts w:hint="eastAsia" w:ascii="宋体" w:hAnsi="宋体"/>
                <w:kern w:val="0"/>
                <w:lang w:val="en-US" w:eastAsia="zh-CN"/>
              </w:rPr>
              <w:t>注意事项</w:t>
            </w:r>
          </w:p>
        </w:tc>
        <w:tc>
          <w:tcPr>
            <w:tcW w:w="7412" w:type="dxa"/>
            <w:tcBorders>
              <w:top w:val="single" w:color="000000" w:sz="4" w:space="0"/>
              <w:left w:val="nil"/>
              <w:bottom w:val="single" w:color="000000" w:sz="4" w:space="0"/>
              <w:right w:val="single" w:color="000000" w:sz="4" w:space="0"/>
            </w:tcBorders>
            <w:vAlign w:val="center"/>
          </w:tcPr>
          <w:p>
            <w:pPr>
              <w:widowControl/>
              <w:snapToGrid w:val="0"/>
              <w:jc w:val="left"/>
              <w:rPr>
                <w:rFonts w:hint="eastAsia" w:ascii="宋体" w:hAnsi="宋体"/>
                <w:kern w:val="0"/>
              </w:rPr>
            </w:pPr>
            <w:r>
              <w:rPr>
                <w:rFonts w:hint="eastAsia" w:ascii="宋体" w:hAnsi="宋体"/>
                <w:kern w:val="0"/>
              </w:rPr>
              <w:t>1.除财政部门、银行以外的其他境内债务人（以下简称“非银行债务人”），应当在外债合同签约后15个工作日内，到所在地外汇局办理外债签约登记手续。2. 境内机构在境外发行债券的，无论期限长短，均应在境外债券交割后5个工作日内，按规定到所在地外汇局办理外债签约登记手续。境内机构对外发行短期债券的，应纳入全口径跨境融资宏观审慎政策框架进行管理。采用“投注差”外债管理模式的境内外商投资企业（包括2007年6月1日前成立的外资房地产企业）在境外发行短期债券，所发行的短期债券应占用该企业按“投注差”方式计算的外债额度。</w:t>
            </w:r>
          </w:p>
          <w:p>
            <w:pPr>
              <w:widowControl/>
              <w:snapToGrid w:val="0"/>
              <w:jc w:val="left"/>
              <w:rPr>
                <w:rFonts w:hint="default"/>
                <w:kern w:val="0"/>
                <w:sz w:val="20"/>
              </w:rPr>
            </w:pPr>
            <w:r>
              <w:rPr>
                <w:rFonts w:hint="eastAsia" w:ascii="宋体" w:hAnsi="宋体"/>
                <w:kern w:val="0"/>
              </w:rPr>
              <w:t>3.中资非银行债务人按照宏观审慎管理模式借入外债。2018年1月12日以前，外资非银行金融机构可在现行外债管理模式和宏观审慎管理模式下任选一种模式适用。2018年1月12日以后，外资非银行金融机构自动适用宏观审慎管理模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jc w:val="center"/>
        </w:trPr>
        <w:tc>
          <w:tcPr>
            <w:tcW w:w="1093" w:type="dxa"/>
            <w:tcBorders>
              <w:top w:val="single" w:color="000000" w:sz="4" w:space="0"/>
              <w:left w:val="single" w:color="000000" w:sz="4" w:space="0"/>
              <w:bottom w:val="single" w:color="000000" w:sz="4" w:space="0"/>
              <w:right w:val="single" w:color="000000" w:sz="4" w:space="0"/>
            </w:tcBorders>
            <w:vAlign w:val="center"/>
          </w:tcPr>
          <w:p>
            <w:pPr>
              <w:widowControl/>
              <w:snapToGrid w:val="0"/>
              <w:jc w:val="left"/>
              <w:rPr>
                <w:rFonts w:hint="default"/>
                <w:kern w:val="0"/>
                <w:sz w:val="20"/>
              </w:rPr>
            </w:pPr>
            <w:r>
              <w:rPr>
                <w:rFonts w:ascii="宋体" w:hAnsi="宋体"/>
                <w:kern w:val="0"/>
              </w:rPr>
              <w:t>办理材料</w:t>
            </w:r>
          </w:p>
        </w:tc>
        <w:tc>
          <w:tcPr>
            <w:tcW w:w="7412" w:type="dxa"/>
            <w:tcBorders>
              <w:top w:val="single" w:color="000000" w:sz="4" w:space="0"/>
              <w:left w:val="nil"/>
              <w:bottom w:val="single" w:color="000000" w:sz="4" w:space="0"/>
              <w:right w:val="single" w:color="000000" w:sz="4" w:space="0"/>
            </w:tcBorders>
            <w:vAlign w:val="center"/>
          </w:tcPr>
          <w:p>
            <w:pPr>
              <w:widowControl/>
              <w:snapToGrid w:val="0"/>
              <w:jc w:val="left"/>
              <w:rPr>
                <w:rFonts w:hint="eastAsia" w:ascii="宋体" w:hAnsi="宋体"/>
                <w:kern w:val="0"/>
              </w:rPr>
            </w:pPr>
            <w:r>
              <w:rPr>
                <w:rFonts w:hint="eastAsia" w:ascii="宋体" w:hAnsi="宋体"/>
                <w:kern w:val="0"/>
              </w:rPr>
              <w:t>1.申请书（内容包括但不限于债务人与债权人基本情况，本次拟备案（登记）外债金额、利率、期限、用途等要点，预计还款资金来源等）。</w:t>
            </w:r>
          </w:p>
          <w:p>
            <w:pPr>
              <w:widowControl/>
              <w:snapToGrid w:val="0"/>
              <w:jc w:val="left"/>
              <w:rPr>
                <w:rFonts w:hint="eastAsia" w:ascii="宋体" w:hAnsi="宋体"/>
                <w:kern w:val="0"/>
              </w:rPr>
            </w:pPr>
            <w:r>
              <w:rPr>
                <w:rFonts w:hint="eastAsia" w:ascii="宋体" w:hAnsi="宋体"/>
                <w:kern w:val="0"/>
              </w:rPr>
              <w:t>2.外债合同正本和合同主要条款复印件，合同为外文的应另附合同主要条款的中文译本。对外发行债券的，需提供发行通函、认购协议正本及协议主要条款复印件、全球债券证书等材料，材料为外文的应另附主要内容中文译本。</w:t>
            </w:r>
          </w:p>
          <w:p>
            <w:pPr>
              <w:widowControl/>
              <w:snapToGrid w:val="0"/>
              <w:jc w:val="left"/>
              <w:rPr>
                <w:rFonts w:hint="eastAsia" w:ascii="宋体" w:hAnsi="宋体"/>
                <w:kern w:val="0"/>
              </w:rPr>
            </w:pPr>
            <w:r>
              <w:rPr>
                <w:rFonts w:hint="eastAsia" w:ascii="宋体" w:hAnsi="宋体"/>
                <w:kern w:val="0"/>
              </w:rPr>
              <w:t>3.中资企业应提供营业执照（尚未办理“五证合一”的企业，还需提供组织机构代码证）、上年度或最近一期经审计的财务报告、《宏观审慎跨境融资风险加权余额情况表（企业版）》等材料。</w:t>
            </w:r>
          </w:p>
          <w:p>
            <w:pPr>
              <w:widowControl/>
              <w:snapToGrid w:val="0"/>
              <w:jc w:val="left"/>
              <w:rPr>
                <w:rFonts w:hint="eastAsia" w:ascii="宋体" w:hAnsi="宋体"/>
                <w:kern w:val="0"/>
              </w:rPr>
            </w:pPr>
            <w:r>
              <w:rPr>
                <w:rFonts w:hint="eastAsia" w:ascii="宋体" w:hAnsi="宋体"/>
                <w:kern w:val="0"/>
              </w:rPr>
              <w:t>4.外商投资企业应提供批准证书或《外商投资企业设立/变更备案回执》、营业执照（尚未办理“五证合一”的企业，还需提供组织机构代码证）、跨境融资管理模式选择的书面说明等材料。选择宏观审慎管理模式的，还应提供上年度或最近一期经审计的财务报告、《宏观审慎跨境融资风险加权余额情况表（企业版）》。</w:t>
            </w:r>
          </w:p>
          <w:p>
            <w:pPr>
              <w:widowControl/>
              <w:snapToGrid w:val="0"/>
              <w:jc w:val="left"/>
              <w:rPr>
                <w:rFonts w:hint="eastAsia" w:ascii="宋体" w:hAnsi="宋体"/>
                <w:kern w:val="0"/>
              </w:rPr>
            </w:pPr>
            <w:r>
              <w:rPr>
                <w:rFonts w:hint="eastAsia" w:ascii="宋体" w:hAnsi="宋体"/>
                <w:kern w:val="0"/>
              </w:rPr>
              <w:t>5.经其他外债管理部门批准逐笔借用外债的，还应提供相关批准文件。</w:t>
            </w:r>
          </w:p>
          <w:p>
            <w:pPr>
              <w:widowControl/>
              <w:snapToGrid w:val="0"/>
              <w:jc w:val="left"/>
              <w:rPr>
                <w:rFonts w:hint="default"/>
                <w:kern w:val="0"/>
                <w:sz w:val="20"/>
              </w:rPr>
            </w:pPr>
            <w:r>
              <w:rPr>
                <w:rFonts w:hint="eastAsia" w:ascii="宋体" w:hAnsi="宋体"/>
                <w:kern w:val="0"/>
              </w:rPr>
              <w:t>6.外汇局要求提供的其他材料。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1" w:hRule="atLeast"/>
          <w:jc w:val="center"/>
        </w:trPr>
        <w:tc>
          <w:tcPr>
            <w:tcW w:w="1093" w:type="dxa"/>
            <w:tcBorders>
              <w:top w:val="single" w:color="000000" w:sz="4" w:space="0"/>
              <w:left w:val="single" w:color="000000" w:sz="4" w:space="0"/>
              <w:bottom w:val="single" w:color="000000" w:sz="4" w:space="0"/>
              <w:right w:val="single" w:color="000000" w:sz="4" w:space="0"/>
            </w:tcBorders>
            <w:vAlign w:val="center"/>
          </w:tcPr>
          <w:p>
            <w:pPr>
              <w:widowControl/>
              <w:snapToGrid w:val="0"/>
              <w:jc w:val="left"/>
              <w:rPr>
                <w:rFonts w:hint="default"/>
                <w:kern w:val="0"/>
                <w:sz w:val="20"/>
              </w:rPr>
            </w:pPr>
            <w:r>
              <w:rPr>
                <w:rFonts w:ascii="宋体" w:hAnsi="宋体"/>
                <w:kern w:val="0"/>
              </w:rPr>
              <w:t>办理地点</w:t>
            </w:r>
          </w:p>
        </w:tc>
        <w:tc>
          <w:tcPr>
            <w:tcW w:w="7412" w:type="dxa"/>
            <w:tcBorders>
              <w:top w:val="single" w:color="000000" w:sz="4" w:space="0"/>
              <w:left w:val="nil"/>
              <w:bottom w:val="single" w:color="000000" w:sz="4" w:space="0"/>
              <w:right w:val="single" w:color="000000" w:sz="4" w:space="0"/>
            </w:tcBorders>
            <w:vAlign w:val="top"/>
          </w:tcPr>
          <w:p>
            <w:pPr>
              <w:widowControl/>
              <w:snapToGrid w:val="0"/>
              <w:jc w:val="left"/>
              <w:rPr>
                <w:rFonts w:hint="default"/>
                <w:kern w:val="0"/>
              </w:rPr>
            </w:pPr>
            <w:r>
              <w:rPr>
                <w:rFonts w:ascii="宋体" w:hAnsi="宋体"/>
                <w:kern w:val="0"/>
              </w:rPr>
              <w:t>国家外汇管理局青海省分局外汇管理处资本科（西宁市昆仑路3号人民银行政务大厅）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jc w:val="center"/>
        </w:trPr>
        <w:tc>
          <w:tcPr>
            <w:tcW w:w="1093" w:type="dxa"/>
            <w:tcBorders>
              <w:top w:val="single" w:color="000000" w:sz="4" w:space="0"/>
              <w:left w:val="single" w:color="000000" w:sz="4" w:space="0"/>
              <w:bottom w:val="single" w:color="000000" w:sz="4" w:space="0"/>
              <w:right w:val="single" w:color="000000" w:sz="4" w:space="0"/>
            </w:tcBorders>
            <w:vAlign w:val="center"/>
          </w:tcPr>
          <w:p>
            <w:pPr>
              <w:widowControl/>
              <w:snapToGrid w:val="0"/>
              <w:jc w:val="left"/>
              <w:rPr>
                <w:rFonts w:hint="default"/>
                <w:kern w:val="0"/>
                <w:sz w:val="20"/>
              </w:rPr>
            </w:pPr>
            <w:r>
              <w:rPr>
                <w:rFonts w:ascii="宋体" w:hAnsi="宋体"/>
                <w:kern w:val="0"/>
              </w:rPr>
              <w:t>办理时间</w:t>
            </w:r>
          </w:p>
          <w:p>
            <w:pPr>
              <w:widowControl/>
              <w:spacing w:line="271" w:lineRule="auto"/>
              <w:jc w:val="center"/>
              <w:rPr>
                <w:rFonts w:hint="default" w:ascii="Times New Roman" w:eastAsia="Times New Roman"/>
                <w:b/>
                <w:kern w:val="0"/>
              </w:rPr>
            </w:pPr>
          </w:p>
        </w:tc>
        <w:tc>
          <w:tcPr>
            <w:tcW w:w="7412" w:type="dxa"/>
            <w:tcBorders>
              <w:top w:val="single" w:color="000000" w:sz="4" w:space="0"/>
              <w:left w:val="nil"/>
              <w:bottom w:val="single" w:color="000000" w:sz="4" w:space="0"/>
              <w:right w:val="single" w:color="000000" w:sz="4" w:space="0"/>
            </w:tcBorders>
            <w:vAlign w:val="top"/>
          </w:tcPr>
          <w:p>
            <w:pPr>
              <w:widowControl/>
              <w:snapToGrid w:val="0"/>
              <w:jc w:val="left"/>
              <w:rPr>
                <w:rFonts w:hint="default"/>
                <w:kern w:val="0"/>
              </w:rPr>
            </w:pPr>
            <w:r>
              <w:rPr>
                <w:rFonts w:ascii="宋体" w:hAnsi="宋体"/>
                <w:kern w:val="0"/>
              </w:rPr>
              <w:t>周一至周五（法定节假日除外）</w:t>
            </w:r>
          </w:p>
          <w:p>
            <w:pPr>
              <w:widowControl/>
              <w:snapToGrid w:val="0"/>
              <w:jc w:val="left"/>
              <w:rPr>
                <w:rFonts w:hint="default"/>
                <w:kern w:val="0"/>
                <w:sz w:val="20"/>
              </w:rPr>
            </w:pPr>
            <w:r>
              <w:rPr>
                <w:rFonts w:ascii="宋体" w:hAnsi="宋体"/>
                <w:kern w:val="0"/>
              </w:rPr>
              <w:t>上午8：30-11：30，下午2：00-5：30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jc w:val="center"/>
        </w:trPr>
        <w:tc>
          <w:tcPr>
            <w:tcW w:w="1093" w:type="dxa"/>
            <w:tcBorders>
              <w:top w:val="single" w:color="000000" w:sz="4" w:space="0"/>
              <w:left w:val="single" w:color="000000" w:sz="4" w:space="0"/>
              <w:bottom w:val="single" w:color="000000" w:sz="4" w:space="0"/>
              <w:right w:val="single" w:color="000000" w:sz="4" w:space="0"/>
            </w:tcBorders>
            <w:vAlign w:val="center"/>
          </w:tcPr>
          <w:p>
            <w:pPr>
              <w:widowControl/>
              <w:snapToGrid w:val="0"/>
              <w:jc w:val="left"/>
              <w:rPr>
                <w:rFonts w:hint="default"/>
                <w:kern w:val="0"/>
                <w:sz w:val="20"/>
              </w:rPr>
            </w:pPr>
            <w:r>
              <w:rPr>
                <w:rFonts w:ascii="宋体" w:hAnsi="宋体"/>
                <w:kern w:val="0"/>
              </w:rPr>
              <w:t>联系电话</w:t>
            </w:r>
          </w:p>
        </w:tc>
        <w:tc>
          <w:tcPr>
            <w:tcW w:w="7412" w:type="dxa"/>
            <w:tcBorders>
              <w:top w:val="single" w:color="000000" w:sz="4" w:space="0"/>
              <w:left w:val="nil"/>
              <w:bottom w:val="single" w:color="000000" w:sz="4" w:space="0"/>
              <w:right w:val="single" w:color="000000" w:sz="4" w:space="0"/>
            </w:tcBorders>
            <w:vAlign w:val="top"/>
          </w:tcPr>
          <w:p>
            <w:pPr>
              <w:widowControl/>
              <w:snapToGrid w:val="0"/>
              <w:jc w:val="left"/>
              <w:rPr>
                <w:rFonts w:hint="default"/>
                <w:kern w:val="0"/>
              </w:rPr>
            </w:pPr>
            <w:r>
              <w:rPr>
                <w:rFonts w:ascii="宋体" w:hAnsi="宋体"/>
                <w:kern w:val="0"/>
              </w:rPr>
              <w:t>0971-6126143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jc w:val="center"/>
        </w:trPr>
        <w:tc>
          <w:tcPr>
            <w:tcW w:w="1093" w:type="dxa"/>
            <w:tcBorders>
              <w:top w:val="single" w:color="000000" w:sz="4" w:space="0"/>
              <w:left w:val="single" w:color="000000" w:sz="4" w:space="0"/>
              <w:bottom w:val="single" w:color="000000" w:sz="4" w:space="0"/>
              <w:right w:val="single" w:color="000000" w:sz="4" w:space="0"/>
            </w:tcBorders>
            <w:vAlign w:val="center"/>
          </w:tcPr>
          <w:p>
            <w:pPr>
              <w:widowControl/>
              <w:snapToGrid w:val="0"/>
              <w:jc w:val="left"/>
              <w:rPr>
                <w:rFonts w:hint="default"/>
                <w:kern w:val="0"/>
                <w:sz w:val="20"/>
              </w:rPr>
            </w:pPr>
            <w:r>
              <w:rPr>
                <w:rFonts w:ascii="宋体" w:hAnsi="宋体"/>
                <w:kern w:val="0"/>
              </w:rPr>
              <w:t>办理流程</w:t>
            </w:r>
          </w:p>
        </w:tc>
        <w:tc>
          <w:tcPr>
            <w:tcW w:w="7412" w:type="dxa"/>
            <w:tcBorders>
              <w:top w:val="single" w:color="000000" w:sz="4" w:space="0"/>
              <w:left w:val="nil"/>
              <w:bottom w:val="single" w:color="000000" w:sz="4" w:space="0"/>
              <w:right w:val="single" w:color="000000" w:sz="4" w:space="0"/>
            </w:tcBorders>
            <w:vAlign w:val="top"/>
          </w:tcPr>
          <w:p>
            <w:pPr>
              <w:widowControl/>
              <w:numPr>
                <w:ilvl w:val="0"/>
                <w:numId w:val="5"/>
              </w:numPr>
              <w:snapToGrid w:val="0"/>
              <w:jc w:val="left"/>
              <w:rPr>
                <w:rFonts w:ascii="宋体" w:hAnsi="宋体"/>
                <w:kern w:val="0"/>
              </w:rPr>
            </w:pPr>
            <w:r>
              <w:rPr>
                <w:rFonts w:ascii="宋体" w:hAnsi="宋体"/>
                <w:kern w:val="0"/>
              </w:rPr>
              <w:t>签订外债合同；</w:t>
            </w:r>
          </w:p>
          <w:p>
            <w:pPr>
              <w:widowControl/>
              <w:numPr>
                <w:ilvl w:val="0"/>
                <w:numId w:val="6"/>
              </w:numPr>
              <w:snapToGrid w:val="0"/>
              <w:jc w:val="left"/>
              <w:rPr>
                <w:rFonts w:ascii="宋体" w:hAnsi="宋体"/>
                <w:kern w:val="0"/>
              </w:rPr>
            </w:pPr>
            <w:r>
              <w:rPr>
                <w:rFonts w:ascii="宋体" w:hAnsi="宋体"/>
                <w:kern w:val="0"/>
              </w:rPr>
              <w:t>外债签约即时逐笔登记（材料齐全当日办结，特殊情况五个工作日办结）审核通过后发放《境内机构外债签约情况表》和业务登记凭证）；</w:t>
            </w:r>
          </w:p>
          <w:p>
            <w:pPr>
              <w:widowControl/>
              <w:numPr>
                <w:ilvl w:val="0"/>
                <w:numId w:val="7"/>
              </w:numPr>
              <w:snapToGrid w:val="0"/>
              <w:jc w:val="left"/>
              <w:rPr>
                <w:rFonts w:ascii="宋体" w:hAnsi="宋体"/>
                <w:kern w:val="0"/>
              </w:rPr>
            </w:pPr>
            <w:r>
              <w:rPr>
                <w:rFonts w:ascii="宋体" w:hAnsi="宋体"/>
                <w:kern w:val="0"/>
              </w:rPr>
              <w:t>开立外债账户（向银行申请办理）；</w:t>
            </w:r>
          </w:p>
          <w:p>
            <w:pPr>
              <w:widowControl/>
              <w:numPr>
                <w:numId w:val="0"/>
              </w:numPr>
              <w:snapToGrid w:val="0"/>
              <w:jc w:val="left"/>
              <w:rPr>
                <w:rFonts w:hint="default"/>
                <w:kern w:val="0"/>
                <w:sz w:val="20"/>
              </w:rPr>
            </w:pPr>
            <w:r>
              <w:rPr>
                <w:rFonts w:ascii="宋体" w:hAnsi="宋体"/>
                <w:kern w:val="0"/>
              </w:rPr>
              <w:t>4.外债提款登记、外债结汇核准、外债还本付息核准（向银行申请办理）。</w:t>
            </w:r>
          </w:p>
        </w:tc>
      </w:tr>
    </w:tbl>
    <w:p>
      <w:pPr>
        <w:widowControl/>
        <w:rPr>
          <w:rFonts w:hint="default"/>
          <w:kern w:val="0"/>
        </w:rPr>
      </w:pPr>
    </w:p>
    <w:p>
      <w:pPr>
        <w:widowControl/>
        <w:rPr>
          <w:rFonts w:hint="default"/>
          <w:kern w:val="0"/>
        </w:rPr>
      </w:pPr>
    </w:p>
    <w:p>
      <w:pPr>
        <w:widowControl/>
        <w:rPr>
          <w:rFonts w:hint="default"/>
          <w:kern w:val="0"/>
        </w:rPr>
      </w:pPr>
    </w:p>
    <w:p>
      <w:pPr>
        <w:widowControl/>
        <w:rPr>
          <w:rFonts w:hint="default"/>
          <w:kern w:val="0"/>
        </w:rPr>
      </w:pPr>
    </w:p>
    <w:p>
      <w:pPr>
        <w:widowControl/>
        <w:rPr>
          <w:rFonts w:hint="default"/>
          <w:kern w:val="0"/>
        </w:rPr>
      </w:pPr>
    </w:p>
    <w:p>
      <w:pPr>
        <w:widowControl/>
        <w:rPr>
          <w:rFonts w:hint="default"/>
          <w:kern w:val="0"/>
        </w:rPr>
      </w:pPr>
    </w:p>
    <w:p>
      <w:pPr>
        <w:widowControl/>
        <w:rPr>
          <w:rFonts w:hint="default"/>
          <w:kern w:val="0"/>
        </w:rPr>
      </w:pPr>
    </w:p>
    <w:p>
      <w:pPr>
        <w:widowControl/>
        <w:rPr>
          <w:rFonts w:hint="default"/>
          <w:kern w:val="0"/>
        </w:rPr>
      </w:pPr>
    </w:p>
    <w:p>
      <w:pPr>
        <w:widowControl/>
        <w:rPr>
          <w:rFonts w:hint="default"/>
          <w:kern w:val="0"/>
        </w:rPr>
      </w:pPr>
    </w:p>
    <w:p>
      <w:pPr>
        <w:widowControl/>
        <w:rPr>
          <w:rFonts w:hint="default"/>
          <w:kern w:val="0"/>
        </w:rPr>
      </w:pPr>
    </w:p>
    <w:p>
      <w:pPr>
        <w:widowControl/>
        <w:rPr>
          <w:rFonts w:hint="default"/>
          <w:kern w:val="0"/>
        </w:rPr>
      </w:pPr>
    </w:p>
    <w:p>
      <w:pPr>
        <w:widowControl/>
        <w:rPr>
          <w:rFonts w:hint="default"/>
          <w:kern w:val="0"/>
        </w:rPr>
      </w:pPr>
    </w:p>
    <w:p>
      <w:pPr>
        <w:widowControl/>
        <w:rPr>
          <w:rFonts w:hint="default"/>
          <w:kern w:val="0"/>
        </w:rPr>
      </w:pPr>
    </w:p>
    <w:p>
      <w:pPr>
        <w:widowControl/>
        <w:rPr>
          <w:rFonts w:hint="default"/>
          <w:kern w:val="0"/>
        </w:rPr>
      </w:pPr>
    </w:p>
    <w:p>
      <w:pPr>
        <w:widowControl/>
        <w:rPr>
          <w:rFonts w:hint="default"/>
          <w:kern w:val="0"/>
        </w:rPr>
      </w:pPr>
    </w:p>
    <w:p>
      <w:pPr>
        <w:widowControl/>
        <w:rPr>
          <w:rFonts w:hint="default"/>
          <w:kern w:val="0"/>
        </w:rPr>
      </w:pPr>
    </w:p>
    <w:p>
      <w:pPr>
        <w:widowControl/>
        <w:rPr>
          <w:rFonts w:hint="default"/>
          <w:kern w:val="0"/>
        </w:rPr>
      </w:pPr>
    </w:p>
    <w:p>
      <w:pPr>
        <w:widowControl/>
        <w:rPr>
          <w:rFonts w:hint="default"/>
          <w:kern w:val="0"/>
        </w:rPr>
      </w:pPr>
    </w:p>
    <w:p>
      <w:pPr>
        <w:widowControl/>
        <w:rPr>
          <w:rFonts w:hint="default"/>
          <w:kern w:val="0"/>
        </w:rPr>
      </w:pPr>
    </w:p>
    <w:p>
      <w:pPr>
        <w:widowControl/>
        <w:rPr>
          <w:rFonts w:hint="default"/>
          <w:kern w:val="0"/>
        </w:rPr>
      </w:pPr>
    </w:p>
    <w:p>
      <w:pPr>
        <w:widowControl/>
        <w:rPr>
          <w:rFonts w:hint="default"/>
          <w:kern w:val="0"/>
        </w:rPr>
      </w:pPr>
    </w:p>
    <w:p>
      <w:pPr>
        <w:widowControl/>
        <w:rPr>
          <w:rFonts w:hint="default"/>
          <w:kern w:val="0"/>
        </w:rPr>
      </w:pPr>
    </w:p>
    <w:p>
      <w:pPr>
        <w:widowControl/>
        <w:rPr>
          <w:rFonts w:hint="default"/>
          <w:kern w:val="0"/>
        </w:rPr>
      </w:pPr>
    </w:p>
    <w:p>
      <w:pPr>
        <w:widowControl/>
        <w:rPr>
          <w:rFonts w:hint="default"/>
          <w:kern w:val="0"/>
        </w:rPr>
      </w:pPr>
    </w:p>
    <w:p>
      <w:pPr>
        <w:widowControl/>
        <w:rPr>
          <w:rFonts w:hint="default"/>
          <w:kern w:val="0"/>
        </w:rPr>
      </w:pPr>
    </w:p>
    <w:p>
      <w:pPr>
        <w:widowControl/>
        <w:rPr>
          <w:rFonts w:hint="default"/>
          <w:kern w:val="0"/>
        </w:rPr>
      </w:pPr>
    </w:p>
    <w:p>
      <w:pPr>
        <w:widowControl/>
        <w:rPr>
          <w:rFonts w:hint="default"/>
          <w:kern w:val="0"/>
        </w:rPr>
      </w:pPr>
    </w:p>
    <w:p>
      <w:pPr>
        <w:widowControl/>
        <w:rPr>
          <w:rFonts w:hint="default"/>
          <w:kern w:val="0"/>
        </w:rPr>
      </w:pPr>
    </w:p>
    <w:p>
      <w:pPr>
        <w:widowControl/>
        <w:rPr>
          <w:rFonts w:hint="default"/>
          <w:kern w:val="0"/>
        </w:rPr>
      </w:pPr>
    </w:p>
    <w:p>
      <w:pPr>
        <w:widowControl/>
        <w:rPr>
          <w:rFonts w:hint="default"/>
          <w:kern w:val="0"/>
        </w:rPr>
      </w:pPr>
    </w:p>
    <w:p>
      <w:pPr>
        <w:widowControl/>
        <w:rPr>
          <w:rFonts w:hint="default"/>
          <w:kern w:val="0"/>
        </w:rPr>
      </w:pPr>
    </w:p>
    <w:p>
      <w:pPr>
        <w:widowControl/>
        <w:rPr>
          <w:rFonts w:hint="default"/>
          <w:kern w:val="0"/>
        </w:rPr>
      </w:pPr>
    </w:p>
    <w:p>
      <w:pPr>
        <w:widowControl/>
        <w:rPr>
          <w:rFonts w:hint="default"/>
          <w:kern w:val="0"/>
        </w:rPr>
      </w:pPr>
    </w:p>
    <w:p>
      <w:pPr>
        <w:widowControl/>
        <w:rPr>
          <w:rFonts w:hint="default"/>
          <w:kern w:val="0"/>
        </w:rPr>
      </w:pPr>
    </w:p>
    <w:p>
      <w:pPr>
        <w:widowControl/>
        <w:rPr>
          <w:rFonts w:hint="default"/>
          <w:kern w:val="0"/>
        </w:rPr>
      </w:pPr>
    </w:p>
    <w:p>
      <w:pPr>
        <w:widowControl/>
        <w:rPr>
          <w:rFonts w:hint="default"/>
          <w:kern w:val="0"/>
        </w:rPr>
      </w:pPr>
    </w:p>
    <w:p>
      <w:pPr>
        <w:widowControl/>
        <w:rPr>
          <w:rFonts w:hint="default"/>
          <w:kern w:val="0"/>
        </w:rPr>
      </w:pPr>
    </w:p>
    <w:p>
      <w:pPr>
        <w:widowControl/>
        <w:rPr>
          <w:rFonts w:hint="default"/>
          <w:kern w:val="0"/>
        </w:rPr>
      </w:pPr>
    </w:p>
    <w:p>
      <w:pPr>
        <w:widowControl/>
        <w:rPr>
          <w:rFonts w:hint="default"/>
          <w:kern w:val="0"/>
        </w:rPr>
      </w:pPr>
    </w:p>
    <w:p>
      <w:pPr>
        <w:widowControl/>
        <w:rPr>
          <w:rFonts w:hint="default"/>
          <w:kern w:val="0"/>
        </w:rPr>
      </w:pPr>
    </w:p>
    <w:p>
      <w:pPr>
        <w:widowControl/>
        <w:rPr>
          <w:rFonts w:hint="default"/>
          <w:kern w:val="0"/>
        </w:rPr>
      </w:pPr>
    </w:p>
    <w:p>
      <w:pPr>
        <w:widowControl/>
        <w:rPr>
          <w:rFonts w:hint="default"/>
          <w:kern w:val="0"/>
        </w:rPr>
      </w:pPr>
    </w:p>
    <w:p>
      <w:pPr>
        <w:widowControl/>
        <w:rPr>
          <w:rFonts w:hint="default"/>
          <w:kern w:val="0"/>
        </w:rPr>
      </w:pPr>
    </w:p>
    <w:p>
      <w:pPr>
        <w:widowControl/>
        <w:rPr>
          <w:rFonts w:hint="default"/>
          <w:kern w:val="0"/>
        </w:rPr>
      </w:pPr>
    </w:p>
    <w:tbl>
      <w:tblPr>
        <w:tblStyle w:val="16"/>
        <w:tblW w:w="850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093"/>
        <w:gridCol w:w="741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jc w:val="center"/>
        </w:trPr>
        <w:tc>
          <w:tcPr>
            <w:tcW w:w="1093" w:type="dxa"/>
            <w:tcBorders>
              <w:top w:val="single" w:color="000000" w:sz="4" w:space="0"/>
              <w:left w:val="single" w:color="000000" w:sz="4" w:space="0"/>
              <w:bottom w:val="single" w:color="000000" w:sz="4" w:space="0"/>
              <w:right w:val="single" w:color="000000" w:sz="4" w:space="0"/>
            </w:tcBorders>
            <w:vAlign w:val="center"/>
          </w:tcPr>
          <w:p>
            <w:pPr>
              <w:widowControl/>
              <w:snapToGrid w:val="0"/>
              <w:jc w:val="left"/>
              <w:rPr>
                <w:rFonts w:hint="default"/>
                <w:kern w:val="0"/>
                <w:sz w:val="20"/>
              </w:rPr>
            </w:pPr>
            <w:r>
              <w:rPr>
                <w:rFonts w:ascii="宋体" w:hAnsi="宋体"/>
                <w:kern w:val="0"/>
              </w:rPr>
              <w:t>业务名称</w:t>
            </w:r>
          </w:p>
        </w:tc>
        <w:tc>
          <w:tcPr>
            <w:tcW w:w="7412" w:type="dxa"/>
            <w:tcBorders>
              <w:top w:val="single" w:color="000000" w:sz="4" w:space="0"/>
              <w:left w:val="nil"/>
              <w:bottom w:val="single" w:color="000000" w:sz="4" w:space="0"/>
              <w:right w:val="single" w:color="000000" w:sz="4" w:space="0"/>
            </w:tcBorders>
            <w:vAlign w:val="center"/>
          </w:tcPr>
          <w:p>
            <w:pPr>
              <w:widowControl/>
              <w:snapToGrid w:val="0"/>
              <w:jc w:val="left"/>
              <w:rPr>
                <w:rFonts w:hint="default"/>
                <w:b/>
                <w:kern w:val="0"/>
                <w:sz w:val="20"/>
              </w:rPr>
            </w:pPr>
            <w:r>
              <w:rPr>
                <w:rFonts w:ascii="宋体" w:hAnsi="宋体"/>
                <w:b/>
                <w:kern w:val="0"/>
              </w:rPr>
              <w:t>（</w:t>
            </w:r>
            <w:r>
              <w:rPr>
                <w:rFonts w:hint="eastAsia" w:ascii="宋体" w:hAnsi="宋体"/>
                <w:b/>
                <w:kern w:val="0"/>
                <w:lang w:eastAsia="zh-CN"/>
              </w:rPr>
              <w:t>三</w:t>
            </w:r>
            <w:r>
              <w:rPr>
                <w:rFonts w:ascii="宋体" w:hAnsi="宋体"/>
                <w:b/>
                <w:kern w:val="0"/>
              </w:rPr>
              <w:t>）</w:t>
            </w:r>
            <w:r>
              <w:rPr>
                <w:rFonts w:hint="eastAsia" w:ascii="宋体" w:hAnsi="宋体"/>
                <w:b/>
                <w:kern w:val="0"/>
              </w:rPr>
              <w:t>财政部门和银行办理外债登记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jc w:val="center"/>
        </w:trPr>
        <w:tc>
          <w:tcPr>
            <w:tcW w:w="1093" w:type="dxa"/>
            <w:tcBorders>
              <w:top w:val="single" w:color="000000" w:sz="4" w:space="0"/>
              <w:left w:val="single" w:color="000000" w:sz="4" w:space="0"/>
              <w:bottom w:val="single" w:color="000000" w:sz="4" w:space="0"/>
              <w:right w:val="single" w:color="000000" w:sz="4" w:space="0"/>
            </w:tcBorders>
            <w:vAlign w:val="center"/>
          </w:tcPr>
          <w:p>
            <w:pPr>
              <w:widowControl/>
              <w:snapToGrid w:val="0"/>
              <w:jc w:val="left"/>
              <w:rPr>
                <w:rFonts w:hint="default"/>
                <w:kern w:val="0"/>
                <w:sz w:val="20"/>
              </w:rPr>
            </w:pPr>
            <w:r>
              <w:rPr>
                <w:rFonts w:ascii="宋体" w:hAnsi="宋体"/>
                <w:kern w:val="0"/>
              </w:rPr>
              <w:t>设定依据</w:t>
            </w:r>
          </w:p>
          <w:p>
            <w:pPr>
              <w:widowControl/>
              <w:spacing w:line="271" w:lineRule="auto"/>
              <w:jc w:val="center"/>
              <w:rPr>
                <w:rFonts w:hint="default" w:ascii="Times New Roman" w:eastAsia="Times New Roman"/>
                <w:b/>
                <w:kern w:val="0"/>
              </w:rPr>
            </w:pPr>
          </w:p>
        </w:tc>
        <w:tc>
          <w:tcPr>
            <w:tcW w:w="7412" w:type="dxa"/>
            <w:tcBorders>
              <w:top w:val="single" w:color="000000" w:sz="4" w:space="0"/>
              <w:left w:val="nil"/>
              <w:bottom w:val="single" w:color="000000" w:sz="4" w:space="0"/>
              <w:right w:val="single" w:color="000000" w:sz="4" w:space="0"/>
            </w:tcBorders>
            <w:vAlign w:val="center"/>
          </w:tcPr>
          <w:p>
            <w:pPr>
              <w:widowControl/>
              <w:snapToGrid w:val="0"/>
              <w:jc w:val="left"/>
              <w:rPr>
                <w:rFonts w:hint="default" w:ascii="宋体" w:hAnsi="宋体"/>
                <w:kern w:val="0"/>
              </w:rPr>
            </w:pPr>
            <w:r>
              <w:rPr>
                <w:rFonts w:hint="default" w:ascii="宋体" w:hAnsi="宋体"/>
                <w:kern w:val="0"/>
              </w:rPr>
              <w:t>1.《中华人民共和国外汇管理条例》（国务院令第532号）</w:t>
            </w:r>
            <w:r>
              <w:rPr>
                <w:rFonts w:hint="eastAsia" w:ascii="宋体" w:hAnsi="宋体"/>
                <w:kern w:val="0"/>
              </w:rPr>
              <w:t>。</w:t>
            </w:r>
          </w:p>
          <w:p>
            <w:pPr>
              <w:widowControl/>
              <w:snapToGrid w:val="0"/>
              <w:jc w:val="left"/>
              <w:rPr>
                <w:rFonts w:hint="default" w:ascii="宋体" w:hAnsi="宋体"/>
                <w:kern w:val="0"/>
              </w:rPr>
            </w:pPr>
            <w:r>
              <w:rPr>
                <w:rFonts w:hint="default" w:ascii="宋体" w:hAnsi="宋体"/>
                <w:kern w:val="0"/>
              </w:rPr>
              <w:t>2.《外债统计监测暂行规定》（1987年公布）</w:t>
            </w:r>
            <w:r>
              <w:rPr>
                <w:rFonts w:hint="eastAsia" w:ascii="宋体" w:hAnsi="宋体"/>
                <w:kern w:val="0"/>
              </w:rPr>
              <w:t>。</w:t>
            </w:r>
          </w:p>
          <w:p>
            <w:pPr>
              <w:widowControl/>
              <w:snapToGrid w:val="0"/>
              <w:jc w:val="left"/>
              <w:rPr>
                <w:rFonts w:hint="default" w:ascii="宋体" w:hAnsi="宋体"/>
                <w:kern w:val="0"/>
              </w:rPr>
            </w:pPr>
            <w:r>
              <w:rPr>
                <w:rFonts w:hint="default" w:ascii="宋体" w:hAnsi="宋体"/>
                <w:kern w:val="0"/>
              </w:rPr>
              <w:t>3.《境内机构借用国际商业贷款管理办法》（〔97〕汇政发字06号）</w:t>
            </w:r>
            <w:r>
              <w:rPr>
                <w:rFonts w:hint="eastAsia" w:ascii="宋体" w:hAnsi="宋体"/>
                <w:kern w:val="0"/>
              </w:rPr>
              <w:t>。</w:t>
            </w:r>
          </w:p>
          <w:p>
            <w:pPr>
              <w:widowControl/>
              <w:snapToGrid w:val="0"/>
              <w:jc w:val="left"/>
              <w:rPr>
                <w:rFonts w:hint="default" w:ascii="宋体" w:hAnsi="宋体"/>
                <w:kern w:val="0"/>
              </w:rPr>
            </w:pPr>
            <w:r>
              <w:rPr>
                <w:rFonts w:hint="default" w:ascii="宋体" w:hAnsi="宋体"/>
                <w:kern w:val="0"/>
              </w:rPr>
              <w:t>4.</w:t>
            </w:r>
            <w:r>
              <w:rPr>
                <w:rFonts w:hint="eastAsia" w:ascii="宋体" w:hAnsi="宋体"/>
                <w:kern w:val="0"/>
              </w:rPr>
              <w:t>《离岸银行业务管理办法》（银发〔1997〕438号）。</w:t>
            </w:r>
          </w:p>
          <w:p>
            <w:pPr>
              <w:widowControl/>
              <w:snapToGrid w:val="0"/>
              <w:jc w:val="left"/>
              <w:rPr>
                <w:rFonts w:hint="default" w:ascii="宋体" w:hAnsi="宋体"/>
                <w:kern w:val="0"/>
              </w:rPr>
            </w:pPr>
            <w:r>
              <w:rPr>
                <w:rFonts w:hint="eastAsia" w:ascii="宋体" w:hAnsi="宋体"/>
                <w:kern w:val="0"/>
              </w:rPr>
              <w:t>5.</w:t>
            </w:r>
            <w:r>
              <w:rPr>
                <w:rFonts w:hint="default" w:ascii="宋体" w:hAnsi="宋体"/>
                <w:kern w:val="0"/>
              </w:rPr>
              <w:t>《外债管理暂行办法》（国家发展计划委员会 财政部 国家外汇管理局令2003年第28号）</w:t>
            </w:r>
            <w:r>
              <w:rPr>
                <w:rFonts w:hint="eastAsia" w:ascii="宋体" w:hAnsi="宋体"/>
                <w:kern w:val="0"/>
              </w:rPr>
              <w:t>。</w:t>
            </w:r>
          </w:p>
          <w:p>
            <w:pPr>
              <w:widowControl/>
              <w:snapToGrid w:val="0"/>
              <w:jc w:val="left"/>
              <w:rPr>
                <w:rFonts w:hint="default" w:ascii="宋体" w:hAnsi="宋体"/>
                <w:kern w:val="0"/>
              </w:rPr>
            </w:pPr>
            <w:r>
              <w:rPr>
                <w:rFonts w:hint="eastAsia" w:ascii="宋体" w:hAnsi="宋体"/>
                <w:kern w:val="0"/>
              </w:rPr>
              <w:t>6</w:t>
            </w:r>
            <w:r>
              <w:rPr>
                <w:rFonts w:hint="default" w:ascii="宋体" w:hAnsi="宋体"/>
                <w:kern w:val="0"/>
              </w:rPr>
              <w:t>.《境内金融机构赴香港特别行政区发行人民币债券管理暂行办法》（中国人民银行 国家发展和改革委员会公告2007年第12号）</w:t>
            </w:r>
            <w:r>
              <w:rPr>
                <w:rFonts w:hint="eastAsia" w:ascii="宋体" w:hAnsi="宋体"/>
                <w:kern w:val="0"/>
              </w:rPr>
              <w:t>。</w:t>
            </w:r>
          </w:p>
          <w:p>
            <w:pPr>
              <w:widowControl/>
              <w:snapToGrid w:val="0"/>
              <w:jc w:val="left"/>
              <w:rPr>
                <w:rFonts w:hint="default" w:ascii="宋体" w:hAnsi="宋体"/>
                <w:kern w:val="0"/>
              </w:rPr>
            </w:pPr>
            <w:r>
              <w:rPr>
                <w:rFonts w:hint="default" w:ascii="宋体" w:hAnsi="宋体"/>
                <w:kern w:val="0"/>
              </w:rPr>
              <w:t>7.《国家外汇管理局关于发布〈外债登记管理办法〉的通知》（汇发〔2013〕19号）</w:t>
            </w:r>
            <w:r>
              <w:rPr>
                <w:rFonts w:hint="eastAsia" w:ascii="宋体" w:hAnsi="宋体"/>
                <w:kern w:val="0"/>
              </w:rPr>
              <w:t>。</w:t>
            </w:r>
          </w:p>
          <w:p>
            <w:pPr>
              <w:widowControl/>
              <w:snapToGrid w:val="0"/>
              <w:jc w:val="left"/>
              <w:rPr>
                <w:rFonts w:hint="default" w:ascii="宋体" w:hAnsi="宋体"/>
                <w:kern w:val="0"/>
              </w:rPr>
            </w:pPr>
            <w:r>
              <w:rPr>
                <w:rFonts w:hint="default" w:ascii="宋体" w:hAnsi="宋体"/>
                <w:kern w:val="0"/>
              </w:rPr>
              <w:t>8.</w:t>
            </w:r>
            <w:r>
              <w:rPr>
                <w:rFonts w:hint="eastAsia" w:ascii="宋体" w:hAnsi="宋体"/>
                <w:kern w:val="0"/>
              </w:rPr>
              <w:t>《国家外汇管理局关于印发〈外债转贷款外汇管理规定〉的通知》（汇发〔2014〕5号）。</w:t>
            </w:r>
          </w:p>
          <w:p>
            <w:pPr>
              <w:widowControl/>
              <w:snapToGrid w:val="0"/>
              <w:jc w:val="left"/>
              <w:rPr>
                <w:rFonts w:hint="default" w:ascii="宋体" w:hAnsi="宋体"/>
                <w:kern w:val="0"/>
              </w:rPr>
            </w:pPr>
            <w:r>
              <w:rPr>
                <w:rFonts w:hint="eastAsia" w:ascii="宋体" w:hAnsi="宋体"/>
                <w:kern w:val="0"/>
              </w:rPr>
              <w:t>9</w:t>
            </w:r>
            <w:r>
              <w:rPr>
                <w:rFonts w:hint="default" w:ascii="宋体" w:hAnsi="宋体"/>
                <w:kern w:val="0"/>
              </w:rPr>
              <w:t>.</w:t>
            </w:r>
            <w:r>
              <w:rPr>
                <w:rFonts w:hint="eastAsia" w:ascii="宋体" w:hAnsi="宋体"/>
                <w:kern w:val="0"/>
              </w:rPr>
              <w:t>《国家外汇管理局关于发布〈金融机构外汇业务数据采集规范（1.1版）〉的通知》（汇发〔2016〕22号）。</w:t>
            </w:r>
          </w:p>
          <w:p>
            <w:pPr>
              <w:widowControl/>
              <w:snapToGrid w:val="0"/>
              <w:jc w:val="left"/>
              <w:rPr>
                <w:rFonts w:hint="default" w:ascii="宋体" w:hAnsi="宋体"/>
                <w:kern w:val="0"/>
              </w:rPr>
            </w:pPr>
            <w:r>
              <w:rPr>
                <w:rFonts w:hint="eastAsia" w:ascii="宋体" w:hAnsi="宋体"/>
                <w:kern w:val="0"/>
              </w:rPr>
              <w:t>10.《中国人民银行关于全口径跨境融资宏观审慎管理有关事宜的通知》（银发〔</w:t>
            </w:r>
            <w:r>
              <w:rPr>
                <w:rFonts w:hint="default" w:ascii="宋体" w:hAnsi="宋体"/>
                <w:kern w:val="0"/>
              </w:rPr>
              <w:t>2017</w:t>
            </w:r>
            <w:r>
              <w:rPr>
                <w:rFonts w:hint="eastAsia" w:ascii="宋体" w:hAnsi="宋体"/>
                <w:kern w:val="0"/>
              </w:rPr>
              <w:t>〕</w:t>
            </w:r>
            <w:r>
              <w:rPr>
                <w:rFonts w:hint="default" w:ascii="宋体" w:hAnsi="宋体"/>
                <w:kern w:val="0"/>
              </w:rPr>
              <w:t>9</w:t>
            </w:r>
            <w:r>
              <w:rPr>
                <w:rFonts w:hint="eastAsia" w:ascii="宋体" w:hAnsi="宋体"/>
                <w:kern w:val="0"/>
              </w:rPr>
              <w:t>号）。</w:t>
            </w:r>
          </w:p>
          <w:p>
            <w:pPr>
              <w:widowControl/>
              <w:snapToGrid w:val="0"/>
              <w:jc w:val="left"/>
              <w:rPr>
                <w:rFonts w:hint="default"/>
                <w:kern w:val="0"/>
                <w:sz w:val="20"/>
              </w:rPr>
            </w:pPr>
            <w:r>
              <w:rPr>
                <w:rFonts w:hint="eastAsia" w:ascii="宋体" w:hAnsi="宋体"/>
                <w:kern w:val="0"/>
              </w:rPr>
              <w:t>11.</w:t>
            </w:r>
            <w:r>
              <w:rPr>
                <w:rFonts w:hint="default" w:ascii="宋体" w:hAnsi="宋体"/>
                <w:kern w:val="0"/>
              </w:rPr>
              <w:t>其他相关法规</w:t>
            </w:r>
            <w:r>
              <w:rPr>
                <w:rFonts w:hint="eastAsia" w:ascii="宋体" w:hAnsi="宋体"/>
                <w:kern w:val="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jc w:val="center"/>
        </w:trPr>
        <w:tc>
          <w:tcPr>
            <w:tcW w:w="1093"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rFonts w:ascii="宋体" w:hAnsi="宋体"/>
                <w:kern w:val="0"/>
              </w:rPr>
            </w:pPr>
            <w:r>
              <w:rPr>
                <w:rFonts w:ascii="宋体" w:hAnsi="宋体"/>
                <w:kern w:val="0"/>
              </w:rPr>
              <w:t>申请条件</w:t>
            </w:r>
          </w:p>
          <w:p>
            <w:pPr>
              <w:widowControl/>
              <w:snapToGrid w:val="0"/>
              <w:jc w:val="center"/>
              <w:rPr>
                <w:rFonts w:hint="eastAsia" w:ascii="宋体" w:hAnsi="宋体"/>
                <w:kern w:val="0"/>
                <w:lang w:val="en-US" w:eastAsia="zh-CN"/>
              </w:rPr>
            </w:pPr>
            <w:r>
              <w:rPr>
                <w:rFonts w:hint="eastAsia" w:ascii="宋体" w:hAnsi="宋体"/>
                <w:kern w:val="0"/>
                <w:lang w:val="en-US" w:eastAsia="zh-CN"/>
              </w:rPr>
              <w:t>及</w:t>
            </w:r>
          </w:p>
          <w:p>
            <w:pPr>
              <w:widowControl/>
              <w:snapToGrid w:val="0"/>
              <w:jc w:val="center"/>
              <w:rPr>
                <w:rFonts w:hint="eastAsia" w:ascii="宋体" w:hAnsi="宋体" w:eastAsia="宋体"/>
                <w:kern w:val="0"/>
                <w:lang w:val="en-US" w:eastAsia="zh-CN"/>
              </w:rPr>
            </w:pPr>
            <w:r>
              <w:rPr>
                <w:rFonts w:hint="eastAsia" w:ascii="宋体" w:hAnsi="宋体"/>
                <w:kern w:val="0"/>
                <w:lang w:val="en-US" w:eastAsia="zh-CN"/>
              </w:rPr>
              <w:t>注意事项</w:t>
            </w:r>
          </w:p>
        </w:tc>
        <w:tc>
          <w:tcPr>
            <w:tcW w:w="7412" w:type="dxa"/>
            <w:tcBorders>
              <w:top w:val="single" w:color="000000" w:sz="4" w:space="0"/>
              <w:left w:val="nil"/>
              <w:bottom w:val="single" w:color="000000" w:sz="4" w:space="0"/>
              <w:right w:val="single" w:color="000000" w:sz="4" w:space="0"/>
            </w:tcBorders>
            <w:vAlign w:val="center"/>
          </w:tcPr>
          <w:p>
            <w:pPr>
              <w:widowControl/>
              <w:snapToGrid w:val="0"/>
              <w:jc w:val="left"/>
              <w:rPr>
                <w:rFonts w:hint="default"/>
                <w:kern w:val="0"/>
                <w:sz w:val="20"/>
              </w:rPr>
            </w:pPr>
            <w:r>
              <w:rPr>
                <w:rFonts w:hint="eastAsia" w:ascii="宋体" w:hAnsi="宋体"/>
                <w:kern w:val="0"/>
              </w:rPr>
              <w:t>中资银行按照宏观审慎管理模式借用外债。外国银行（港、澳、台地区银行比照适用）境内分行，除特殊说明外，相关政策安排比照境内法人外资银行办理。2018年1月12日以前，外资银行可在短期外债余额指标管理和宏观审慎管理模式下任选一种模式适用。2018年1月12日以后，外资银行自动适用宏观审慎管理模式</w:t>
            </w:r>
            <w:r>
              <w:rPr>
                <w:rFonts w:hint="eastAsia" w:ascii="宋体" w:hAnsi="宋体"/>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jc w:val="center"/>
        </w:trPr>
        <w:tc>
          <w:tcPr>
            <w:tcW w:w="1093" w:type="dxa"/>
            <w:tcBorders>
              <w:top w:val="single" w:color="000000" w:sz="4" w:space="0"/>
              <w:left w:val="single" w:color="000000" w:sz="4" w:space="0"/>
              <w:bottom w:val="single" w:color="000000" w:sz="4" w:space="0"/>
              <w:right w:val="single" w:color="000000" w:sz="4" w:space="0"/>
            </w:tcBorders>
            <w:vAlign w:val="center"/>
          </w:tcPr>
          <w:p>
            <w:pPr>
              <w:widowControl/>
              <w:snapToGrid w:val="0"/>
              <w:jc w:val="left"/>
              <w:rPr>
                <w:rFonts w:hint="default"/>
                <w:kern w:val="0"/>
                <w:sz w:val="20"/>
              </w:rPr>
            </w:pPr>
            <w:r>
              <w:rPr>
                <w:rFonts w:ascii="宋体" w:hAnsi="宋体"/>
                <w:kern w:val="0"/>
              </w:rPr>
              <w:t>办理材料</w:t>
            </w:r>
          </w:p>
        </w:tc>
        <w:tc>
          <w:tcPr>
            <w:tcW w:w="7412" w:type="dxa"/>
            <w:tcBorders>
              <w:top w:val="single" w:color="000000" w:sz="4" w:space="0"/>
              <w:left w:val="nil"/>
              <w:bottom w:val="single" w:color="000000" w:sz="4" w:space="0"/>
              <w:right w:val="single" w:color="000000" w:sz="4" w:space="0"/>
            </w:tcBorders>
            <w:vAlign w:val="center"/>
          </w:tcPr>
          <w:p>
            <w:pPr>
              <w:widowControl/>
              <w:snapToGrid w:val="0"/>
              <w:jc w:val="left"/>
              <w:rPr>
                <w:rFonts w:hint="eastAsia" w:eastAsia="宋体"/>
                <w:kern w:val="0"/>
                <w:sz w:val="20"/>
                <w:lang w:val="en-US" w:eastAsia="zh-CN"/>
              </w:rPr>
            </w:pPr>
            <w:r>
              <w:rPr>
                <w:rFonts w:hint="eastAsia" w:ascii="宋体" w:hAnsi="宋体"/>
                <w:kern w:val="0"/>
                <w:lang w:val="en-US" w:eastAsia="zh-CN"/>
              </w:rPr>
              <w:t>外汇局负责办理数据统计,事后监测,不做事前审批。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1" w:hRule="atLeast"/>
          <w:jc w:val="center"/>
        </w:trPr>
        <w:tc>
          <w:tcPr>
            <w:tcW w:w="1093" w:type="dxa"/>
            <w:tcBorders>
              <w:top w:val="single" w:color="000000" w:sz="4" w:space="0"/>
              <w:left w:val="single" w:color="000000" w:sz="4" w:space="0"/>
              <w:bottom w:val="single" w:color="000000" w:sz="4" w:space="0"/>
              <w:right w:val="single" w:color="000000" w:sz="4" w:space="0"/>
            </w:tcBorders>
            <w:vAlign w:val="center"/>
          </w:tcPr>
          <w:p>
            <w:pPr>
              <w:widowControl/>
              <w:snapToGrid w:val="0"/>
              <w:jc w:val="left"/>
              <w:rPr>
                <w:rFonts w:hint="default"/>
                <w:kern w:val="0"/>
                <w:sz w:val="20"/>
              </w:rPr>
            </w:pPr>
            <w:r>
              <w:rPr>
                <w:rFonts w:ascii="宋体" w:hAnsi="宋体"/>
                <w:kern w:val="0"/>
              </w:rPr>
              <w:t>办理地点</w:t>
            </w:r>
          </w:p>
        </w:tc>
        <w:tc>
          <w:tcPr>
            <w:tcW w:w="7412" w:type="dxa"/>
            <w:tcBorders>
              <w:top w:val="single" w:color="000000" w:sz="4" w:space="0"/>
              <w:left w:val="nil"/>
              <w:bottom w:val="single" w:color="000000" w:sz="4" w:space="0"/>
              <w:right w:val="single" w:color="000000" w:sz="4" w:space="0"/>
            </w:tcBorders>
            <w:vAlign w:val="top"/>
          </w:tcPr>
          <w:p>
            <w:pPr>
              <w:widowControl/>
              <w:snapToGrid w:val="0"/>
              <w:jc w:val="left"/>
              <w:rPr>
                <w:rFonts w:hint="default"/>
                <w:kern w:val="0"/>
              </w:rPr>
            </w:pPr>
            <w:r>
              <w:rPr>
                <w:rFonts w:ascii="宋体" w:hAnsi="宋体"/>
                <w:kern w:val="0"/>
              </w:rPr>
              <w:t>国家外汇管理局青海省分局外汇管理处资本科（西宁市昆仑路3号人民银行政务大厅）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jc w:val="center"/>
        </w:trPr>
        <w:tc>
          <w:tcPr>
            <w:tcW w:w="1093" w:type="dxa"/>
            <w:tcBorders>
              <w:top w:val="single" w:color="000000" w:sz="4" w:space="0"/>
              <w:left w:val="single" w:color="000000" w:sz="4" w:space="0"/>
              <w:bottom w:val="single" w:color="000000" w:sz="4" w:space="0"/>
              <w:right w:val="single" w:color="000000" w:sz="4" w:space="0"/>
            </w:tcBorders>
            <w:vAlign w:val="center"/>
          </w:tcPr>
          <w:p>
            <w:pPr>
              <w:widowControl/>
              <w:snapToGrid w:val="0"/>
              <w:jc w:val="left"/>
              <w:rPr>
                <w:rFonts w:hint="default"/>
                <w:kern w:val="0"/>
                <w:sz w:val="20"/>
              </w:rPr>
            </w:pPr>
            <w:r>
              <w:rPr>
                <w:rFonts w:ascii="宋体" w:hAnsi="宋体"/>
                <w:kern w:val="0"/>
              </w:rPr>
              <w:t>办理时间</w:t>
            </w:r>
          </w:p>
          <w:p>
            <w:pPr>
              <w:widowControl/>
              <w:spacing w:line="271" w:lineRule="auto"/>
              <w:jc w:val="center"/>
              <w:rPr>
                <w:rFonts w:hint="default" w:ascii="Times New Roman" w:eastAsia="Times New Roman"/>
                <w:b/>
                <w:kern w:val="0"/>
              </w:rPr>
            </w:pPr>
          </w:p>
        </w:tc>
        <w:tc>
          <w:tcPr>
            <w:tcW w:w="7412" w:type="dxa"/>
            <w:tcBorders>
              <w:top w:val="single" w:color="000000" w:sz="4" w:space="0"/>
              <w:left w:val="nil"/>
              <w:bottom w:val="single" w:color="000000" w:sz="4" w:space="0"/>
              <w:right w:val="single" w:color="000000" w:sz="4" w:space="0"/>
            </w:tcBorders>
            <w:vAlign w:val="top"/>
          </w:tcPr>
          <w:p>
            <w:pPr>
              <w:widowControl/>
              <w:snapToGrid w:val="0"/>
              <w:jc w:val="left"/>
              <w:rPr>
                <w:rFonts w:hint="default"/>
                <w:kern w:val="0"/>
              </w:rPr>
            </w:pPr>
            <w:r>
              <w:rPr>
                <w:rFonts w:ascii="宋体" w:hAnsi="宋体"/>
                <w:kern w:val="0"/>
              </w:rPr>
              <w:t>周一至周五（法定节假日除外）</w:t>
            </w:r>
          </w:p>
          <w:p>
            <w:pPr>
              <w:widowControl/>
              <w:snapToGrid w:val="0"/>
              <w:jc w:val="left"/>
              <w:rPr>
                <w:rFonts w:hint="default"/>
                <w:kern w:val="0"/>
                <w:sz w:val="20"/>
              </w:rPr>
            </w:pPr>
            <w:r>
              <w:rPr>
                <w:rFonts w:ascii="宋体" w:hAnsi="宋体"/>
                <w:kern w:val="0"/>
              </w:rPr>
              <w:t>上午8：30-11：30，下午2：00-5：30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jc w:val="center"/>
        </w:trPr>
        <w:tc>
          <w:tcPr>
            <w:tcW w:w="1093" w:type="dxa"/>
            <w:tcBorders>
              <w:top w:val="single" w:color="000000" w:sz="4" w:space="0"/>
              <w:left w:val="single" w:color="000000" w:sz="4" w:space="0"/>
              <w:bottom w:val="single" w:color="000000" w:sz="4" w:space="0"/>
              <w:right w:val="single" w:color="000000" w:sz="4" w:space="0"/>
            </w:tcBorders>
            <w:vAlign w:val="center"/>
          </w:tcPr>
          <w:p>
            <w:pPr>
              <w:widowControl/>
              <w:snapToGrid w:val="0"/>
              <w:jc w:val="left"/>
              <w:rPr>
                <w:rFonts w:hint="default"/>
                <w:kern w:val="0"/>
                <w:sz w:val="20"/>
              </w:rPr>
            </w:pPr>
            <w:r>
              <w:rPr>
                <w:rFonts w:ascii="宋体" w:hAnsi="宋体"/>
                <w:kern w:val="0"/>
              </w:rPr>
              <w:t>联系电话</w:t>
            </w:r>
          </w:p>
        </w:tc>
        <w:tc>
          <w:tcPr>
            <w:tcW w:w="7412" w:type="dxa"/>
            <w:tcBorders>
              <w:top w:val="single" w:color="000000" w:sz="4" w:space="0"/>
              <w:left w:val="nil"/>
              <w:bottom w:val="single" w:color="000000" w:sz="4" w:space="0"/>
              <w:right w:val="single" w:color="000000" w:sz="4" w:space="0"/>
            </w:tcBorders>
            <w:vAlign w:val="top"/>
          </w:tcPr>
          <w:p>
            <w:pPr>
              <w:widowControl/>
              <w:snapToGrid w:val="0"/>
              <w:jc w:val="left"/>
              <w:rPr>
                <w:rFonts w:hint="default"/>
                <w:kern w:val="0"/>
              </w:rPr>
            </w:pPr>
            <w:r>
              <w:rPr>
                <w:rFonts w:ascii="宋体" w:hAnsi="宋体"/>
                <w:kern w:val="0"/>
              </w:rPr>
              <w:t>0971-6126143</w:t>
            </w:r>
          </w:p>
        </w:tc>
      </w:tr>
    </w:tbl>
    <w:p>
      <w:pPr>
        <w:widowControl/>
        <w:rPr>
          <w:rFonts w:hint="default"/>
          <w:kern w:val="0"/>
        </w:rPr>
      </w:pPr>
    </w:p>
    <w:p>
      <w:pPr>
        <w:widowControl/>
        <w:rPr>
          <w:rFonts w:hint="default"/>
          <w:kern w:val="0"/>
        </w:rPr>
      </w:pPr>
    </w:p>
    <w:p>
      <w:pPr>
        <w:widowControl/>
        <w:rPr>
          <w:rFonts w:hint="default"/>
          <w:kern w:val="0"/>
        </w:rPr>
      </w:pPr>
    </w:p>
    <w:p>
      <w:pPr>
        <w:widowControl/>
        <w:rPr>
          <w:rFonts w:hint="default"/>
          <w:kern w:val="0"/>
        </w:rPr>
      </w:pPr>
    </w:p>
    <w:p>
      <w:pPr>
        <w:widowControl/>
        <w:rPr>
          <w:rFonts w:hint="default"/>
          <w:kern w:val="0"/>
        </w:rPr>
      </w:pPr>
    </w:p>
    <w:p>
      <w:pPr>
        <w:widowControl/>
        <w:rPr>
          <w:rFonts w:hint="default"/>
          <w:kern w:val="0"/>
        </w:rPr>
      </w:pPr>
    </w:p>
    <w:p>
      <w:pPr>
        <w:widowControl/>
        <w:rPr>
          <w:rFonts w:hint="default"/>
          <w:kern w:val="0"/>
        </w:rPr>
      </w:pPr>
    </w:p>
    <w:p>
      <w:pPr>
        <w:widowControl/>
        <w:rPr>
          <w:rFonts w:hint="default"/>
          <w:kern w:val="0"/>
        </w:rPr>
      </w:pPr>
    </w:p>
    <w:p>
      <w:pPr>
        <w:widowControl/>
        <w:rPr>
          <w:rFonts w:hint="default"/>
          <w:kern w:val="0"/>
        </w:rPr>
      </w:pPr>
    </w:p>
    <w:p>
      <w:pPr>
        <w:widowControl/>
        <w:rPr>
          <w:rFonts w:hint="default"/>
          <w:kern w:val="0"/>
        </w:rPr>
      </w:pPr>
    </w:p>
    <w:p>
      <w:pPr>
        <w:widowControl/>
        <w:rPr>
          <w:rFonts w:hint="default"/>
          <w:kern w:val="0"/>
        </w:rPr>
      </w:pPr>
    </w:p>
    <w:p>
      <w:pPr>
        <w:widowControl/>
        <w:rPr>
          <w:rFonts w:hint="default"/>
          <w:kern w:val="0"/>
        </w:rPr>
      </w:pPr>
    </w:p>
    <w:p>
      <w:pPr>
        <w:widowControl/>
        <w:rPr>
          <w:rFonts w:hint="default"/>
          <w:kern w:val="0"/>
        </w:rPr>
      </w:pPr>
    </w:p>
    <w:p>
      <w:pPr>
        <w:widowControl/>
        <w:rPr>
          <w:rFonts w:hint="default"/>
          <w:kern w:val="0"/>
        </w:rPr>
      </w:pPr>
    </w:p>
    <w:p>
      <w:pPr>
        <w:widowControl/>
        <w:rPr>
          <w:rFonts w:hint="default"/>
          <w:kern w:val="0"/>
        </w:rPr>
      </w:pPr>
    </w:p>
    <w:p>
      <w:pPr>
        <w:widowControl/>
        <w:rPr>
          <w:rFonts w:hint="default"/>
          <w:kern w:val="0"/>
        </w:rPr>
      </w:pPr>
    </w:p>
    <w:p>
      <w:pPr>
        <w:widowControl/>
        <w:rPr>
          <w:rFonts w:hint="default"/>
          <w:kern w:val="0"/>
        </w:rPr>
      </w:pPr>
    </w:p>
    <w:p>
      <w:pPr>
        <w:widowControl/>
        <w:rPr>
          <w:rFonts w:hint="default"/>
          <w:kern w:val="0"/>
        </w:rPr>
      </w:pPr>
    </w:p>
    <w:tbl>
      <w:tblPr>
        <w:tblStyle w:val="16"/>
        <w:tblW w:w="850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093"/>
        <w:gridCol w:w="741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jc w:val="center"/>
        </w:trPr>
        <w:tc>
          <w:tcPr>
            <w:tcW w:w="1093" w:type="dxa"/>
            <w:tcBorders>
              <w:top w:val="single" w:color="000000" w:sz="4" w:space="0"/>
              <w:left w:val="single" w:color="000000" w:sz="4" w:space="0"/>
              <w:bottom w:val="single" w:color="000000" w:sz="4" w:space="0"/>
              <w:right w:val="single" w:color="000000" w:sz="4" w:space="0"/>
            </w:tcBorders>
            <w:vAlign w:val="center"/>
          </w:tcPr>
          <w:p>
            <w:pPr>
              <w:widowControl/>
              <w:snapToGrid w:val="0"/>
              <w:jc w:val="left"/>
              <w:rPr>
                <w:rFonts w:hint="default"/>
                <w:kern w:val="0"/>
                <w:sz w:val="20"/>
              </w:rPr>
            </w:pPr>
            <w:r>
              <w:rPr>
                <w:rFonts w:ascii="宋体" w:hAnsi="宋体"/>
                <w:kern w:val="0"/>
              </w:rPr>
              <w:t>业务名称</w:t>
            </w:r>
          </w:p>
        </w:tc>
        <w:tc>
          <w:tcPr>
            <w:tcW w:w="7412" w:type="dxa"/>
            <w:tcBorders>
              <w:top w:val="single" w:color="000000" w:sz="4" w:space="0"/>
              <w:left w:val="nil"/>
              <w:bottom w:val="single" w:color="000000" w:sz="4" w:space="0"/>
              <w:right w:val="single" w:color="000000" w:sz="4" w:space="0"/>
            </w:tcBorders>
            <w:vAlign w:val="center"/>
          </w:tcPr>
          <w:p>
            <w:pPr>
              <w:widowControl/>
              <w:snapToGrid w:val="0"/>
              <w:jc w:val="left"/>
              <w:rPr>
                <w:rFonts w:hint="default"/>
                <w:b/>
                <w:kern w:val="0"/>
                <w:sz w:val="20"/>
              </w:rPr>
            </w:pPr>
            <w:r>
              <w:rPr>
                <w:rFonts w:ascii="宋体" w:hAnsi="宋体"/>
                <w:b/>
                <w:kern w:val="0"/>
              </w:rPr>
              <w:t>（</w:t>
            </w:r>
            <w:r>
              <w:rPr>
                <w:rFonts w:hint="eastAsia" w:ascii="宋体" w:hAnsi="宋体"/>
                <w:b/>
                <w:kern w:val="0"/>
                <w:lang w:eastAsia="zh-CN"/>
              </w:rPr>
              <w:t>四</w:t>
            </w:r>
            <w:r>
              <w:rPr>
                <w:rFonts w:ascii="宋体" w:hAnsi="宋体"/>
                <w:b/>
                <w:kern w:val="0"/>
              </w:rPr>
              <w:t>）</w:t>
            </w:r>
            <w:r>
              <w:rPr>
                <w:rFonts w:hint="eastAsia" w:ascii="宋体" w:hAnsi="宋体"/>
                <w:b/>
                <w:kern w:val="0"/>
              </w:rPr>
              <w:t>非银行债务人办理非资金划转类提款备案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jc w:val="center"/>
        </w:trPr>
        <w:tc>
          <w:tcPr>
            <w:tcW w:w="1093" w:type="dxa"/>
            <w:tcBorders>
              <w:top w:val="single" w:color="000000" w:sz="4" w:space="0"/>
              <w:left w:val="single" w:color="000000" w:sz="4" w:space="0"/>
              <w:bottom w:val="single" w:color="000000" w:sz="4" w:space="0"/>
              <w:right w:val="single" w:color="000000" w:sz="4" w:space="0"/>
            </w:tcBorders>
            <w:vAlign w:val="center"/>
          </w:tcPr>
          <w:p>
            <w:pPr>
              <w:widowControl/>
              <w:snapToGrid w:val="0"/>
              <w:jc w:val="left"/>
              <w:rPr>
                <w:rFonts w:hint="default"/>
                <w:kern w:val="0"/>
                <w:sz w:val="20"/>
              </w:rPr>
            </w:pPr>
            <w:r>
              <w:rPr>
                <w:rFonts w:ascii="宋体" w:hAnsi="宋体"/>
                <w:kern w:val="0"/>
              </w:rPr>
              <w:t>设定依据</w:t>
            </w:r>
          </w:p>
          <w:p>
            <w:pPr>
              <w:widowControl/>
              <w:spacing w:line="271" w:lineRule="auto"/>
              <w:jc w:val="center"/>
              <w:rPr>
                <w:rFonts w:hint="default" w:ascii="Times New Roman" w:eastAsia="Times New Roman"/>
                <w:b/>
                <w:kern w:val="0"/>
              </w:rPr>
            </w:pPr>
          </w:p>
        </w:tc>
        <w:tc>
          <w:tcPr>
            <w:tcW w:w="7412" w:type="dxa"/>
            <w:tcBorders>
              <w:top w:val="single" w:color="000000" w:sz="4" w:space="0"/>
              <w:left w:val="nil"/>
              <w:bottom w:val="single" w:color="000000" w:sz="4" w:space="0"/>
              <w:right w:val="single" w:color="000000" w:sz="4" w:space="0"/>
            </w:tcBorders>
            <w:vAlign w:val="center"/>
          </w:tcPr>
          <w:p>
            <w:pPr>
              <w:widowControl/>
              <w:snapToGrid w:val="0"/>
              <w:jc w:val="left"/>
              <w:rPr>
                <w:rFonts w:hint="default" w:ascii="宋体" w:hAnsi="宋体"/>
                <w:kern w:val="0"/>
              </w:rPr>
            </w:pPr>
            <w:r>
              <w:rPr>
                <w:rFonts w:hint="default" w:ascii="宋体" w:hAnsi="宋体"/>
                <w:kern w:val="0"/>
              </w:rPr>
              <w:t>1.《中华人民共和国外汇管理条例》（国务院令第532</w:t>
            </w:r>
            <w:r>
              <w:rPr>
                <w:rFonts w:hint="eastAsia" w:ascii="宋体" w:hAnsi="宋体"/>
                <w:kern w:val="0"/>
              </w:rPr>
              <w:t>号）。</w:t>
            </w:r>
          </w:p>
          <w:p>
            <w:pPr>
              <w:widowControl/>
              <w:snapToGrid w:val="0"/>
              <w:jc w:val="left"/>
              <w:rPr>
                <w:rFonts w:hint="default" w:ascii="宋体" w:hAnsi="宋体"/>
                <w:kern w:val="0"/>
              </w:rPr>
            </w:pPr>
            <w:r>
              <w:rPr>
                <w:rFonts w:hint="default" w:ascii="宋体" w:hAnsi="宋体"/>
                <w:kern w:val="0"/>
              </w:rPr>
              <w:t>2.《外债统计监测暂行规定》（1987年公布）</w:t>
            </w:r>
            <w:r>
              <w:rPr>
                <w:rFonts w:hint="eastAsia" w:ascii="宋体" w:hAnsi="宋体"/>
                <w:kern w:val="0"/>
              </w:rPr>
              <w:t>。</w:t>
            </w:r>
          </w:p>
          <w:p>
            <w:pPr>
              <w:widowControl/>
              <w:snapToGrid w:val="0"/>
              <w:jc w:val="left"/>
              <w:rPr>
                <w:rFonts w:hint="default" w:ascii="宋体" w:hAnsi="宋体"/>
                <w:kern w:val="0"/>
              </w:rPr>
            </w:pPr>
            <w:r>
              <w:rPr>
                <w:rFonts w:hint="default" w:ascii="宋体" w:hAnsi="宋体"/>
                <w:kern w:val="0"/>
              </w:rPr>
              <w:t>3.</w:t>
            </w:r>
            <w:r>
              <w:rPr>
                <w:rFonts w:hint="eastAsia" w:ascii="宋体" w:hAnsi="宋体"/>
                <w:kern w:val="0"/>
              </w:rPr>
              <w:t>《国家外汇管理局关于推广资本项目信息系统的通知》（汇发〔2013〕17号）。</w:t>
            </w:r>
          </w:p>
          <w:p>
            <w:pPr>
              <w:widowControl/>
              <w:snapToGrid w:val="0"/>
              <w:jc w:val="left"/>
              <w:rPr>
                <w:rFonts w:hint="default" w:ascii="宋体" w:hAnsi="宋体"/>
                <w:kern w:val="0"/>
              </w:rPr>
            </w:pPr>
            <w:r>
              <w:rPr>
                <w:rFonts w:hint="default" w:ascii="宋体" w:hAnsi="宋体"/>
                <w:kern w:val="0"/>
              </w:rPr>
              <w:t>4.《国家外汇管理局关于发布〈外债登记管理办法〉的通知》（汇发〔2013〕19号）</w:t>
            </w:r>
            <w:r>
              <w:rPr>
                <w:rFonts w:hint="eastAsia" w:ascii="宋体" w:hAnsi="宋体"/>
                <w:kern w:val="0"/>
              </w:rPr>
              <w:t>。</w:t>
            </w:r>
          </w:p>
          <w:p>
            <w:pPr>
              <w:widowControl/>
              <w:snapToGrid w:val="0"/>
              <w:jc w:val="left"/>
              <w:rPr>
                <w:rFonts w:hint="default" w:ascii="宋体" w:hAnsi="宋体"/>
                <w:kern w:val="0"/>
              </w:rPr>
            </w:pPr>
            <w:r>
              <w:rPr>
                <w:rFonts w:hint="default" w:ascii="宋体" w:hAnsi="宋体"/>
                <w:kern w:val="0"/>
              </w:rPr>
              <w:t>5.</w:t>
            </w:r>
            <w:r>
              <w:rPr>
                <w:rFonts w:hint="eastAsia" w:ascii="宋体" w:hAnsi="宋体"/>
                <w:kern w:val="0"/>
              </w:rPr>
              <w:t>《中国人民银行关于全口径跨境融资宏观审慎管理有关事宜的通知》（银发〔</w:t>
            </w:r>
            <w:r>
              <w:rPr>
                <w:rFonts w:hint="default" w:ascii="宋体" w:hAnsi="宋体"/>
                <w:kern w:val="0"/>
              </w:rPr>
              <w:t>2017</w:t>
            </w:r>
            <w:r>
              <w:rPr>
                <w:rFonts w:hint="eastAsia" w:ascii="宋体" w:hAnsi="宋体"/>
                <w:kern w:val="0"/>
              </w:rPr>
              <w:t>〕</w:t>
            </w:r>
            <w:r>
              <w:rPr>
                <w:rFonts w:hint="default" w:ascii="宋体" w:hAnsi="宋体"/>
                <w:kern w:val="0"/>
              </w:rPr>
              <w:t>9</w:t>
            </w:r>
            <w:r>
              <w:rPr>
                <w:rFonts w:hint="eastAsia" w:ascii="宋体" w:hAnsi="宋体"/>
                <w:kern w:val="0"/>
              </w:rPr>
              <w:t>号）。</w:t>
            </w:r>
          </w:p>
          <w:p>
            <w:pPr>
              <w:widowControl/>
              <w:snapToGrid w:val="0"/>
              <w:jc w:val="left"/>
              <w:rPr>
                <w:rFonts w:hint="default" w:ascii="宋体" w:hAnsi="宋体"/>
                <w:kern w:val="0"/>
              </w:rPr>
            </w:pPr>
            <w:r>
              <w:rPr>
                <w:rFonts w:hint="eastAsia" w:ascii="宋体" w:hAnsi="宋体"/>
                <w:kern w:val="0"/>
              </w:rPr>
              <w:t>6.</w:t>
            </w:r>
            <w:r>
              <w:rPr>
                <w:rFonts w:hint="default" w:ascii="宋体" w:hAnsi="宋体"/>
                <w:kern w:val="0"/>
              </w:rPr>
              <w:t>其他相关法规</w:t>
            </w:r>
            <w:r>
              <w:rPr>
                <w:rFonts w:hint="eastAsia" w:ascii="宋体" w:hAnsi="宋体"/>
                <w:kern w:val="0"/>
              </w:rPr>
              <w:t>。</w:t>
            </w:r>
          </w:p>
          <w:p>
            <w:pPr>
              <w:widowControl/>
              <w:snapToGrid w:val="0"/>
              <w:jc w:val="left"/>
              <w:rPr>
                <w:rFonts w:hint="default"/>
                <w:kern w:val="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jc w:val="center"/>
        </w:trPr>
        <w:tc>
          <w:tcPr>
            <w:tcW w:w="1093"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rFonts w:hint="eastAsia" w:ascii="宋体" w:hAnsi="宋体"/>
                <w:kern w:val="0"/>
                <w:lang w:val="en-US" w:eastAsia="zh-CN"/>
              </w:rPr>
            </w:pPr>
            <w:r>
              <w:rPr>
                <w:rFonts w:ascii="宋体" w:hAnsi="宋体"/>
                <w:kern w:val="0"/>
              </w:rPr>
              <w:t>申请条件</w:t>
            </w:r>
            <w:r>
              <w:rPr>
                <w:rFonts w:hint="eastAsia" w:ascii="宋体" w:hAnsi="宋体"/>
                <w:kern w:val="0"/>
                <w:lang w:val="en-US" w:eastAsia="zh-CN"/>
              </w:rPr>
              <w:t>及</w:t>
            </w:r>
          </w:p>
          <w:p>
            <w:pPr>
              <w:widowControl/>
              <w:snapToGrid w:val="0"/>
              <w:jc w:val="center"/>
              <w:rPr>
                <w:rFonts w:hint="default"/>
                <w:kern w:val="0"/>
                <w:sz w:val="20"/>
              </w:rPr>
            </w:pPr>
            <w:r>
              <w:rPr>
                <w:rFonts w:hint="eastAsia" w:ascii="宋体" w:hAnsi="宋体"/>
                <w:kern w:val="0"/>
                <w:lang w:val="en-US" w:eastAsia="zh-CN"/>
              </w:rPr>
              <w:t>注意事项</w:t>
            </w:r>
          </w:p>
        </w:tc>
        <w:tc>
          <w:tcPr>
            <w:tcW w:w="7412" w:type="dxa"/>
            <w:tcBorders>
              <w:top w:val="single" w:color="000000" w:sz="4" w:space="0"/>
              <w:left w:val="nil"/>
              <w:bottom w:val="single" w:color="000000" w:sz="4" w:space="0"/>
              <w:right w:val="single" w:color="000000" w:sz="4" w:space="0"/>
            </w:tcBorders>
            <w:vAlign w:val="center"/>
          </w:tcPr>
          <w:p>
            <w:pPr>
              <w:widowControl/>
              <w:snapToGrid w:val="0"/>
              <w:jc w:val="left"/>
              <w:rPr>
                <w:rFonts w:hint="default" w:ascii="宋体" w:hAnsi="宋体"/>
                <w:kern w:val="0"/>
              </w:rPr>
            </w:pPr>
            <w:r>
              <w:rPr>
                <w:rFonts w:hint="default" w:ascii="宋体" w:hAnsi="宋体"/>
                <w:kern w:val="0"/>
              </w:rPr>
              <w:t>1.经核实的提款记录应及时录入</w:t>
            </w:r>
            <w:r>
              <w:rPr>
                <w:rFonts w:hint="eastAsia" w:ascii="宋体" w:hAnsi="宋体"/>
                <w:kern w:val="0"/>
              </w:rPr>
              <w:t>资本项目信息系统</w:t>
            </w:r>
            <w:r>
              <w:rPr>
                <w:rFonts w:hint="default" w:ascii="宋体" w:hAnsi="宋体"/>
                <w:kern w:val="0"/>
              </w:rPr>
              <w:t>，作为今后还本付息的依据。</w:t>
            </w:r>
          </w:p>
          <w:p>
            <w:pPr>
              <w:widowControl/>
              <w:snapToGrid w:val="0"/>
              <w:jc w:val="left"/>
              <w:rPr>
                <w:rFonts w:hint="default" w:ascii="宋体" w:hAnsi="宋体"/>
                <w:kern w:val="0"/>
              </w:rPr>
            </w:pPr>
            <w:r>
              <w:rPr>
                <w:rFonts w:hint="default" w:ascii="宋体" w:hAnsi="宋体"/>
                <w:kern w:val="0"/>
              </w:rPr>
              <w:t>2.除无法通过境内银行向外汇局反馈数据的情形外，非银行债务人可直接到银行办理外债的提款、偿还业务，并正确进行国际收支申报，外汇局直接从银行采集相关数据。</w:t>
            </w:r>
          </w:p>
          <w:p>
            <w:pPr>
              <w:widowControl/>
              <w:snapToGrid w:val="0"/>
              <w:jc w:val="left"/>
              <w:rPr>
                <w:rFonts w:hint="default"/>
                <w:kern w:val="0"/>
                <w:sz w:val="20"/>
              </w:rPr>
            </w:pPr>
            <w:r>
              <w:rPr>
                <w:rFonts w:hint="default" w:ascii="宋体" w:hAnsi="宋体"/>
                <w:kern w:val="0"/>
              </w:rPr>
              <w:t>3.除银行以外的其他境内机构，能实现与</w:t>
            </w:r>
            <w:r>
              <w:rPr>
                <w:rFonts w:hint="eastAsia" w:ascii="宋体" w:hAnsi="宋体"/>
                <w:kern w:val="0"/>
              </w:rPr>
              <w:t>资本项目信息系统</w:t>
            </w:r>
            <w:r>
              <w:rPr>
                <w:rFonts w:hint="default" w:ascii="宋体" w:hAnsi="宋体"/>
                <w:kern w:val="0"/>
              </w:rPr>
              <w:t>连接的，经外汇局批准可按规定直接报送外债项下账户、提款、使用、偿还和结售汇等数据。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jc w:val="center"/>
        </w:trPr>
        <w:tc>
          <w:tcPr>
            <w:tcW w:w="1093" w:type="dxa"/>
            <w:tcBorders>
              <w:top w:val="single" w:color="000000" w:sz="4" w:space="0"/>
              <w:left w:val="single" w:color="000000" w:sz="4" w:space="0"/>
              <w:bottom w:val="single" w:color="000000" w:sz="4" w:space="0"/>
              <w:right w:val="single" w:color="000000" w:sz="4" w:space="0"/>
            </w:tcBorders>
            <w:vAlign w:val="center"/>
          </w:tcPr>
          <w:p>
            <w:pPr>
              <w:widowControl/>
              <w:snapToGrid w:val="0"/>
              <w:jc w:val="left"/>
              <w:rPr>
                <w:rFonts w:hint="default"/>
                <w:kern w:val="0"/>
                <w:sz w:val="20"/>
              </w:rPr>
            </w:pPr>
            <w:r>
              <w:rPr>
                <w:rFonts w:ascii="宋体" w:hAnsi="宋体"/>
                <w:kern w:val="0"/>
              </w:rPr>
              <w:t>办理材料</w:t>
            </w:r>
          </w:p>
        </w:tc>
        <w:tc>
          <w:tcPr>
            <w:tcW w:w="7412" w:type="dxa"/>
            <w:tcBorders>
              <w:top w:val="single" w:color="000000" w:sz="4" w:space="0"/>
              <w:left w:val="nil"/>
              <w:bottom w:val="single" w:color="000000" w:sz="4" w:space="0"/>
              <w:right w:val="single" w:color="000000" w:sz="4" w:space="0"/>
            </w:tcBorders>
            <w:vAlign w:val="center"/>
          </w:tcPr>
          <w:p>
            <w:pPr>
              <w:widowControl/>
              <w:snapToGrid w:val="0"/>
              <w:jc w:val="left"/>
              <w:rPr>
                <w:rFonts w:hint="eastAsia" w:ascii="宋体" w:hAnsi="宋体"/>
                <w:kern w:val="0"/>
              </w:rPr>
            </w:pPr>
            <w:r>
              <w:rPr>
                <w:rFonts w:hint="eastAsia" w:ascii="宋体" w:hAnsi="宋体"/>
                <w:kern w:val="0"/>
              </w:rPr>
              <w:t>1.申请书。</w:t>
            </w:r>
          </w:p>
          <w:p>
            <w:pPr>
              <w:widowControl/>
              <w:snapToGrid w:val="0"/>
              <w:jc w:val="left"/>
              <w:rPr>
                <w:rFonts w:hint="eastAsia" w:ascii="宋体" w:hAnsi="宋体"/>
                <w:kern w:val="0"/>
              </w:rPr>
            </w:pPr>
            <w:r>
              <w:rPr>
                <w:rFonts w:hint="eastAsia" w:ascii="宋体" w:hAnsi="宋体"/>
                <w:kern w:val="0"/>
              </w:rPr>
              <w:t>2.相关材料：</w:t>
            </w:r>
          </w:p>
          <w:p>
            <w:pPr>
              <w:widowControl/>
              <w:snapToGrid w:val="0"/>
              <w:jc w:val="left"/>
              <w:rPr>
                <w:rFonts w:hint="eastAsia" w:ascii="宋体" w:hAnsi="宋体"/>
                <w:kern w:val="0"/>
              </w:rPr>
            </w:pPr>
            <w:r>
              <w:rPr>
                <w:rFonts w:hint="eastAsia" w:ascii="宋体" w:hAnsi="宋体"/>
                <w:kern w:val="0"/>
              </w:rPr>
              <w:t>（1）经外汇局批准将债务收入存放境外的，应提供资金入账凭证。</w:t>
            </w:r>
          </w:p>
          <w:p>
            <w:pPr>
              <w:widowControl/>
              <w:snapToGrid w:val="0"/>
              <w:jc w:val="left"/>
              <w:rPr>
                <w:rFonts w:hint="eastAsia" w:ascii="宋体" w:hAnsi="宋体"/>
                <w:kern w:val="0"/>
              </w:rPr>
            </w:pPr>
            <w:r>
              <w:rPr>
                <w:rFonts w:hint="eastAsia" w:ascii="宋体" w:hAnsi="宋体"/>
                <w:kern w:val="0"/>
              </w:rPr>
              <w:t>（2）根据债务人指令由债权人在贷款项下直接办理对境内、外货物或服务提供商支付的，应提供交易合同、债权人付款确认通知等。</w:t>
            </w:r>
          </w:p>
          <w:p>
            <w:pPr>
              <w:widowControl/>
              <w:snapToGrid w:val="0"/>
              <w:jc w:val="left"/>
              <w:rPr>
                <w:rFonts w:hint="eastAsia" w:ascii="宋体" w:hAnsi="宋体"/>
                <w:kern w:val="0"/>
              </w:rPr>
            </w:pPr>
            <w:r>
              <w:rPr>
                <w:rFonts w:hint="eastAsia" w:ascii="宋体" w:hAnsi="宋体"/>
                <w:kern w:val="0"/>
              </w:rPr>
              <w:t>（3）以实物形式办理提款的，应提供已办理实物提款的证明材料（外债签约登记日期应在报关日期之前）。</w:t>
            </w:r>
          </w:p>
          <w:p>
            <w:pPr>
              <w:widowControl/>
              <w:snapToGrid w:val="0"/>
              <w:jc w:val="left"/>
              <w:rPr>
                <w:rFonts w:hint="eastAsia" w:ascii="宋体" w:hAnsi="宋体"/>
                <w:kern w:val="0"/>
              </w:rPr>
            </w:pPr>
            <w:r>
              <w:rPr>
                <w:rFonts w:hint="eastAsia" w:ascii="宋体" w:hAnsi="宋体"/>
                <w:kern w:val="0"/>
              </w:rPr>
              <w:t>（4）利息本金化的，应提供利息本金化协议或通知。</w:t>
            </w:r>
          </w:p>
          <w:p>
            <w:pPr>
              <w:widowControl/>
              <w:snapToGrid w:val="0"/>
              <w:jc w:val="left"/>
              <w:rPr>
                <w:rFonts w:hint="eastAsia" w:ascii="宋体" w:hAnsi="宋体"/>
                <w:kern w:val="0"/>
              </w:rPr>
            </w:pPr>
            <w:r>
              <w:rPr>
                <w:rFonts w:hint="eastAsia" w:ascii="宋体" w:hAnsi="宋体"/>
                <w:kern w:val="0"/>
              </w:rPr>
              <w:t>（5）其他可能导致外债提款额或外债本金余额发生变动但无法通过境内银行向外汇局反馈相关数据的情形，应提供证明交易真实性的材料。</w:t>
            </w:r>
          </w:p>
          <w:p>
            <w:pPr>
              <w:widowControl/>
              <w:snapToGrid w:val="0"/>
              <w:jc w:val="left"/>
              <w:rPr>
                <w:rFonts w:hint="default"/>
                <w:kern w:val="0"/>
                <w:sz w:val="20"/>
              </w:rPr>
            </w:pPr>
            <w:r>
              <w:rPr>
                <w:rFonts w:hint="eastAsia" w:ascii="宋体" w:hAnsi="宋体"/>
                <w:kern w:val="0"/>
              </w:rPr>
              <w:t>3.外汇局要求提供的其他材料。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1" w:hRule="atLeast"/>
          <w:jc w:val="center"/>
        </w:trPr>
        <w:tc>
          <w:tcPr>
            <w:tcW w:w="1093" w:type="dxa"/>
            <w:tcBorders>
              <w:top w:val="single" w:color="000000" w:sz="4" w:space="0"/>
              <w:left w:val="single" w:color="000000" w:sz="4" w:space="0"/>
              <w:bottom w:val="single" w:color="000000" w:sz="4" w:space="0"/>
              <w:right w:val="single" w:color="000000" w:sz="4" w:space="0"/>
            </w:tcBorders>
            <w:vAlign w:val="center"/>
          </w:tcPr>
          <w:p>
            <w:pPr>
              <w:widowControl/>
              <w:snapToGrid w:val="0"/>
              <w:jc w:val="left"/>
              <w:rPr>
                <w:rFonts w:hint="default"/>
                <w:kern w:val="0"/>
                <w:sz w:val="20"/>
              </w:rPr>
            </w:pPr>
            <w:r>
              <w:rPr>
                <w:rFonts w:ascii="宋体" w:hAnsi="宋体"/>
                <w:kern w:val="0"/>
              </w:rPr>
              <w:t>办理地点</w:t>
            </w:r>
          </w:p>
        </w:tc>
        <w:tc>
          <w:tcPr>
            <w:tcW w:w="7412" w:type="dxa"/>
            <w:tcBorders>
              <w:top w:val="single" w:color="000000" w:sz="4" w:space="0"/>
              <w:left w:val="nil"/>
              <w:bottom w:val="single" w:color="000000" w:sz="4" w:space="0"/>
              <w:right w:val="single" w:color="000000" w:sz="4" w:space="0"/>
            </w:tcBorders>
            <w:vAlign w:val="top"/>
          </w:tcPr>
          <w:p>
            <w:pPr>
              <w:widowControl/>
              <w:snapToGrid w:val="0"/>
              <w:jc w:val="left"/>
              <w:rPr>
                <w:rFonts w:hint="default"/>
                <w:kern w:val="0"/>
              </w:rPr>
            </w:pPr>
            <w:r>
              <w:rPr>
                <w:rFonts w:ascii="宋体" w:hAnsi="宋体"/>
                <w:kern w:val="0"/>
              </w:rPr>
              <w:t>国家外汇管理局青海省分局外汇管理处资本科（西宁市昆仑路3号人民银行政务大厅）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jc w:val="center"/>
        </w:trPr>
        <w:tc>
          <w:tcPr>
            <w:tcW w:w="1093" w:type="dxa"/>
            <w:tcBorders>
              <w:top w:val="single" w:color="000000" w:sz="4" w:space="0"/>
              <w:left w:val="single" w:color="000000" w:sz="4" w:space="0"/>
              <w:bottom w:val="single" w:color="000000" w:sz="4" w:space="0"/>
              <w:right w:val="single" w:color="000000" w:sz="4" w:space="0"/>
            </w:tcBorders>
            <w:vAlign w:val="center"/>
          </w:tcPr>
          <w:p>
            <w:pPr>
              <w:widowControl/>
              <w:snapToGrid w:val="0"/>
              <w:jc w:val="left"/>
              <w:rPr>
                <w:rFonts w:hint="default"/>
                <w:kern w:val="0"/>
                <w:sz w:val="20"/>
              </w:rPr>
            </w:pPr>
            <w:r>
              <w:rPr>
                <w:rFonts w:ascii="宋体" w:hAnsi="宋体"/>
                <w:kern w:val="0"/>
              </w:rPr>
              <w:t>办理时间</w:t>
            </w:r>
          </w:p>
          <w:p>
            <w:pPr>
              <w:widowControl/>
              <w:spacing w:line="271" w:lineRule="auto"/>
              <w:jc w:val="center"/>
              <w:rPr>
                <w:rFonts w:hint="default" w:ascii="Times New Roman" w:eastAsia="Times New Roman"/>
                <w:b/>
                <w:kern w:val="0"/>
              </w:rPr>
            </w:pPr>
          </w:p>
        </w:tc>
        <w:tc>
          <w:tcPr>
            <w:tcW w:w="7412" w:type="dxa"/>
            <w:tcBorders>
              <w:top w:val="single" w:color="000000" w:sz="4" w:space="0"/>
              <w:left w:val="nil"/>
              <w:bottom w:val="single" w:color="000000" w:sz="4" w:space="0"/>
              <w:right w:val="single" w:color="000000" w:sz="4" w:space="0"/>
            </w:tcBorders>
            <w:vAlign w:val="top"/>
          </w:tcPr>
          <w:p>
            <w:pPr>
              <w:widowControl/>
              <w:snapToGrid w:val="0"/>
              <w:jc w:val="left"/>
              <w:rPr>
                <w:rFonts w:hint="default"/>
                <w:kern w:val="0"/>
              </w:rPr>
            </w:pPr>
            <w:r>
              <w:rPr>
                <w:rFonts w:ascii="宋体" w:hAnsi="宋体"/>
                <w:kern w:val="0"/>
              </w:rPr>
              <w:t>周一至周五（法定节假日除外）</w:t>
            </w:r>
          </w:p>
          <w:p>
            <w:pPr>
              <w:widowControl/>
              <w:snapToGrid w:val="0"/>
              <w:jc w:val="left"/>
              <w:rPr>
                <w:rFonts w:hint="default"/>
                <w:kern w:val="0"/>
                <w:sz w:val="20"/>
              </w:rPr>
            </w:pPr>
            <w:r>
              <w:rPr>
                <w:rFonts w:ascii="宋体" w:hAnsi="宋体"/>
                <w:kern w:val="0"/>
              </w:rPr>
              <w:t>上午8：30-11：30，下午2：00-5：30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jc w:val="center"/>
        </w:trPr>
        <w:tc>
          <w:tcPr>
            <w:tcW w:w="1093" w:type="dxa"/>
            <w:tcBorders>
              <w:top w:val="single" w:color="000000" w:sz="4" w:space="0"/>
              <w:left w:val="single" w:color="000000" w:sz="4" w:space="0"/>
              <w:bottom w:val="single" w:color="000000" w:sz="4" w:space="0"/>
              <w:right w:val="single" w:color="000000" w:sz="4" w:space="0"/>
            </w:tcBorders>
            <w:vAlign w:val="center"/>
          </w:tcPr>
          <w:p>
            <w:pPr>
              <w:widowControl/>
              <w:snapToGrid w:val="0"/>
              <w:jc w:val="left"/>
              <w:rPr>
                <w:rFonts w:hint="default"/>
                <w:kern w:val="0"/>
                <w:sz w:val="20"/>
              </w:rPr>
            </w:pPr>
            <w:r>
              <w:rPr>
                <w:rFonts w:ascii="宋体" w:hAnsi="宋体"/>
                <w:kern w:val="0"/>
              </w:rPr>
              <w:t>联系电话</w:t>
            </w:r>
          </w:p>
        </w:tc>
        <w:tc>
          <w:tcPr>
            <w:tcW w:w="7412" w:type="dxa"/>
            <w:tcBorders>
              <w:top w:val="single" w:color="000000" w:sz="4" w:space="0"/>
              <w:left w:val="nil"/>
              <w:bottom w:val="single" w:color="000000" w:sz="4" w:space="0"/>
              <w:right w:val="single" w:color="000000" w:sz="4" w:space="0"/>
            </w:tcBorders>
            <w:vAlign w:val="top"/>
          </w:tcPr>
          <w:p>
            <w:pPr>
              <w:widowControl/>
              <w:snapToGrid w:val="0"/>
              <w:jc w:val="left"/>
              <w:rPr>
                <w:rFonts w:hint="default"/>
                <w:kern w:val="0"/>
              </w:rPr>
            </w:pPr>
            <w:r>
              <w:rPr>
                <w:rFonts w:ascii="宋体" w:hAnsi="宋体"/>
                <w:kern w:val="0"/>
              </w:rPr>
              <w:t>0971-6126143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jc w:val="center"/>
        </w:trPr>
        <w:tc>
          <w:tcPr>
            <w:tcW w:w="1093" w:type="dxa"/>
            <w:tcBorders>
              <w:top w:val="single" w:color="000000" w:sz="4" w:space="0"/>
              <w:left w:val="single" w:color="000000" w:sz="4" w:space="0"/>
              <w:bottom w:val="single" w:color="000000" w:sz="4" w:space="0"/>
              <w:right w:val="single" w:color="000000" w:sz="4" w:space="0"/>
            </w:tcBorders>
            <w:vAlign w:val="center"/>
          </w:tcPr>
          <w:p>
            <w:pPr>
              <w:widowControl/>
              <w:snapToGrid w:val="0"/>
              <w:jc w:val="left"/>
              <w:rPr>
                <w:rFonts w:hint="default"/>
                <w:kern w:val="0"/>
                <w:sz w:val="20"/>
              </w:rPr>
            </w:pPr>
            <w:r>
              <w:rPr>
                <w:rFonts w:ascii="宋体" w:hAnsi="宋体"/>
                <w:kern w:val="0"/>
              </w:rPr>
              <w:t>办理流程</w:t>
            </w:r>
          </w:p>
        </w:tc>
        <w:tc>
          <w:tcPr>
            <w:tcW w:w="7412" w:type="dxa"/>
            <w:tcBorders>
              <w:top w:val="single" w:color="000000" w:sz="4" w:space="0"/>
              <w:left w:val="nil"/>
              <w:bottom w:val="single" w:color="000000" w:sz="4" w:space="0"/>
              <w:right w:val="single" w:color="000000" w:sz="4" w:space="0"/>
            </w:tcBorders>
            <w:vAlign w:val="top"/>
          </w:tcPr>
          <w:p>
            <w:pPr>
              <w:widowControl/>
              <w:numPr>
                <w:ilvl w:val="0"/>
                <w:numId w:val="8"/>
              </w:numPr>
              <w:snapToGrid w:val="0"/>
              <w:jc w:val="left"/>
              <w:rPr>
                <w:rFonts w:ascii="宋体" w:hAnsi="宋体"/>
                <w:kern w:val="0"/>
              </w:rPr>
            </w:pPr>
            <w:r>
              <w:rPr>
                <w:rFonts w:hint="eastAsia" w:ascii="宋体" w:hAnsi="宋体"/>
                <w:kern w:val="0"/>
                <w:lang w:eastAsia="zh-CN"/>
              </w:rPr>
              <w:t>企业发生非资金划转类提款交易</w:t>
            </w:r>
            <w:r>
              <w:rPr>
                <w:rFonts w:ascii="宋体" w:hAnsi="宋体"/>
                <w:kern w:val="0"/>
              </w:rPr>
              <w:t>；</w:t>
            </w:r>
          </w:p>
          <w:p>
            <w:pPr>
              <w:widowControl/>
              <w:numPr>
                <w:ilvl w:val="0"/>
                <w:numId w:val="9"/>
              </w:numPr>
              <w:snapToGrid w:val="0"/>
              <w:jc w:val="left"/>
              <w:rPr>
                <w:rFonts w:ascii="宋体" w:hAnsi="宋体"/>
                <w:kern w:val="0"/>
              </w:rPr>
            </w:pPr>
            <w:r>
              <w:rPr>
                <w:rFonts w:hint="eastAsia" w:ascii="宋体" w:hAnsi="宋体"/>
                <w:kern w:val="0"/>
              </w:rPr>
              <w:t>提款发生后5个工作日内，到所在地外汇局办理逐笔提款备案</w:t>
            </w:r>
            <w:r>
              <w:rPr>
                <w:rFonts w:ascii="宋体" w:hAnsi="宋体"/>
                <w:kern w:val="0"/>
              </w:rPr>
              <w:t>；</w:t>
            </w:r>
          </w:p>
          <w:p>
            <w:pPr>
              <w:widowControl/>
              <w:numPr>
                <w:numId w:val="0"/>
              </w:numPr>
              <w:snapToGrid w:val="0"/>
              <w:jc w:val="left"/>
              <w:rPr>
                <w:rFonts w:hint="default"/>
                <w:kern w:val="0"/>
                <w:sz w:val="20"/>
              </w:rPr>
            </w:pPr>
            <w:r>
              <w:rPr>
                <w:rFonts w:ascii="宋体" w:hAnsi="宋体"/>
                <w:kern w:val="0"/>
              </w:rPr>
              <w:t>3.</w:t>
            </w:r>
            <w:r>
              <w:rPr>
                <w:rFonts w:hint="eastAsia" w:ascii="宋体" w:hAnsi="宋体"/>
                <w:kern w:val="0"/>
              </w:rPr>
              <w:t>非银行债务人应从所在地外汇局领取加盖资本项目业务印章的《境内机构外债变动反馈登记表》，并根据外债变动情况如实填写《境内机构外债变动反馈登记表》</w:t>
            </w:r>
            <w:r>
              <w:rPr>
                <w:rFonts w:ascii="宋体" w:hAnsi="宋体"/>
                <w:kern w:val="0"/>
              </w:rPr>
              <w:t>。</w:t>
            </w:r>
          </w:p>
        </w:tc>
      </w:tr>
    </w:tbl>
    <w:p>
      <w:pPr>
        <w:widowControl/>
        <w:rPr>
          <w:rFonts w:hint="default"/>
          <w:kern w:val="0"/>
        </w:rPr>
      </w:pPr>
    </w:p>
    <w:p>
      <w:pPr>
        <w:widowControl/>
        <w:rPr>
          <w:rFonts w:hint="default"/>
          <w:kern w:val="0"/>
        </w:rPr>
      </w:pPr>
    </w:p>
    <w:p>
      <w:pPr>
        <w:widowControl/>
        <w:rPr>
          <w:rFonts w:hint="default"/>
          <w:kern w:val="0"/>
        </w:rPr>
      </w:pPr>
    </w:p>
    <w:p>
      <w:pPr>
        <w:widowControl/>
        <w:rPr>
          <w:rFonts w:hint="default"/>
          <w:kern w:val="0"/>
        </w:rPr>
      </w:pPr>
    </w:p>
    <w:p>
      <w:pPr>
        <w:widowControl/>
        <w:rPr>
          <w:rFonts w:hint="default"/>
          <w:kern w:val="0"/>
        </w:rPr>
      </w:pPr>
    </w:p>
    <w:tbl>
      <w:tblPr>
        <w:tblStyle w:val="16"/>
        <w:tblW w:w="850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093"/>
        <w:gridCol w:w="741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jc w:val="center"/>
        </w:trPr>
        <w:tc>
          <w:tcPr>
            <w:tcW w:w="1093" w:type="dxa"/>
            <w:tcBorders>
              <w:top w:val="single" w:color="000000" w:sz="4" w:space="0"/>
              <w:left w:val="single" w:color="000000" w:sz="4" w:space="0"/>
              <w:bottom w:val="single" w:color="000000" w:sz="4" w:space="0"/>
              <w:right w:val="single" w:color="000000" w:sz="4" w:space="0"/>
            </w:tcBorders>
            <w:vAlign w:val="center"/>
          </w:tcPr>
          <w:p>
            <w:pPr>
              <w:widowControl/>
              <w:snapToGrid w:val="0"/>
              <w:jc w:val="left"/>
              <w:rPr>
                <w:rFonts w:hint="default"/>
                <w:kern w:val="0"/>
                <w:sz w:val="20"/>
              </w:rPr>
            </w:pPr>
            <w:r>
              <w:rPr>
                <w:rFonts w:ascii="宋体" w:hAnsi="宋体"/>
                <w:kern w:val="0"/>
              </w:rPr>
              <w:t>业务名称</w:t>
            </w:r>
          </w:p>
        </w:tc>
        <w:tc>
          <w:tcPr>
            <w:tcW w:w="7412" w:type="dxa"/>
            <w:tcBorders>
              <w:top w:val="single" w:color="000000" w:sz="4" w:space="0"/>
              <w:left w:val="nil"/>
              <w:bottom w:val="single" w:color="000000" w:sz="4" w:space="0"/>
              <w:right w:val="single" w:color="000000" w:sz="4" w:space="0"/>
            </w:tcBorders>
            <w:vAlign w:val="center"/>
          </w:tcPr>
          <w:p>
            <w:pPr>
              <w:widowControl/>
              <w:snapToGrid w:val="0"/>
              <w:jc w:val="left"/>
              <w:rPr>
                <w:rFonts w:hint="default"/>
                <w:b/>
                <w:kern w:val="0"/>
                <w:sz w:val="20"/>
              </w:rPr>
            </w:pPr>
            <w:r>
              <w:rPr>
                <w:rFonts w:ascii="宋体" w:hAnsi="宋体"/>
                <w:b/>
                <w:kern w:val="0"/>
              </w:rPr>
              <w:t>（</w:t>
            </w:r>
            <w:r>
              <w:rPr>
                <w:rFonts w:hint="eastAsia" w:ascii="宋体" w:hAnsi="宋体"/>
                <w:b/>
                <w:kern w:val="0"/>
                <w:lang w:eastAsia="zh-CN"/>
              </w:rPr>
              <w:t>五</w:t>
            </w:r>
            <w:r>
              <w:rPr>
                <w:rFonts w:ascii="宋体" w:hAnsi="宋体"/>
                <w:b/>
                <w:kern w:val="0"/>
              </w:rPr>
              <w:t>）</w:t>
            </w:r>
            <w:r>
              <w:rPr>
                <w:rFonts w:hint="eastAsia" w:ascii="宋体" w:hAnsi="宋体"/>
                <w:b/>
                <w:kern w:val="0"/>
              </w:rPr>
              <w:t>非银行债务人办理非资金划转类还本付息备案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jc w:val="center"/>
        </w:trPr>
        <w:tc>
          <w:tcPr>
            <w:tcW w:w="1093" w:type="dxa"/>
            <w:tcBorders>
              <w:top w:val="single" w:color="000000" w:sz="4" w:space="0"/>
              <w:left w:val="single" w:color="000000" w:sz="4" w:space="0"/>
              <w:bottom w:val="single" w:color="000000" w:sz="4" w:space="0"/>
              <w:right w:val="single" w:color="000000" w:sz="4" w:space="0"/>
            </w:tcBorders>
            <w:vAlign w:val="center"/>
          </w:tcPr>
          <w:p>
            <w:pPr>
              <w:widowControl/>
              <w:snapToGrid w:val="0"/>
              <w:jc w:val="left"/>
              <w:rPr>
                <w:rFonts w:hint="default"/>
                <w:kern w:val="0"/>
                <w:sz w:val="20"/>
              </w:rPr>
            </w:pPr>
            <w:r>
              <w:rPr>
                <w:rFonts w:ascii="宋体" w:hAnsi="宋体"/>
                <w:kern w:val="0"/>
              </w:rPr>
              <w:t>设定依据</w:t>
            </w:r>
          </w:p>
          <w:p>
            <w:pPr>
              <w:widowControl/>
              <w:spacing w:line="271" w:lineRule="auto"/>
              <w:jc w:val="center"/>
              <w:rPr>
                <w:rFonts w:hint="default" w:ascii="Times New Roman" w:eastAsia="Times New Roman"/>
                <w:b/>
                <w:kern w:val="0"/>
              </w:rPr>
            </w:pPr>
          </w:p>
        </w:tc>
        <w:tc>
          <w:tcPr>
            <w:tcW w:w="7412" w:type="dxa"/>
            <w:tcBorders>
              <w:top w:val="single" w:color="000000" w:sz="4" w:space="0"/>
              <w:left w:val="nil"/>
              <w:bottom w:val="single" w:color="000000" w:sz="4" w:space="0"/>
              <w:right w:val="single" w:color="000000" w:sz="4" w:space="0"/>
            </w:tcBorders>
            <w:vAlign w:val="center"/>
          </w:tcPr>
          <w:p>
            <w:pPr>
              <w:widowControl/>
              <w:numPr>
                <w:numId w:val="0"/>
              </w:numPr>
              <w:snapToGrid w:val="0"/>
              <w:jc w:val="left"/>
              <w:rPr>
                <w:rFonts w:hint="eastAsia" w:ascii="宋体" w:hAnsi="宋体"/>
                <w:kern w:val="0"/>
              </w:rPr>
            </w:pPr>
            <w:r>
              <w:rPr>
                <w:rFonts w:hint="eastAsia" w:ascii="宋体" w:hAnsi="宋体"/>
                <w:kern w:val="0"/>
              </w:rPr>
              <w:t>1.《中华人民共和国外汇管理条例》（国务院令第532号）。</w:t>
            </w:r>
          </w:p>
          <w:p>
            <w:pPr>
              <w:widowControl/>
              <w:numPr>
                <w:numId w:val="0"/>
              </w:numPr>
              <w:snapToGrid w:val="0"/>
              <w:jc w:val="left"/>
              <w:rPr>
                <w:rFonts w:hint="eastAsia" w:ascii="宋体" w:hAnsi="宋体"/>
                <w:kern w:val="0"/>
              </w:rPr>
            </w:pPr>
            <w:r>
              <w:rPr>
                <w:rFonts w:hint="eastAsia" w:ascii="宋体" w:hAnsi="宋体"/>
                <w:kern w:val="0"/>
              </w:rPr>
              <w:t>2.《外债统计监测暂行规定》（1987年公布）。</w:t>
            </w:r>
          </w:p>
          <w:p>
            <w:pPr>
              <w:widowControl/>
              <w:numPr>
                <w:numId w:val="0"/>
              </w:numPr>
              <w:snapToGrid w:val="0"/>
              <w:jc w:val="left"/>
              <w:rPr>
                <w:rFonts w:hint="eastAsia" w:ascii="宋体" w:hAnsi="宋体"/>
                <w:kern w:val="0"/>
              </w:rPr>
            </w:pPr>
            <w:r>
              <w:rPr>
                <w:rFonts w:hint="eastAsia" w:ascii="宋体" w:hAnsi="宋体"/>
                <w:kern w:val="0"/>
              </w:rPr>
              <w:t>3.《国家外汇管理局关于发布〈外债登记管理办法〉的通知》（汇发〔2013〕19号）。</w:t>
            </w:r>
          </w:p>
          <w:p>
            <w:pPr>
              <w:widowControl/>
              <w:numPr>
                <w:numId w:val="0"/>
              </w:numPr>
              <w:snapToGrid w:val="0"/>
              <w:jc w:val="left"/>
              <w:rPr>
                <w:rFonts w:hint="eastAsia" w:ascii="宋体" w:hAnsi="宋体"/>
                <w:kern w:val="0"/>
              </w:rPr>
            </w:pPr>
            <w:r>
              <w:rPr>
                <w:rFonts w:hint="eastAsia" w:ascii="宋体" w:hAnsi="宋体"/>
                <w:kern w:val="0"/>
              </w:rPr>
              <w:t>4.《国家外汇管理局关于进一步改进和调整资本项目外汇管理政策的通知》（汇发〔2014〕2号）。</w:t>
            </w:r>
          </w:p>
          <w:p>
            <w:pPr>
              <w:widowControl/>
              <w:numPr>
                <w:numId w:val="0"/>
              </w:numPr>
              <w:snapToGrid w:val="0"/>
              <w:jc w:val="left"/>
              <w:rPr>
                <w:rFonts w:hint="default"/>
                <w:kern w:val="0"/>
                <w:sz w:val="20"/>
              </w:rPr>
            </w:pPr>
            <w:r>
              <w:rPr>
                <w:rFonts w:hint="eastAsia" w:ascii="宋体" w:hAnsi="宋体"/>
                <w:kern w:val="0"/>
              </w:rPr>
              <w:t>5.其他相关法规。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jc w:val="center"/>
        </w:trPr>
        <w:tc>
          <w:tcPr>
            <w:tcW w:w="1093"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rFonts w:ascii="宋体" w:hAnsi="宋体"/>
                <w:kern w:val="0"/>
              </w:rPr>
            </w:pPr>
            <w:r>
              <w:rPr>
                <w:rFonts w:ascii="宋体" w:hAnsi="宋体"/>
                <w:kern w:val="0"/>
              </w:rPr>
              <w:t>申请条件</w:t>
            </w:r>
          </w:p>
          <w:p>
            <w:pPr>
              <w:widowControl/>
              <w:snapToGrid w:val="0"/>
              <w:jc w:val="center"/>
              <w:rPr>
                <w:rFonts w:hint="eastAsia" w:ascii="宋体" w:hAnsi="宋体"/>
                <w:kern w:val="0"/>
                <w:lang w:val="en-US" w:eastAsia="zh-CN"/>
              </w:rPr>
            </w:pPr>
            <w:r>
              <w:rPr>
                <w:rFonts w:hint="eastAsia" w:ascii="宋体" w:hAnsi="宋体"/>
                <w:kern w:val="0"/>
                <w:lang w:val="en-US" w:eastAsia="zh-CN"/>
              </w:rPr>
              <w:t>及</w:t>
            </w:r>
          </w:p>
          <w:p>
            <w:pPr>
              <w:widowControl/>
              <w:snapToGrid w:val="0"/>
              <w:jc w:val="center"/>
              <w:rPr>
                <w:rFonts w:hint="eastAsia" w:ascii="宋体" w:hAnsi="宋体"/>
                <w:kern w:val="0"/>
                <w:lang w:val="en-US" w:eastAsia="zh-CN"/>
              </w:rPr>
            </w:pPr>
            <w:r>
              <w:rPr>
                <w:rFonts w:hint="eastAsia" w:ascii="宋体" w:hAnsi="宋体"/>
                <w:kern w:val="0"/>
                <w:lang w:val="en-US" w:eastAsia="zh-CN"/>
              </w:rPr>
              <w:t>注意事项</w:t>
            </w:r>
          </w:p>
        </w:tc>
        <w:tc>
          <w:tcPr>
            <w:tcW w:w="7412" w:type="dxa"/>
            <w:tcBorders>
              <w:top w:val="single" w:color="000000" w:sz="4" w:space="0"/>
              <w:left w:val="nil"/>
              <w:bottom w:val="single" w:color="000000" w:sz="4" w:space="0"/>
              <w:right w:val="single" w:color="000000" w:sz="4" w:space="0"/>
            </w:tcBorders>
            <w:vAlign w:val="center"/>
          </w:tcPr>
          <w:p>
            <w:pPr>
              <w:widowControl/>
              <w:numPr>
                <w:numId w:val="0"/>
              </w:numPr>
              <w:snapToGrid w:val="0"/>
              <w:jc w:val="left"/>
              <w:rPr>
                <w:rFonts w:hint="eastAsia" w:ascii="宋体" w:hAnsi="宋体"/>
                <w:kern w:val="0"/>
              </w:rPr>
            </w:pPr>
            <w:r>
              <w:rPr>
                <w:rFonts w:hint="eastAsia" w:ascii="宋体" w:hAnsi="宋体"/>
                <w:kern w:val="0"/>
              </w:rPr>
              <w:t>1.非银行债务人外债未偿余额为零且不再发生提款的，应在办妥最后一笔还本付息之日起1个月内，到所在地外汇局办理外债注销登记。</w:t>
            </w:r>
          </w:p>
          <w:p>
            <w:pPr>
              <w:widowControl/>
              <w:numPr>
                <w:numId w:val="0"/>
              </w:numPr>
              <w:snapToGrid w:val="0"/>
              <w:jc w:val="left"/>
              <w:rPr>
                <w:rFonts w:hint="default"/>
                <w:kern w:val="0"/>
                <w:sz w:val="20"/>
              </w:rPr>
            </w:pPr>
            <w:r>
              <w:rPr>
                <w:rFonts w:hint="eastAsia" w:ascii="宋体" w:hAnsi="宋体"/>
                <w:kern w:val="0"/>
              </w:rPr>
              <w:t>2.通过资项目信息系统或银行出具的相关关户证明材料等，确认非银行债务人相关外债专用账户及还本付息专用账户已关闭。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jc w:val="center"/>
        </w:trPr>
        <w:tc>
          <w:tcPr>
            <w:tcW w:w="1093" w:type="dxa"/>
            <w:tcBorders>
              <w:top w:val="single" w:color="000000" w:sz="4" w:space="0"/>
              <w:left w:val="single" w:color="000000" w:sz="4" w:space="0"/>
              <w:bottom w:val="single" w:color="000000" w:sz="4" w:space="0"/>
              <w:right w:val="single" w:color="000000" w:sz="4" w:space="0"/>
            </w:tcBorders>
            <w:vAlign w:val="center"/>
          </w:tcPr>
          <w:p>
            <w:pPr>
              <w:widowControl/>
              <w:snapToGrid w:val="0"/>
              <w:jc w:val="left"/>
              <w:rPr>
                <w:rFonts w:hint="default"/>
                <w:kern w:val="0"/>
                <w:sz w:val="20"/>
              </w:rPr>
            </w:pPr>
            <w:r>
              <w:rPr>
                <w:rFonts w:ascii="宋体" w:hAnsi="宋体"/>
                <w:kern w:val="0"/>
              </w:rPr>
              <w:t>办理材料</w:t>
            </w:r>
          </w:p>
        </w:tc>
        <w:tc>
          <w:tcPr>
            <w:tcW w:w="7412" w:type="dxa"/>
            <w:tcBorders>
              <w:top w:val="single" w:color="000000" w:sz="4" w:space="0"/>
              <w:left w:val="nil"/>
              <w:bottom w:val="single" w:color="000000" w:sz="4" w:space="0"/>
              <w:right w:val="single" w:color="000000" w:sz="4" w:space="0"/>
            </w:tcBorders>
            <w:vAlign w:val="center"/>
          </w:tcPr>
          <w:p>
            <w:pPr>
              <w:widowControl/>
              <w:numPr>
                <w:numId w:val="0"/>
              </w:numPr>
              <w:snapToGrid w:val="0"/>
              <w:jc w:val="left"/>
              <w:rPr>
                <w:rFonts w:hint="eastAsia" w:ascii="宋体" w:hAnsi="宋体"/>
                <w:kern w:val="0"/>
              </w:rPr>
            </w:pPr>
            <w:r>
              <w:rPr>
                <w:rFonts w:hint="eastAsia" w:ascii="宋体" w:hAnsi="宋体"/>
                <w:kern w:val="0"/>
              </w:rPr>
              <w:t>1.申请书。</w:t>
            </w:r>
          </w:p>
          <w:p>
            <w:pPr>
              <w:widowControl/>
              <w:numPr>
                <w:numId w:val="0"/>
              </w:numPr>
              <w:snapToGrid w:val="0"/>
              <w:jc w:val="left"/>
              <w:rPr>
                <w:rFonts w:hint="eastAsia" w:ascii="宋体" w:hAnsi="宋体"/>
                <w:kern w:val="0"/>
              </w:rPr>
            </w:pPr>
            <w:r>
              <w:rPr>
                <w:rFonts w:hint="eastAsia" w:ascii="宋体" w:hAnsi="宋体"/>
                <w:kern w:val="0"/>
              </w:rPr>
              <w:t>2.《境内机构外债签约情况表》。</w:t>
            </w:r>
          </w:p>
          <w:p>
            <w:pPr>
              <w:widowControl/>
              <w:numPr>
                <w:numId w:val="0"/>
              </w:numPr>
              <w:snapToGrid w:val="0"/>
              <w:jc w:val="left"/>
              <w:rPr>
                <w:rFonts w:hint="eastAsia" w:ascii="宋体" w:hAnsi="宋体"/>
                <w:kern w:val="0"/>
              </w:rPr>
            </w:pPr>
            <w:r>
              <w:rPr>
                <w:rFonts w:hint="eastAsia" w:ascii="宋体" w:hAnsi="宋体"/>
                <w:kern w:val="0"/>
              </w:rPr>
              <w:t>3.银行出具的相关关户证明材料（如有）。</w:t>
            </w:r>
          </w:p>
          <w:p>
            <w:pPr>
              <w:widowControl/>
              <w:numPr>
                <w:numId w:val="0"/>
              </w:numPr>
              <w:snapToGrid w:val="0"/>
              <w:jc w:val="left"/>
              <w:rPr>
                <w:rFonts w:hint="eastAsia" w:ascii="宋体" w:hAnsi="宋体"/>
                <w:kern w:val="0"/>
              </w:rPr>
            </w:pPr>
            <w:r>
              <w:rPr>
                <w:rFonts w:hint="eastAsia" w:ascii="宋体" w:hAnsi="宋体"/>
                <w:kern w:val="0"/>
              </w:rPr>
              <w:t>4.外汇局要求提供的其他材料。</w:t>
            </w:r>
          </w:p>
          <w:p>
            <w:pPr>
              <w:widowControl/>
              <w:snapToGrid w:val="0"/>
              <w:jc w:val="left"/>
              <w:rPr>
                <w:rFonts w:hint="default"/>
                <w:kern w:val="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1" w:hRule="atLeast"/>
          <w:jc w:val="center"/>
        </w:trPr>
        <w:tc>
          <w:tcPr>
            <w:tcW w:w="1093" w:type="dxa"/>
            <w:tcBorders>
              <w:top w:val="single" w:color="000000" w:sz="4" w:space="0"/>
              <w:left w:val="single" w:color="000000" w:sz="4" w:space="0"/>
              <w:bottom w:val="single" w:color="000000" w:sz="4" w:space="0"/>
              <w:right w:val="single" w:color="000000" w:sz="4" w:space="0"/>
            </w:tcBorders>
            <w:vAlign w:val="center"/>
          </w:tcPr>
          <w:p>
            <w:pPr>
              <w:widowControl/>
              <w:snapToGrid w:val="0"/>
              <w:jc w:val="left"/>
              <w:rPr>
                <w:rFonts w:hint="default"/>
                <w:kern w:val="0"/>
                <w:sz w:val="20"/>
              </w:rPr>
            </w:pPr>
            <w:r>
              <w:rPr>
                <w:rFonts w:ascii="宋体" w:hAnsi="宋体"/>
                <w:kern w:val="0"/>
              </w:rPr>
              <w:t>办理地点</w:t>
            </w:r>
          </w:p>
        </w:tc>
        <w:tc>
          <w:tcPr>
            <w:tcW w:w="7412" w:type="dxa"/>
            <w:tcBorders>
              <w:top w:val="single" w:color="000000" w:sz="4" w:space="0"/>
              <w:left w:val="nil"/>
              <w:bottom w:val="single" w:color="000000" w:sz="4" w:space="0"/>
              <w:right w:val="single" w:color="000000" w:sz="4" w:space="0"/>
            </w:tcBorders>
            <w:vAlign w:val="top"/>
          </w:tcPr>
          <w:p>
            <w:pPr>
              <w:widowControl/>
              <w:snapToGrid w:val="0"/>
              <w:jc w:val="left"/>
              <w:rPr>
                <w:rFonts w:hint="default"/>
                <w:kern w:val="0"/>
              </w:rPr>
            </w:pPr>
            <w:r>
              <w:rPr>
                <w:rFonts w:ascii="宋体" w:hAnsi="宋体"/>
                <w:kern w:val="0"/>
              </w:rPr>
              <w:t>国家外汇管理局青海省分局外汇管理处资本科（西宁市昆仑路3号人民银行政务大厅）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jc w:val="center"/>
        </w:trPr>
        <w:tc>
          <w:tcPr>
            <w:tcW w:w="1093" w:type="dxa"/>
            <w:tcBorders>
              <w:top w:val="single" w:color="000000" w:sz="4" w:space="0"/>
              <w:left w:val="single" w:color="000000" w:sz="4" w:space="0"/>
              <w:bottom w:val="single" w:color="000000" w:sz="4" w:space="0"/>
              <w:right w:val="single" w:color="000000" w:sz="4" w:space="0"/>
            </w:tcBorders>
            <w:vAlign w:val="center"/>
          </w:tcPr>
          <w:p>
            <w:pPr>
              <w:widowControl/>
              <w:snapToGrid w:val="0"/>
              <w:jc w:val="left"/>
              <w:rPr>
                <w:rFonts w:hint="default"/>
                <w:kern w:val="0"/>
                <w:sz w:val="20"/>
              </w:rPr>
            </w:pPr>
            <w:r>
              <w:rPr>
                <w:rFonts w:ascii="宋体" w:hAnsi="宋体"/>
                <w:kern w:val="0"/>
              </w:rPr>
              <w:t>办理时间</w:t>
            </w:r>
          </w:p>
          <w:p>
            <w:pPr>
              <w:widowControl/>
              <w:spacing w:line="271" w:lineRule="auto"/>
              <w:jc w:val="center"/>
              <w:rPr>
                <w:rFonts w:hint="default" w:ascii="Times New Roman" w:eastAsia="Times New Roman"/>
                <w:b/>
                <w:kern w:val="0"/>
              </w:rPr>
            </w:pPr>
          </w:p>
        </w:tc>
        <w:tc>
          <w:tcPr>
            <w:tcW w:w="7412" w:type="dxa"/>
            <w:tcBorders>
              <w:top w:val="single" w:color="000000" w:sz="4" w:space="0"/>
              <w:left w:val="nil"/>
              <w:bottom w:val="single" w:color="000000" w:sz="4" w:space="0"/>
              <w:right w:val="single" w:color="000000" w:sz="4" w:space="0"/>
            </w:tcBorders>
            <w:vAlign w:val="top"/>
          </w:tcPr>
          <w:p>
            <w:pPr>
              <w:widowControl/>
              <w:snapToGrid w:val="0"/>
              <w:jc w:val="left"/>
              <w:rPr>
                <w:rFonts w:hint="default"/>
                <w:kern w:val="0"/>
              </w:rPr>
            </w:pPr>
            <w:r>
              <w:rPr>
                <w:rFonts w:ascii="宋体" w:hAnsi="宋体"/>
                <w:kern w:val="0"/>
              </w:rPr>
              <w:t>周一至周五（法定节假日除外）</w:t>
            </w:r>
          </w:p>
          <w:p>
            <w:pPr>
              <w:widowControl/>
              <w:snapToGrid w:val="0"/>
              <w:jc w:val="left"/>
              <w:rPr>
                <w:rFonts w:hint="default"/>
                <w:kern w:val="0"/>
                <w:sz w:val="20"/>
              </w:rPr>
            </w:pPr>
            <w:r>
              <w:rPr>
                <w:rFonts w:ascii="宋体" w:hAnsi="宋体"/>
                <w:kern w:val="0"/>
              </w:rPr>
              <w:t>上午8：30-11：30，下午2：00-5：30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jc w:val="center"/>
        </w:trPr>
        <w:tc>
          <w:tcPr>
            <w:tcW w:w="1093" w:type="dxa"/>
            <w:tcBorders>
              <w:top w:val="single" w:color="000000" w:sz="4" w:space="0"/>
              <w:left w:val="single" w:color="000000" w:sz="4" w:space="0"/>
              <w:bottom w:val="single" w:color="000000" w:sz="4" w:space="0"/>
              <w:right w:val="single" w:color="000000" w:sz="4" w:space="0"/>
            </w:tcBorders>
            <w:vAlign w:val="center"/>
          </w:tcPr>
          <w:p>
            <w:pPr>
              <w:widowControl/>
              <w:snapToGrid w:val="0"/>
              <w:jc w:val="left"/>
              <w:rPr>
                <w:rFonts w:hint="default"/>
                <w:kern w:val="0"/>
                <w:sz w:val="20"/>
              </w:rPr>
            </w:pPr>
            <w:r>
              <w:rPr>
                <w:rFonts w:ascii="宋体" w:hAnsi="宋体"/>
                <w:kern w:val="0"/>
              </w:rPr>
              <w:t>联系电话</w:t>
            </w:r>
          </w:p>
        </w:tc>
        <w:tc>
          <w:tcPr>
            <w:tcW w:w="7412" w:type="dxa"/>
            <w:tcBorders>
              <w:top w:val="single" w:color="000000" w:sz="4" w:space="0"/>
              <w:left w:val="nil"/>
              <w:bottom w:val="single" w:color="000000" w:sz="4" w:space="0"/>
              <w:right w:val="single" w:color="000000" w:sz="4" w:space="0"/>
            </w:tcBorders>
            <w:vAlign w:val="top"/>
          </w:tcPr>
          <w:p>
            <w:pPr>
              <w:widowControl/>
              <w:snapToGrid w:val="0"/>
              <w:jc w:val="left"/>
              <w:rPr>
                <w:rFonts w:hint="default"/>
                <w:kern w:val="0"/>
              </w:rPr>
            </w:pPr>
            <w:r>
              <w:rPr>
                <w:rFonts w:ascii="宋体" w:hAnsi="宋体"/>
                <w:kern w:val="0"/>
              </w:rPr>
              <w:t>0971-6126143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jc w:val="center"/>
        </w:trPr>
        <w:tc>
          <w:tcPr>
            <w:tcW w:w="1093" w:type="dxa"/>
            <w:tcBorders>
              <w:top w:val="single" w:color="000000" w:sz="4" w:space="0"/>
              <w:left w:val="single" w:color="000000" w:sz="4" w:space="0"/>
              <w:bottom w:val="single" w:color="000000" w:sz="4" w:space="0"/>
              <w:right w:val="single" w:color="000000" w:sz="4" w:space="0"/>
            </w:tcBorders>
            <w:vAlign w:val="center"/>
          </w:tcPr>
          <w:p>
            <w:pPr>
              <w:widowControl/>
              <w:snapToGrid w:val="0"/>
              <w:jc w:val="left"/>
              <w:rPr>
                <w:rFonts w:hint="default"/>
                <w:kern w:val="0"/>
                <w:sz w:val="20"/>
              </w:rPr>
            </w:pPr>
            <w:r>
              <w:rPr>
                <w:rFonts w:ascii="宋体" w:hAnsi="宋体"/>
                <w:kern w:val="0"/>
              </w:rPr>
              <w:t>办理流程</w:t>
            </w:r>
          </w:p>
        </w:tc>
        <w:tc>
          <w:tcPr>
            <w:tcW w:w="7412" w:type="dxa"/>
            <w:tcBorders>
              <w:top w:val="single" w:color="000000" w:sz="4" w:space="0"/>
              <w:left w:val="nil"/>
              <w:bottom w:val="single" w:color="000000" w:sz="4" w:space="0"/>
              <w:right w:val="single" w:color="000000" w:sz="4" w:space="0"/>
            </w:tcBorders>
            <w:vAlign w:val="top"/>
          </w:tcPr>
          <w:p>
            <w:pPr>
              <w:widowControl/>
              <w:numPr>
                <w:ilvl w:val="0"/>
                <w:numId w:val="10"/>
              </w:numPr>
              <w:snapToGrid w:val="0"/>
              <w:jc w:val="left"/>
              <w:rPr>
                <w:rFonts w:ascii="宋体" w:hAnsi="宋体"/>
                <w:kern w:val="0"/>
              </w:rPr>
            </w:pPr>
            <w:r>
              <w:rPr>
                <w:rFonts w:hint="eastAsia" w:ascii="宋体" w:hAnsi="宋体"/>
                <w:kern w:val="0"/>
                <w:lang w:eastAsia="zh-CN"/>
              </w:rPr>
              <w:t>企业发生非资金划转类还本付息交易</w:t>
            </w:r>
            <w:r>
              <w:rPr>
                <w:rFonts w:ascii="宋体" w:hAnsi="宋体"/>
                <w:kern w:val="0"/>
              </w:rPr>
              <w:t>；</w:t>
            </w:r>
          </w:p>
          <w:p>
            <w:pPr>
              <w:widowControl/>
              <w:numPr>
                <w:ilvl w:val="0"/>
                <w:numId w:val="11"/>
              </w:numPr>
              <w:snapToGrid w:val="0"/>
              <w:jc w:val="left"/>
              <w:rPr>
                <w:rFonts w:ascii="宋体" w:hAnsi="宋体"/>
                <w:kern w:val="0"/>
              </w:rPr>
            </w:pPr>
            <w:r>
              <w:rPr>
                <w:rFonts w:hint="eastAsia" w:ascii="宋体" w:hAnsi="宋体"/>
                <w:kern w:val="0"/>
                <w:lang w:eastAsia="zh-CN"/>
              </w:rPr>
              <w:t>还本付息</w:t>
            </w:r>
            <w:r>
              <w:rPr>
                <w:rFonts w:hint="eastAsia" w:ascii="宋体" w:hAnsi="宋体"/>
                <w:kern w:val="0"/>
              </w:rPr>
              <w:t>发生后5个工作日内，到所在地外汇局办理备案</w:t>
            </w:r>
            <w:r>
              <w:rPr>
                <w:rFonts w:ascii="宋体" w:hAnsi="宋体"/>
                <w:kern w:val="0"/>
              </w:rPr>
              <w:t>；</w:t>
            </w:r>
          </w:p>
          <w:p>
            <w:pPr>
              <w:widowControl/>
              <w:numPr>
                <w:numId w:val="0"/>
              </w:numPr>
              <w:snapToGrid w:val="0"/>
              <w:jc w:val="left"/>
              <w:rPr>
                <w:rFonts w:hint="default"/>
                <w:kern w:val="0"/>
                <w:sz w:val="20"/>
              </w:rPr>
            </w:pPr>
          </w:p>
        </w:tc>
      </w:tr>
    </w:tbl>
    <w:p>
      <w:pPr>
        <w:widowControl/>
        <w:rPr>
          <w:rFonts w:hint="default"/>
          <w:kern w:val="0"/>
        </w:rPr>
      </w:pPr>
    </w:p>
    <w:p>
      <w:pPr>
        <w:widowControl/>
        <w:rPr>
          <w:rFonts w:hint="default"/>
          <w:kern w:val="0"/>
        </w:rPr>
      </w:pPr>
    </w:p>
    <w:p>
      <w:pPr>
        <w:widowControl/>
        <w:rPr>
          <w:rFonts w:hint="default"/>
          <w:kern w:val="0"/>
        </w:rPr>
      </w:pPr>
    </w:p>
    <w:p>
      <w:pPr>
        <w:widowControl/>
        <w:rPr>
          <w:rFonts w:hint="default"/>
          <w:kern w:val="0"/>
        </w:rPr>
      </w:pPr>
    </w:p>
    <w:p>
      <w:pPr>
        <w:widowControl/>
        <w:rPr>
          <w:rFonts w:hint="default"/>
          <w:kern w:val="0"/>
        </w:rPr>
      </w:pPr>
    </w:p>
    <w:p>
      <w:pPr>
        <w:widowControl/>
        <w:rPr>
          <w:rFonts w:hint="default"/>
          <w:kern w:val="0"/>
        </w:rPr>
      </w:pPr>
    </w:p>
    <w:p>
      <w:pPr>
        <w:widowControl/>
        <w:rPr>
          <w:rFonts w:hint="default"/>
          <w:kern w:val="0"/>
        </w:rPr>
      </w:pPr>
    </w:p>
    <w:p>
      <w:pPr>
        <w:widowControl/>
        <w:rPr>
          <w:rFonts w:hint="default"/>
          <w:kern w:val="0"/>
        </w:rPr>
      </w:pPr>
    </w:p>
    <w:p>
      <w:pPr>
        <w:widowControl/>
        <w:rPr>
          <w:rFonts w:hint="default"/>
          <w:kern w:val="0"/>
        </w:rPr>
      </w:pPr>
    </w:p>
    <w:p>
      <w:pPr>
        <w:widowControl/>
        <w:rPr>
          <w:rFonts w:hint="default"/>
          <w:kern w:val="0"/>
        </w:rPr>
      </w:pPr>
    </w:p>
    <w:p>
      <w:pPr>
        <w:widowControl/>
        <w:rPr>
          <w:rFonts w:hint="default"/>
          <w:kern w:val="0"/>
        </w:rPr>
      </w:pPr>
    </w:p>
    <w:p>
      <w:pPr>
        <w:widowControl/>
        <w:rPr>
          <w:rFonts w:hint="default"/>
          <w:kern w:val="0"/>
        </w:rPr>
      </w:pPr>
    </w:p>
    <w:p>
      <w:pPr>
        <w:widowControl/>
        <w:rPr>
          <w:rFonts w:hint="default"/>
          <w:kern w:val="0"/>
        </w:rPr>
      </w:pPr>
    </w:p>
    <w:p>
      <w:pPr>
        <w:widowControl/>
        <w:rPr>
          <w:rFonts w:hint="default"/>
          <w:kern w:val="0"/>
        </w:rPr>
      </w:pPr>
    </w:p>
    <w:p>
      <w:pPr>
        <w:widowControl/>
        <w:rPr>
          <w:rFonts w:hint="default"/>
          <w:kern w:val="0"/>
        </w:rPr>
      </w:pPr>
    </w:p>
    <w:p>
      <w:pPr>
        <w:widowControl/>
        <w:rPr>
          <w:rFonts w:hint="default"/>
          <w:kern w:val="0"/>
        </w:rPr>
      </w:pPr>
    </w:p>
    <w:p>
      <w:pPr>
        <w:widowControl/>
        <w:rPr>
          <w:rFonts w:hint="default"/>
          <w:kern w:val="0"/>
        </w:rPr>
      </w:pPr>
    </w:p>
    <w:p>
      <w:pPr>
        <w:widowControl/>
        <w:rPr>
          <w:rFonts w:hint="default"/>
          <w:kern w:val="0"/>
        </w:rPr>
      </w:pPr>
    </w:p>
    <w:p>
      <w:pPr>
        <w:widowControl/>
        <w:rPr>
          <w:rFonts w:hint="default"/>
          <w:kern w:val="0"/>
        </w:rPr>
      </w:pPr>
    </w:p>
    <w:tbl>
      <w:tblPr>
        <w:tblStyle w:val="16"/>
        <w:tblW w:w="850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093"/>
        <w:gridCol w:w="741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jc w:val="center"/>
        </w:trPr>
        <w:tc>
          <w:tcPr>
            <w:tcW w:w="1093" w:type="dxa"/>
            <w:tcBorders>
              <w:top w:val="single" w:color="000000" w:sz="4" w:space="0"/>
              <w:left w:val="single" w:color="000000" w:sz="4" w:space="0"/>
              <w:bottom w:val="single" w:color="000000" w:sz="4" w:space="0"/>
              <w:right w:val="single" w:color="000000" w:sz="4" w:space="0"/>
            </w:tcBorders>
            <w:vAlign w:val="center"/>
          </w:tcPr>
          <w:p>
            <w:pPr>
              <w:widowControl/>
              <w:snapToGrid w:val="0"/>
              <w:jc w:val="left"/>
              <w:rPr>
                <w:rFonts w:hint="default"/>
                <w:kern w:val="0"/>
                <w:sz w:val="20"/>
              </w:rPr>
            </w:pPr>
            <w:r>
              <w:rPr>
                <w:rFonts w:ascii="宋体" w:hAnsi="宋体"/>
                <w:kern w:val="0"/>
              </w:rPr>
              <w:t>业务名称</w:t>
            </w:r>
          </w:p>
        </w:tc>
        <w:tc>
          <w:tcPr>
            <w:tcW w:w="7412" w:type="dxa"/>
            <w:tcBorders>
              <w:top w:val="single" w:color="000000" w:sz="4" w:space="0"/>
              <w:left w:val="nil"/>
              <w:bottom w:val="single" w:color="000000" w:sz="4" w:space="0"/>
              <w:right w:val="single" w:color="000000" w:sz="4" w:space="0"/>
            </w:tcBorders>
            <w:vAlign w:val="center"/>
          </w:tcPr>
          <w:p>
            <w:pPr>
              <w:widowControl/>
              <w:snapToGrid w:val="0"/>
              <w:jc w:val="left"/>
              <w:rPr>
                <w:rFonts w:hint="default"/>
                <w:b/>
                <w:kern w:val="0"/>
                <w:sz w:val="20"/>
              </w:rPr>
            </w:pPr>
            <w:r>
              <w:rPr>
                <w:rFonts w:ascii="宋体" w:hAnsi="宋体"/>
                <w:b/>
                <w:kern w:val="0"/>
              </w:rPr>
              <w:t>（</w:t>
            </w:r>
            <w:r>
              <w:rPr>
                <w:rFonts w:hint="eastAsia" w:ascii="宋体" w:hAnsi="宋体"/>
                <w:b/>
                <w:kern w:val="0"/>
                <w:lang w:eastAsia="zh-CN"/>
              </w:rPr>
              <w:t>六</w:t>
            </w:r>
            <w:r>
              <w:rPr>
                <w:rFonts w:ascii="宋体" w:hAnsi="宋体"/>
                <w:b/>
                <w:kern w:val="0"/>
              </w:rPr>
              <w:t>）外债注销登记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jc w:val="center"/>
        </w:trPr>
        <w:tc>
          <w:tcPr>
            <w:tcW w:w="1093" w:type="dxa"/>
            <w:tcBorders>
              <w:top w:val="single" w:color="000000" w:sz="4" w:space="0"/>
              <w:left w:val="single" w:color="000000" w:sz="4" w:space="0"/>
              <w:bottom w:val="single" w:color="000000" w:sz="4" w:space="0"/>
              <w:right w:val="single" w:color="000000" w:sz="4" w:space="0"/>
            </w:tcBorders>
            <w:vAlign w:val="center"/>
          </w:tcPr>
          <w:p>
            <w:pPr>
              <w:widowControl/>
              <w:snapToGrid w:val="0"/>
              <w:jc w:val="left"/>
              <w:rPr>
                <w:rFonts w:hint="default"/>
                <w:kern w:val="0"/>
                <w:sz w:val="20"/>
              </w:rPr>
            </w:pPr>
            <w:r>
              <w:rPr>
                <w:rFonts w:ascii="宋体" w:hAnsi="宋体"/>
                <w:kern w:val="0"/>
              </w:rPr>
              <w:t>设定依据</w:t>
            </w:r>
          </w:p>
          <w:p>
            <w:pPr>
              <w:widowControl/>
              <w:spacing w:line="271" w:lineRule="auto"/>
              <w:jc w:val="center"/>
              <w:rPr>
                <w:rFonts w:hint="default" w:ascii="Times New Roman" w:eastAsia="Times New Roman"/>
                <w:b/>
                <w:kern w:val="0"/>
              </w:rPr>
            </w:pPr>
          </w:p>
        </w:tc>
        <w:tc>
          <w:tcPr>
            <w:tcW w:w="7412" w:type="dxa"/>
            <w:tcBorders>
              <w:top w:val="single" w:color="000000" w:sz="4" w:space="0"/>
              <w:left w:val="nil"/>
              <w:bottom w:val="single" w:color="000000" w:sz="4" w:space="0"/>
              <w:right w:val="single" w:color="000000" w:sz="4" w:space="0"/>
            </w:tcBorders>
            <w:vAlign w:val="center"/>
          </w:tcPr>
          <w:p>
            <w:pPr>
              <w:widowControl/>
              <w:snapToGrid w:val="0"/>
              <w:jc w:val="left"/>
              <w:rPr>
                <w:rFonts w:ascii="宋体" w:hAnsi="宋体"/>
                <w:kern w:val="0"/>
              </w:rPr>
            </w:pPr>
            <w:r>
              <w:rPr>
                <w:rFonts w:ascii="宋体" w:hAnsi="宋体"/>
                <w:kern w:val="0"/>
              </w:rPr>
              <w:t>1.《中华人民共和国外汇管理条例》（国务院令第532号）</w:t>
            </w:r>
            <w:r>
              <w:rPr>
                <w:rFonts w:hint="eastAsia" w:ascii="宋体" w:hAnsi="宋体"/>
                <w:kern w:val="0"/>
              </w:rPr>
              <w:t>。</w:t>
            </w:r>
          </w:p>
          <w:p>
            <w:pPr>
              <w:widowControl/>
              <w:snapToGrid w:val="0"/>
              <w:jc w:val="left"/>
              <w:rPr>
                <w:rFonts w:ascii="宋体" w:hAnsi="宋体"/>
                <w:kern w:val="0"/>
              </w:rPr>
            </w:pPr>
            <w:r>
              <w:rPr>
                <w:rFonts w:ascii="宋体" w:hAnsi="宋体"/>
                <w:kern w:val="0"/>
              </w:rPr>
              <w:t>2.《外债统计监测暂行规定》（1987年公布）</w:t>
            </w:r>
            <w:r>
              <w:rPr>
                <w:rFonts w:hint="eastAsia" w:ascii="宋体" w:hAnsi="宋体"/>
                <w:kern w:val="0"/>
              </w:rPr>
              <w:t>。</w:t>
            </w:r>
          </w:p>
          <w:p>
            <w:pPr>
              <w:widowControl/>
              <w:snapToGrid w:val="0"/>
              <w:jc w:val="left"/>
              <w:rPr>
                <w:rFonts w:ascii="宋体" w:hAnsi="宋体"/>
                <w:kern w:val="0"/>
              </w:rPr>
            </w:pPr>
            <w:r>
              <w:rPr>
                <w:rFonts w:ascii="宋体" w:hAnsi="宋体"/>
                <w:kern w:val="0"/>
              </w:rPr>
              <w:t>3</w:t>
            </w:r>
            <w:r>
              <w:rPr>
                <w:rFonts w:hint="eastAsia" w:ascii="宋体" w:hAnsi="宋体"/>
                <w:kern w:val="0"/>
              </w:rPr>
              <w:t>.</w:t>
            </w:r>
            <w:r>
              <w:rPr>
                <w:rFonts w:ascii="宋体" w:hAnsi="宋体"/>
                <w:kern w:val="0"/>
              </w:rPr>
              <w:t>《国家外汇管理局关于发布〈外债登记管理办法〉的通知》（汇发〔2013〕19号）</w:t>
            </w:r>
            <w:r>
              <w:rPr>
                <w:rFonts w:hint="eastAsia" w:ascii="宋体" w:hAnsi="宋体"/>
                <w:kern w:val="0"/>
              </w:rPr>
              <w:t>。</w:t>
            </w:r>
          </w:p>
          <w:p>
            <w:pPr>
              <w:widowControl/>
              <w:snapToGrid w:val="0"/>
              <w:jc w:val="left"/>
              <w:rPr>
                <w:rFonts w:ascii="宋体" w:hAnsi="宋体"/>
                <w:kern w:val="0"/>
              </w:rPr>
            </w:pPr>
            <w:r>
              <w:rPr>
                <w:rFonts w:ascii="宋体" w:hAnsi="宋体"/>
                <w:kern w:val="0"/>
              </w:rPr>
              <w:t>4.</w:t>
            </w:r>
            <w:r>
              <w:rPr>
                <w:rFonts w:hint="eastAsia" w:ascii="宋体" w:hAnsi="宋体"/>
                <w:kern w:val="0"/>
              </w:rPr>
              <w:t>《国家外汇管理局关于进一步改进和调整资本项目外汇管理政策的通知》（汇发〔2014〕2号）。</w:t>
            </w:r>
          </w:p>
          <w:p>
            <w:pPr>
              <w:widowControl/>
              <w:snapToGrid w:val="0"/>
              <w:jc w:val="left"/>
              <w:rPr>
                <w:rFonts w:hint="default"/>
                <w:kern w:val="0"/>
                <w:sz w:val="20"/>
              </w:rPr>
            </w:pPr>
            <w:r>
              <w:rPr>
                <w:rFonts w:hint="eastAsia" w:ascii="宋体" w:hAnsi="宋体"/>
                <w:kern w:val="0"/>
              </w:rPr>
              <w:t>5.</w:t>
            </w:r>
            <w:r>
              <w:rPr>
                <w:rFonts w:ascii="宋体" w:hAnsi="宋体"/>
                <w:kern w:val="0"/>
              </w:rPr>
              <w:t>其他相关法规</w:t>
            </w:r>
            <w:r>
              <w:rPr>
                <w:rFonts w:hint="eastAsia" w:ascii="宋体" w:hAnsi="宋体"/>
                <w:kern w:val="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jc w:val="center"/>
        </w:trPr>
        <w:tc>
          <w:tcPr>
            <w:tcW w:w="1093"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rFonts w:ascii="宋体" w:hAnsi="宋体"/>
                <w:kern w:val="0"/>
              </w:rPr>
            </w:pPr>
            <w:r>
              <w:rPr>
                <w:rFonts w:ascii="宋体" w:hAnsi="宋体"/>
                <w:kern w:val="0"/>
              </w:rPr>
              <w:t>申请条件</w:t>
            </w:r>
          </w:p>
          <w:p>
            <w:pPr>
              <w:widowControl/>
              <w:snapToGrid w:val="0"/>
              <w:jc w:val="center"/>
              <w:rPr>
                <w:rFonts w:hint="eastAsia" w:ascii="宋体" w:hAnsi="宋体"/>
                <w:kern w:val="0"/>
                <w:lang w:val="en-US" w:eastAsia="zh-CN"/>
              </w:rPr>
            </w:pPr>
            <w:r>
              <w:rPr>
                <w:rFonts w:hint="eastAsia" w:ascii="宋体" w:hAnsi="宋体"/>
                <w:kern w:val="0"/>
                <w:lang w:val="en-US" w:eastAsia="zh-CN"/>
              </w:rPr>
              <w:t>及</w:t>
            </w:r>
          </w:p>
          <w:p>
            <w:pPr>
              <w:widowControl/>
              <w:snapToGrid w:val="0"/>
              <w:jc w:val="center"/>
              <w:rPr>
                <w:rFonts w:hint="eastAsia" w:ascii="宋体" w:hAnsi="宋体" w:eastAsia="宋体"/>
                <w:kern w:val="0"/>
                <w:lang w:val="en-US" w:eastAsia="zh-CN"/>
              </w:rPr>
            </w:pPr>
            <w:r>
              <w:rPr>
                <w:rFonts w:hint="eastAsia" w:ascii="宋体" w:hAnsi="宋体"/>
                <w:kern w:val="0"/>
                <w:lang w:val="en-US" w:eastAsia="zh-CN"/>
              </w:rPr>
              <w:t>注意事项</w:t>
            </w:r>
          </w:p>
        </w:tc>
        <w:tc>
          <w:tcPr>
            <w:tcW w:w="7412" w:type="dxa"/>
            <w:tcBorders>
              <w:top w:val="single" w:color="000000" w:sz="4" w:space="0"/>
              <w:left w:val="nil"/>
              <w:bottom w:val="single" w:color="000000" w:sz="4" w:space="0"/>
              <w:right w:val="single" w:color="000000" w:sz="4" w:space="0"/>
            </w:tcBorders>
            <w:vAlign w:val="center"/>
          </w:tcPr>
          <w:p>
            <w:pPr>
              <w:widowControl/>
              <w:snapToGrid w:val="0"/>
              <w:jc w:val="left"/>
              <w:rPr>
                <w:rFonts w:ascii="宋体" w:hAnsi="宋体"/>
                <w:kern w:val="0"/>
              </w:rPr>
            </w:pPr>
            <w:r>
              <w:rPr>
                <w:rFonts w:ascii="宋体" w:hAnsi="宋体"/>
                <w:kern w:val="0"/>
              </w:rPr>
              <w:t>1.非银行债务人外债未偿余额为零且不再发生提款的，应在办妥最后一笔还本付息之日起1个月内，到所在地外汇局办理外债注销</w:t>
            </w:r>
            <w:r>
              <w:rPr>
                <w:rFonts w:hint="eastAsia" w:ascii="宋体" w:hAnsi="宋体"/>
                <w:kern w:val="0"/>
              </w:rPr>
              <w:t>登记</w:t>
            </w:r>
            <w:r>
              <w:rPr>
                <w:rFonts w:ascii="宋体" w:hAnsi="宋体"/>
                <w:kern w:val="0"/>
              </w:rPr>
              <w:t>。</w:t>
            </w:r>
          </w:p>
          <w:p>
            <w:pPr>
              <w:widowControl/>
              <w:snapToGrid w:val="0"/>
              <w:jc w:val="left"/>
              <w:rPr>
                <w:rFonts w:ascii="宋体" w:hAnsi="宋体"/>
                <w:kern w:val="0"/>
              </w:rPr>
            </w:pPr>
            <w:r>
              <w:rPr>
                <w:rFonts w:ascii="宋体" w:hAnsi="宋体"/>
                <w:kern w:val="0"/>
              </w:rPr>
              <w:t>2.</w:t>
            </w:r>
            <w:r>
              <w:rPr>
                <w:rFonts w:hint="eastAsia" w:ascii="宋体" w:hAnsi="宋体"/>
                <w:kern w:val="0"/>
              </w:rPr>
              <w:t>通过</w:t>
            </w:r>
            <w:r>
              <w:rPr>
                <w:rFonts w:ascii="宋体" w:hAnsi="宋体"/>
                <w:kern w:val="0"/>
              </w:rPr>
              <w:t>资本项目信息系统</w:t>
            </w:r>
            <w:r>
              <w:rPr>
                <w:rFonts w:hint="eastAsia" w:ascii="宋体" w:hAnsi="宋体"/>
                <w:kern w:val="0"/>
              </w:rPr>
              <w:t>或</w:t>
            </w:r>
            <w:r>
              <w:rPr>
                <w:rFonts w:ascii="宋体" w:hAnsi="宋体"/>
                <w:kern w:val="0"/>
              </w:rPr>
              <w:t>银行</w:t>
            </w:r>
            <w:r>
              <w:rPr>
                <w:rFonts w:hint="eastAsia" w:ascii="宋体" w:hAnsi="宋体"/>
                <w:kern w:val="0"/>
              </w:rPr>
              <w:t>出具</w:t>
            </w:r>
            <w:r>
              <w:rPr>
                <w:rFonts w:ascii="宋体" w:hAnsi="宋体"/>
                <w:kern w:val="0"/>
              </w:rPr>
              <w:t>的</w:t>
            </w:r>
            <w:r>
              <w:rPr>
                <w:rFonts w:hint="eastAsia" w:ascii="宋体" w:hAnsi="宋体"/>
                <w:kern w:val="0"/>
              </w:rPr>
              <w:t>相关</w:t>
            </w:r>
            <w:r>
              <w:rPr>
                <w:rFonts w:ascii="宋体" w:hAnsi="宋体"/>
                <w:kern w:val="0"/>
              </w:rPr>
              <w:t>关户</w:t>
            </w:r>
            <w:r>
              <w:rPr>
                <w:rFonts w:hint="eastAsia" w:ascii="宋体" w:hAnsi="宋体"/>
                <w:kern w:val="0"/>
              </w:rPr>
              <w:t>证明材料</w:t>
            </w:r>
            <w:r>
              <w:rPr>
                <w:rFonts w:ascii="宋体" w:hAnsi="宋体"/>
                <w:kern w:val="0"/>
              </w:rPr>
              <w:t>等，确认非银行债务人相关外债专用账户及还本付息专用账户已关闭。</w:t>
            </w:r>
          </w:p>
          <w:p>
            <w:pPr>
              <w:widowControl/>
              <w:snapToGrid w:val="0"/>
              <w:jc w:val="left"/>
              <w:rPr>
                <w:rFonts w:hint="default"/>
                <w:kern w:val="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jc w:val="center"/>
        </w:trPr>
        <w:tc>
          <w:tcPr>
            <w:tcW w:w="1093" w:type="dxa"/>
            <w:tcBorders>
              <w:top w:val="single" w:color="000000" w:sz="4" w:space="0"/>
              <w:left w:val="single" w:color="000000" w:sz="4" w:space="0"/>
              <w:bottom w:val="single" w:color="000000" w:sz="4" w:space="0"/>
              <w:right w:val="single" w:color="000000" w:sz="4" w:space="0"/>
            </w:tcBorders>
            <w:vAlign w:val="center"/>
          </w:tcPr>
          <w:p>
            <w:pPr>
              <w:widowControl/>
              <w:snapToGrid w:val="0"/>
              <w:jc w:val="left"/>
              <w:rPr>
                <w:rFonts w:hint="default"/>
                <w:kern w:val="0"/>
                <w:sz w:val="20"/>
              </w:rPr>
            </w:pPr>
            <w:r>
              <w:rPr>
                <w:rFonts w:ascii="宋体" w:hAnsi="宋体"/>
                <w:kern w:val="0"/>
              </w:rPr>
              <w:t>办理材料</w:t>
            </w:r>
          </w:p>
        </w:tc>
        <w:tc>
          <w:tcPr>
            <w:tcW w:w="7412" w:type="dxa"/>
            <w:tcBorders>
              <w:top w:val="single" w:color="000000" w:sz="4" w:space="0"/>
              <w:left w:val="nil"/>
              <w:bottom w:val="single" w:color="000000" w:sz="4" w:space="0"/>
              <w:right w:val="single" w:color="000000" w:sz="4" w:space="0"/>
            </w:tcBorders>
            <w:vAlign w:val="center"/>
          </w:tcPr>
          <w:p>
            <w:pPr>
              <w:widowControl/>
              <w:snapToGrid w:val="0"/>
              <w:jc w:val="left"/>
              <w:rPr>
                <w:rFonts w:ascii="宋体" w:hAnsi="宋体"/>
                <w:kern w:val="0"/>
              </w:rPr>
            </w:pPr>
            <w:r>
              <w:rPr>
                <w:rFonts w:ascii="宋体" w:hAnsi="宋体"/>
                <w:kern w:val="0"/>
              </w:rPr>
              <w:t>1.申请书。</w:t>
            </w:r>
          </w:p>
          <w:p>
            <w:pPr>
              <w:widowControl/>
              <w:snapToGrid w:val="0"/>
              <w:jc w:val="left"/>
              <w:rPr>
                <w:rFonts w:ascii="宋体" w:hAnsi="宋体"/>
                <w:kern w:val="0"/>
              </w:rPr>
            </w:pPr>
            <w:r>
              <w:rPr>
                <w:rFonts w:ascii="宋体" w:hAnsi="宋体"/>
                <w:kern w:val="0"/>
              </w:rPr>
              <w:t>2.《境内机构外债签约情况表》。</w:t>
            </w:r>
          </w:p>
          <w:p>
            <w:pPr>
              <w:widowControl/>
              <w:snapToGrid w:val="0"/>
              <w:jc w:val="left"/>
              <w:rPr>
                <w:rFonts w:ascii="宋体" w:hAnsi="宋体"/>
                <w:kern w:val="0"/>
              </w:rPr>
            </w:pPr>
            <w:r>
              <w:rPr>
                <w:rFonts w:ascii="宋体" w:hAnsi="宋体"/>
                <w:kern w:val="0"/>
              </w:rPr>
              <w:t>3.</w:t>
            </w:r>
            <w:r>
              <w:rPr>
                <w:rFonts w:hint="eastAsia" w:ascii="宋体" w:hAnsi="宋体"/>
                <w:kern w:val="0"/>
              </w:rPr>
              <w:t>银行出具的相关关户证明材料（如有）。</w:t>
            </w:r>
          </w:p>
          <w:p>
            <w:pPr>
              <w:widowControl/>
              <w:snapToGrid w:val="0"/>
              <w:jc w:val="left"/>
              <w:rPr>
                <w:rFonts w:hint="default"/>
                <w:kern w:val="0"/>
                <w:sz w:val="20"/>
              </w:rPr>
            </w:pPr>
            <w:r>
              <w:rPr>
                <w:rFonts w:hint="eastAsia" w:ascii="宋体" w:hAnsi="宋体"/>
                <w:kern w:val="0"/>
              </w:rPr>
              <w:t>4.外汇局要求提供的其他材料。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66" w:hRule="atLeast"/>
          <w:jc w:val="center"/>
        </w:trPr>
        <w:tc>
          <w:tcPr>
            <w:tcW w:w="1093" w:type="dxa"/>
            <w:tcBorders>
              <w:top w:val="single" w:color="000000" w:sz="4" w:space="0"/>
              <w:left w:val="single" w:color="000000" w:sz="4" w:space="0"/>
              <w:bottom w:val="single" w:color="000000" w:sz="4" w:space="0"/>
              <w:right w:val="single" w:color="000000" w:sz="4" w:space="0"/>
            </w:tcBorders>
            <w:vAlign w:val="center"/>
          </w:tcPr>
          <w:p>
            <w:pPr>
              <w:widowControl/>
              <w:snapToGrid w:val="0"/>
              <w:jc w:val="left"/>
              <w:rPr>
                <w:rFonts w:hint="default"/>
                <w:kern w:val="0"/>
                <w:sz w:val="20"/>
              </w:rPr>
            </w:pPr>
            <w:r>
              <w:rPr>
                <w:rFonts w:ascii="宋体" w:hAnsi="宋体"/>
                <w:kern w:val="0"/>
              </w:rPr>
              <w:t>办理地点</w:t>
            </w:r>
          </w:p>
        </w:tc>
        <w:tc>
          <w:tcPr>
            <w:tcW w:w="7412" w:type="dxa"/>
            <w:tcBorders>
              <w:top w:val="single" w:color="000000" w:sz="4" w:space="0"/>
              <w:left w:val="nil"/>
              <w:bottom w:val="single" w:color="000000" w:sz="4" w:space="0"/>
              <w:right w:val="single" w:color="000000" w:sz="4" w:space="0"/>
            </w:tcBorders>
            <w:vAlign w:val="top"/>
          </w:tcPr>
          <w:p>
            <w:pPr>
              <w:widowControl/>
              <w:snapToGrid w:val="0"/>
              <w:jc w:val="left"/>
              <w:rPr>
                <w:rFonts w:hint="default"/>
                <w:kern w:val="0"/>
              </w:rPr>
            </w:pPr>
            <w:r>
              <w:rPr>
                <w:rFonts w:ascii="宋体" w:hAnsi="宋体"/>
                <w:kern w:val="0"/>
              </w:rPr>
              <w:t>国家外汇管理局青海省分局外汇管理处资本科（西宁市昆仑路3号人民银行政务大厅）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jc w:val="center"/>
        </w:trPr>
        <w:tc>
          <w:tcPr>
            <w:tcW w:w="1093" w:type="dxa"/>
            <w:tcBorders>
              <w:top w:val="single" w:color="000000" w:sz="4" w:space="0"/>
              <w:left w:val="single" w:color="000000" w:sz="4" w:space="0"/>
              <w:bottom w:val="single" w:color="000000" w:sz="4" w:space="0"/>
              <w:right w:val="single" w:color="000000" w:sz="4" w:space="0"/>
            </w:tcBorders>
            <w:vAlign w:val="center"/>
          </w:tcPr>
          <w:p>
            <w:pPr>
              <w:widowControl/>
              <w:snapToGrid w:val="0"/>
              <w:jc w:val="left"/>
              <w:rPr>
                <w:rFonts w:hint="default"/>
                <w:kern w:val="0"/>
                <w:sz w:val="20"/>
              </w:rPr>
            </w:pPr>
            <w:r>
              <w:rPr>
                <w:rFonts w:ascii="宋体" w:hAnsi="宋体"/>
                <w:kern w:val="0"/>
              </w:rPr>
              <w:t>办理时间</w:t>
            </w:r>
          </w:p>
          <w:p>
            <w:pPr>
              <w:widowControl/>
              <w:spacing w:line="271" w:lineRule="auto"/>
              <w:jc w:val="center"/>
              <w:rPr>
                <w:rFonts w:hint="default" w:ascii="Times New Roman" w:eastAsia="Times New Roman"/>
                <w:b/>
                <w:kern w:val="0"/>
              </w:rPr>
            </w:pPr>
          </w:p>
        </w:tc>
        <w:tc>
          <w:tcPr>
            <w:tcW w:w="7412" w:type="dxa"/>
            <w:tcBorders>
              <w:top w:val="single" w:color="000000" w:sz="4" w:space="0"/>
              <w:left w:val="nil"/>
              <w:bottom w:val="single" w:color="000000" w:sz="4" w:space="0"/>
              <w:right w:val="single" w:color="000000" w:sz="4" w:space="0"/>
            </w:tcBorders>
            <w:vAlign w:val="top"/>
          </w:tcPr>
          <w:p>
            <w:pPr>
              <w:widowControl/>
              <w:snapToGrid w:val="0"/>
              <w:jc w:val="left"/>
              <w:rPr>
                <w:rFonts w:hint="default"/>
                <w:kern w:val="0"/>
              </w:rPr>
            </w:pPr>
            <w:r>
              <w:rPr>
                <w:rFonts w:ascii="宋体" w:hAnsi="宋体"/>
                <w:kern w:val="0"/>
              </w:rPr>
              <w:t>周一至周五（法定节假日除外）</w:t>
            </w:r>
          </w:p>
          <w:p>
            <w:pPr>
              <w:widowControl/>
              <w:snapToGrid w:val="0"/>
              <w:jc w:val="left"/>
              <w:rPr>
                <w:rFonts w:hint="default"/>
                <w:kern w:val="0"/>
                <w:sz w:val="20"/>
              </w:rPr>
            </w:pPr>
            <w:r>
              <w:rPr>
                <w:rFonts w:ascii="宋体" w:hAnsi="宋体"/>
                <w:kern w:val="0"/>
              </w:rPr>
              <w:t>上午8：30-11：30，下午2：00-5：30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jc w:val="center"/>
        </w:trPr>
        <w:tc>
          <w:tcPr>
            <w:tcW w:w="1093" w:type="dxa"/>
            <w:tcBorders>
              <w:top w:val="single" w:color="000000" w:sz="4" w:space="0"/>
              <w:left w:val="single" w:color="000000" w:sz="4" w:space="0"/>
              <w:bottom w:val="single" w:color="000000" w:sz="4" w:space="0"/>
              <w:right w:val="single" w:color="000000" w:sz="4" w:space="0"/>
            </w:tcBorders>
            <w:vAlign w:val="center"/>
          </w:tcPr>
          <w:p>
            <w:pPr>
              <w:widowControl/>
              <w:snapToGrid w:val="0"/>
              <w:jc w:val="left"/>
              <w:rPr>
                <w:rFonts w:hint="default"/>
                <w:kern w:val="0"/>
                <w:sz w:val="20"/>
              </w:rPr>
            </w:pPr>
            <w:r>
              <w:rPr>
                <w:rFonts w:ascii="宋体" w:hAnsi="宋体"/>
                <w:kern w:val="0"/>
              </w:rPr>
              <w:t>联系电话</w:t>
            </w:r>
          </w:p>
        </w:tc>
        <w:tc>
          <w:tcPr>
            <w:tcW w:w="7412" w:type="dxa"/>
            <w:tcBorders>
              <w:top w:val="single" w:color="000000" w:sz="4" w:space="0"/>
              <w:left w:val="nil"/>
              <w:bottom w:val="single" w:color="000000" w:sz="4" w:space="0"/>
              <w:right w:val="single" w:color="000000" w:sz="4" w:space="0"/>
            </w:tcBorders>
            <w:vAlign w:val="top"/>
          </w:tcPr>
          <w:p>
            <w:pPr>
              <w:widowControl/>
              <w:snapToGrid w:val="0"/>
              <w:jc w:val="left"/>
              <w:rPr>
                <w:rFonts w:hint="default"/>
                <w:kern w:val="0"/>
              </w:rPr>
            </w:pPr>
            <w:r>
              <w:rPr>
                <w:rFonts w:ascii="宋体" w:hAnsi="宋体"/>
                <w:kern w:val="0"/>
              </w:rPr>
              <w:t>0971-6126143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jc w:val="center"/>
        </w:trPr>
        <w:tc>
          <w:tcPr>
            <w:tcW w:w="1093" w:type="dxa"/>
            <w:tcBorders>
              <w:top w:val="single" w:color="000000" w:sz="4" w:space="0"/>
              <w:left w:val="single" w:color="000000" w:sz="4" w:space="0"/>
              <w:bottom w:val="single" w:color="000000" w:sz="4" w:space="0"/>
              <w:right w:val="single" w:color="000000" w:sz="4" w:space="0"/>
            </w:tcBorders>
            <w:vAlign w:val="center"/>
          </w:tcPr>
          <w:p>
            <w:pPr>
              <w:widowControl/>
              <w:snapToGrid w:val="0"/>
              <w:jc w:val="left"/>
              <w:rPr>
                <w:rFonts w:hint="default"/>
                <w:kern w:val="0"/>
                <w:sz w:val="20"/>
              </w:rPr>
            </w:pPr>
            <w:r>
              <w:rPr>
                <w:rFonts w:ascii="宋体" w:hAnsi="宋体"/>
                <w:kern w:val="0"/>
              </w:rPr>
              <w:t>办理流程</w:t>
            </w:r>
          </w:p>
        </w:tc>
        <w:tc>
          <w:tcPr>
            <w:tcW w:w="7412" w:type="dxa"/>
            <w:tcBorders>
              <w:top w:val="single" w:color="000000" w:sz="4" w:space="0"/>
              <w:left w:val="nil"/>
              <w:bottom w:val="single" w:color="000000" w:sz="4" w:space="0"/>
              <w:right w:val="single" w:color="000000" w:sz="4" w:space="0"/>
            </w:tcBorders>
            <w:vAlign w:val="top"/>
          </w:tcPr>
          <w:p>
            <w:pPr>
              <w:widowControl/>
              <w:numPr>
                <w:ilvl w:val="0"/>
                <w:numId w:val="12"/>
              </w:numPr>
              <w:snapToGrid w:val="0"/>
              <w:jc w:val="left"/>
              <w:rPr>
                <w:rFonts w:ascii="宋体" w:hAnsi="宋体"/>
                <w:kern w:val="0"/>
              </w:rPr>
            </w:pPr>
            <w:r>
              <w:rPr>
                <w:rFonts w:ascii="宋体" w:hAnsi="宋体"/>
                <w:kern w:val="0"/>
              </w:rPr>
              <w:t>关闭外债账户（向银行申请办理）；</w:t>
            </w:r>
          </w:p>
          <w:p>
            <w:pPr>
              <w:widowControl/>
              <w:numPr>
                <w:numId w:val="0"/>
              </w:numPr>
              <w:snapToGrid w:val="0"/>
              <w:jc w:val="left"/>
              <w:rPr>
                <w:rFonts w:hint="default"/>
                <w:kern w:val="0"/>
                <w:sz w:val="20"/>
              </w:rPr>
            </w:pPr>
            <w:r>
              <w:rPr>
                <w:rFonts w:ascii="宋体" w:hAnsi="宋体"/>
                <w:kern w:val="0"/>
              </w:rPr>
              <w:t>2.将办理材料提交资本科办理外债注销登记。材料齐全当日办结，特殊情况五个工作日办结。</w:t>
            </w:r>
          </w:p>
        </w:tc>
      </w:tr>
    </w:tbl>
    <w:p>
      <w:pPr>
        <w:widowControl/>
        <w:rPr>
          <w:rFonts w:hint="default"/>
          <w:kern w:val="0"/>
        </w:rPr>
      </w:pPr>
    </w:p>
    <w:p>
      <w:pPr>
        <w:widowControl/>
        <w:rPr>
          <w:rFonts w:hint="default"/>
          <w:kern w:val="0"/>
        </w:rPr>
      </w:pPr>
    </w:p>
    <w:p>
      <w:pPr>
        <w:widowControl/>
        <w:rPr>
          <w:rFonts w:hint="default"/>
          <w:kern w:val="0"/>
        </w:rPr>
      </w:pPr>
    </w:p>
    <w:p>
      <w:pPr>
        <w:widowControl/>
        <w:rPr>
          <w:rFonts w:hint="default"/>
          <w:kern w:val="0"/>
        </w:rPr>
      </w:pPr>
    </w:p>
    <w:p>
      <w:pPr>
        <w:widowControl/>
        <w:rPr>
          <w:rFonts w:hint="default"/>
          <w:kern w:val="0"/>
        </w:rPr>
      </w:pPr>
    </w:p>
    <w:p>
      <w:pPr>
        <w:widowControl/>
        <w:rPr>
          <w:rFonts w:hint="default"/>
          <w:kern w:val="0"/>
        </w:rPr>
      </w:pPr>
    </w:p>
    <w:p>
      <w:pPr>
        <w:widowControl/>
        <w:rPr>
          <w:rFonts w:hint="default"/>
          <w:kern w:val="0"/>
        </w:rPr>
      </w:pPr>
    </w:p>
    <w:p>
      <w:pPr>
        <w:widowControl/>
        <w:rPr>
          <w:rFonts w:hint="default"/>
          <w:kern w:val="0"/>
        </w:rPr>
      </w:pPr>
    </w:p>
    <w:p>
      <w:pPr>
        <w:widowControl/>
        <w:rPr>
          <w:rFonts w:hint="default"/>
          <w:kern w:val="0"/>
        </w:rPr>
      </w:pPr>
    </w:p>
    <w:p>
      <w:pPr>
        <w:widowControl/>
        <w:rPr>
          <w:rFonts w:hint="default"/>
          <w:kern w:val="0"/>
        </w:rPr>
      </w:pPr>
    </w:p>
    <w:p>
      <w:pPr>
        <w:widowControl/>
        <w:rPr>
          <w:rFonts w:hint="default"/>
          <w:kern w:val="0"/>
        </w:rPr>
      </w:pPr>
    </w:p>
    <w:p>
      <w:pPr>
        <w:widowControl/>
        <w:rPr>
          <w:rFonts w:hint="default"/>
          <w:kern w:val="0"/>
        </w:rPr>
      </w:pPr>
    </w:p>
    <w:p>
      <w:pPr>
        <w:widowControl/>
        <w:rPr>
          <w:rFonts w:hint="default"/>
          <w:kern w:val="0"/>
        </w:rPr>
      </w:pPr>
    </w:p>
    <w:p>
      <w:pPr>
        <w:widowControl/>
        <w:rPr>
          <w:rFonts w:hint="default"/>
          <w:kern w:val="0"/>
        </w:rPr>
      </w:pPr>
    </w:p>
    <w:p>
      <w:pPr>
        <w:widowControl/>
        <w:rPr>
          <w:rFonts w:hint="default"/>
          <w:kern w:val="0"/>
        </w:rPr>
      </w:pPr>
    </w:p>
    <w:p>
      <w:pPr>
        <w:widowControl/>
        <w:rPr>
          <w:rFonts w:hint="default"/>
          <w:kern w:val="0"/>
        </w:rPr>
      </w:pPr>
    </w:p>
    <w:p>
      <w:pPr>
        <w:widowControl/>
        <w:rPr>
          <w:rFonts w:hint="default"/>
          <w:kern w:val="0"/>
        </w:rPr>
      </w:pPr>
    </w:p>
    <w:p>
      <w:pPr>
        <w:widowControl/>
        <w:rPr>
          <w:rFonts w:hint="default"/>
          <w:kern w:val="0"/>
        </w:rPr>
      </w:pPr>
    </w:p>
    <w:p>
      <w:pPr>
        <w:widowControl/>
        <w:rPr>
          <w:rFonts w:hint="default"/>
          <w:kern w:val="0"/>
        </w:rPr>
      </w:pPr>
    </w:p>
    <w:p>
      <w:pPr>
        <w:widowControl/>
        <w:rPr>
          <w:rFonts w:hint="default"/>
          <w:kern w:val="0"/>
        </w:rPr>
      </w:pPr>
    </w:p>
    <w:tbl>
      <w:tblPr>
        <w:tblStyle w:val="16"/>
        <w:tblW w:w="850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093"/>
        <w:gridCol w:w="741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jc w:val="center"/>
        </w:trPr>
        <w:tc>
          <w:tcPr>
            <w:tcW w:w="1093" w:type="dxa"/>
            <w:tcBorders>
              <w:top w:val="single" w:color="000000" w:sz="4" w:space="0"/>
              <w:left w:val="single" w:color="000000" w:sz="4" w:space="0"/>
              <w:bottom w:val="single" w:color="000000" w:sz="4" w:space="0"/>
              <w:right w:val="single" w:color="000000" w:sz="4" w:space="0"/>
            </w:tcBorders>
            <w:vAlign w:val="center"/>
          </w:tcPr>
          <w:p>
            <w:pPr>
              <w:widowControl/>
              <w:snapToGrid w:val="0"/>
              <w:jc w:val="left"/>
              <w:rPr>
                <w:rFonts w:hint="default"/>
                <w:kern w:val="0"/>
                <w:sz w:val="20"/>
              </w:rPr>
            </w:pPr>
            <w:r>
              <w:rPr>
                <w:rFonts w:ascii="宋体" w:hAnsi="宋体"/>
                <w:kern w:val="0"/>
              </w:rPr>
              <w:t>业务名称</w:t>
            </w:r>
          </w:p>
        </w:tc>
        <w:tc>
          <w:tcPr>
            <w:tcW w:w="7412" w:type="dxa"/>
            <w:tcBorders>
              <w:top w:val="single" w:color="000000" w:sz="4" w:space="0"/>
              <w:left w:val="nil"/>
              <w:bottom w:val="single" w:color="000000" w:sz="4" w:space="0"/>
              <w:right w:val="single" w:color="000000" w:sz="4" w:space="0"/>
            </w:tcBorders>
            <w:vAlign w:val="center"/>
          </w:tcPr>
          <w:p>
            <w:pPr>
              <w:widowControl/>
              <w:snapToGrid w:val="0"/>
              <w:jc w:val="left"/>
              <w:rPr>
                <w:rFonts w:hint="default"/>
                <w:b/>
                <w:kern w:val="0"/>
                <w:sz w:val="20"/>
              </w:rPr>
            </w:pPr>
            <w:r>
              <w:rPr>
                <w:rFonts w:ascii="宋体" w:hAnsi="宋体"/>
                <w:b/>
                <w:kern w:val="0"/>
              </w:rPr>
              <w:t>（</w:t>
            </w:r>
            <w:r>
              <w:rPr>
                <w:rFonts w:hint="eastAsia" w:ascii="宋体" w:hAnsi="宋体"/>
                <w:b/>
                <w:kern w:val="0"/>
                <w:lang w:eastAsia="zh-CN"/>
              </w:rPr>
              <w:t>七</w:t>
            </w:r>
            <w:r>
              <w:rPr>
                <w:rFonts w:ascii="宋体" w:hAnsi="宋体"/>
                <w:b/>
                <w:kern w:val="0"/>
              </w:rPr>
              <w:t>）</w:t>
            </w:r>
            <w:r>
              <w:rPr>
                <w:rFonts w:hint="eastAsia" w:ascii="宋体" w:hAnsi="宋体"/>
                <w:b/>
                <w:kern w:val="0"/>
              </w:rPr>
              <w:t>内保外贷签约（变更）登记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jc w:val="center"/>
        </w:trPr>
        <w:tc>
          <w:tcPr>
            <w:tcW w:w="1093" w:type="dxa"/>
            <w:tcBorders>
              <w:top w:val="single" w:color="000000" w:sz="4" w:space="0"/>
              <w:left w:val="single" w:color="000000" w:sz="4" w:space="0"/>
              <w:bottom w:val="single" w:color="000000" w:sz="4" w:space="0"/>
              <w:right w:val="single" w:color="000000" w:sz="4" w:space="0"/>
            </w:tcBorders>
            <w:vAlign w:val="center"/>
          </w:tcPr>
          <w:p>
            <w:pPr>
              <w:widowControl/>
              <w:snapToGrid w:val="0"/>
              <w:jc w:val="left"/>
              <w:rPr>
                <w:rFonts w:hint="default"/>
                <w:kern w:val="0"/>
                <w:sz w:val="20"/>
              </w:rPr>
            </w:pPr>
            <w:r>
              <w:rPr>
                <w:rFonts w:ascii="宋体" w:hAnsi="宋体"/>
                <w:kern w:val="0"/>
              </w:rPr>
              <w:t>设定依据</w:t>
            </w:r>
          </w:p>
          <w:p>
            <w:pPr>
              <w:widowControl/>
              <w:spacing w:line="271" w:lineRule="auto"/>
              <w:jc w:val="center"/>
              <w:rPr>
                <w:rFonts w:hint="default" w:ascii="Times New Roman" w:eastAsia="Times New Roman"/>
                <w:b/>
                <w:kern w:val="0"/>
              </w:rPr>
            </w:pPr>
          </w:p>
        </w:tc>
        <w:tc>
          <w:tcPr>
            <w:tcW w:w="7412" w:type="dxa"/>
            <w:tcBorders>
              <w:top w:val="single" w:color="000000" w:sz="4" w:space="0"/>
              <w:left w:val="nil"/>
              <w:bottom w:val="single" w:color="000000" w:sz="4" w:space="0"/>
              <w:right w:val="single" w:color="000000" w:sz="4" w:space="0"/>
            </w:tcBorders>
            <w:vAlign w:val="center"/>
          </w:tcPr>
          <w:p>
            <w:pPr>
              <w:widowControl/>
              <w:snapToGrid w:val="0"/>
              <w:jc w:val="left"/>
              <w:rPr>
                <w:rFonts w:hint="eastAsia" w:ascii="宋体" w:hAnsi="宋体"/>
                <w:kern w:val="0"/>
              </w:rPr>
            </w:pPr>
            <w:r>
              <w:rPr>
                <w:rFonts w:hint="eastAsia" w:ascii="宋体" w:hAnsi="宋体"/>
                <w:kern w:val="0"/>
              </w:rPr>
              <w:t>1.《中华人民共和国外汇管理条例》（国务院令第532号）。</w:t>
            </w:r>
          </w:p>
          <w:p>
            <w:pPr>
              <w:widowControl/>
              <w:snapToGrid w:val="0"/>
              <w:jc w:val="left"/>
              <w:rPr>
                <w:rFonts w:hint="eastAsia" w:ascii="宋体" w:hAnsi="宋体"/>
                <w:kern w:val="0"/>
              </w:rPr>
            </w:pPr>
            <w:r>
              <w:rPr>
                <w:rFonts w:hint="eastAsia" w:ascii="宋体" w:hAnsi="宋体"/>
                <w:kern w:val="0"/>
              </w:rPr>
              <w:t>2.《国家外汇管理局关于发布〈跨境担保外汇管理规定〉的通知》（汇发〔2014〕29号）。</w:t>
            </w:r>
          </w:p>
          <w:p>
            <w:pPr>
              <w:widowControl/>
              <w:snapToGrid w:val="0"/>
              <w:jc w:val="left"/>
              <w:rPr>
                <w:rFonts w:hint="eastAsia" w:ascii="宋体" w:hAnsi="宋体"/>
                <w:kern w:val="0"/>
              </w:rPr>
            </w:pPr>
            <w:r>
              <w:rPr>
                <w:rFonts w:hint="eastAsia" w:ascii="宋体" w:hAnsi="宋体"/>
                <w:kern w:val="0"/>
              </w:rPr>
              <w:t>3.《国家外汇管理局关于对部分非银行机构内保外贷业务实行集中登记管理的通知》（汇发〔2015〕15号）。</w:t>
            </w:r>
          </w:p>
          <w:p>
            <w:pPr>
              <w:widowControl/>
              <w:snapToGrid w:val="0"/>
              <w:jc w:val="left"/>
              <w:rPr>
                <w:rFonts w:hint="eastAsia" w:ascii="宋体" w:hAnsi="宋体"/>
                <w:kern w:val="0"/>
              </w:rPr>
            </w:pPr>
            <w:r>
              <w:rPr>
                <w:rFonts w:hint="eastAsia" w:ascii="宋体" w:hAnsi="宋体"/>
                <w:kern w:val="0"/>
              </w:rPr>
              <w:t>4.《国家外汇管理局关于发布〈金融机构外汇业务数据采集规范（1.1版）〉的通知》（汇发〔2016〕22号）。</w:t>
            </w:r>
          </w:p>
          <w:p>
            <w:pPr>
              <w:widowControl/>
              <w:snapToGrid w:val="0"/>
              <w:jc w:val="left"/>
              <w:rPr>
                <w:rFonts w:hint="eastAsia" w:ascii="宋体" w:hAnsi="宋体"/>
                <w:kern w:val="0"/>
              </w:rPr>
            </w:pPr>
            <w:r>
              <w:rPr>
                <w:rFonts w:hint="eastAsia" w:ascii="宋体" w:hAnsi="宋体"/>
                <w:kern w:val="0"/>
              </w:rPr>
              <w:t>5.《国家外汇管理局关于进一步推进外汇管理改革完善真实合规性审核的通知》（汇发〔2017〕3号）。</w:t>
            </w:r>
          </w:p>
          <w:p>
            <w:pPr>
              <w:widowControl/>
              <w:snapToGrid w:val="0"/>
              <w:jc w:val="left"/>
              <w:rPr>
                <w:rFonts w:hint="default"/>
                <w:kern w:val="0"/>
                <w:sz w:val="20"/>
              </w:rPr>
            </w:pPr>
            <w:r>
              <w:rPr>
                <w:rFonts w:hint="eastAsia" w:ascii="宋体" w:hAnsi="宋体"/>
                <w:kern w:val="0"/>
              </w:rPr>
              <w:t>6.其他相关法规。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jc w:val="center"/>
        </w:trPr>
        <w:tc>
          <w:tcPr>
            <w:tcW w:w="1093" w:type="dxa"/>
            <w:tcBorders>
              <w:top w:val="single" w:color="000000" w:sz="4" w:space="0"/>
              <w:left w:val="single" w:color="000000" w:sz="4" w:space="0"/>
              <w:bottom w:val="single" w:color="000000" w:sz="4" w:space="0"/>
              <w:right w:val="single" w:color="000000" w:sz="4" w:space="0"/>
            </w:tcBorders>
            <w:vAlign w:val="center"/>
          </w:tcPr>
          <w:p>
            <w:pPr>
              <w:widowControl/>
              <w:snapToGrid w:val="0"/>
              <w:jc w:val="left"/>
              <w:rPr>
                <w:rFonts w:hint="eastAsia" w:ascii="宋体" w:hAnsi="宋体"/>
                <w:kern w:val="0"/>
              </w:rPr>
            </w:pPr>
            <w:r>
              <w:rPr>
                <w:rFonts w:hint="eastAsia" w:ascii="宋体" w:hAnsi="宋体"/>
                <w:kern w:val="0"/>
              </w:rPr>
              <w:t>申请条件</w:t>
            </w:r>
          </w:p>
          <w:p>
            <w:pPr>
              <w:widowControl/>
              <w:snapToGrid w:val="0"/>
              <w:jc w:val="left"/>
              <w:rPr>
                <w:rFonts w:hint="eastAsia" w:ascii="宋体" w:hAnsi="宋体"/>
                <w:kern w:val="0"/>
                <w:lang w:val="en-US" w:eastAsia="zh-CN"/>
              </w:rPr>
            </w:pPr>
            <w:r>
              <w:rPr>
                <w:rFonts w:hint="eastAsia" w:ascii="宋体" w:hAnsi="宋体"/>
                <w:kern w:val="0"/>
                <w:lang w:val="en-US" w:eastAsia="zh-CN"/>
              </w:rPr>
              <w:t>及</w:t>
            </w:r>
          </w:p>
          <w:p>
            <w:pPr>
              <w:widowControl/>
              <w:snapToGrid w:val="0"/>
              <w:jc w:val="left"/>
              <w:rPr>
                <w:rFonts w:hint="eastAsia" w:ascii="宋体" w:hAnsi="宋体"/>
                <w:kern w:val="0"/>
                <w:lang w:val="en-US" w:eastAsia="zh-CN"/>
              </w:rPr>
            </w:pPr>
            <w:r>
              <w:rPr>
                <w:rFonts w:hint="eastAsia" w:ascii="宋体" w:hAnsi="宋体"/>
                <w:kern w:val="0"/>
                <w:lang w:val="en-US" w:eastAsia="zh-CN"/>
              </w:rPr>
              <w:t>注意事项</w:t>
            </w:r>
          </w:p>
        </w:tc>
        <w:tc>
          <w:tcPr>
            <w:tcW w:w="7412" w:type="dxa"/>
            <w:tcBorders>
              <w:top w:val="single" w:color="000000" w:sz="4" w:space="0"/>
              <w:left w:val="nil"/>
              <w:bottom w:val="single" w:color="000000" w:sz="4" w:space="0"/>
              <w:right w:val="single" w:color="000000" w:sz="4" w:space="0"/>
            </w:tcBorders>
            <w:vAlign w:val="center"/>
          </w:tcPr>
          <w:p>
            <w:pPr>
              <w:widowControl/>
              <w:snapToGrid w:val="0"/>
              <w:jc w:val="left"/>
              <w:rPr>
                <w:rFonts w:hint="eastAsia" w:ascii="宋体" w:hAnsi="宋体"/>
                <w:kern w:val="0"/>
              </w:rPr>
            </w:pPr>
            <w:r>
              <w:rPr>
                <w:rFonts w:hint="eastAsia" w:ascii="宋体" w:hAnsi="宋体"/>
                <w:kern w:val="0"/>
                <w:lang w:val="en-US" w:eastAsia="zh-CN"/>
              </w:rPr>
              <w:t>1.</w:t>
            </w:r>
            <w:r>
              <w:rPr>
                <w:rFonts w:hint="eastAsia" w:ascii="宋体" w:hAnsi="宋体"/>
                <w:kern w:val="0"/>
              </w:rPr>
              <w:t>担保人为非银行机构的，应在签订担保合同后15个工作日内到所在地外汇局办理内保外贷签约登记手续。</w:t>
            </w:r>
          </w:p>
          <w:p>
            <w:pPr>
              <w:widowControl/>
              <w:snapToGrid w:val="0"/>
              <w:jc w:val="left"/>
              <w:rPr>
                <w:rFonts w:hint="default" w:ascii="宋体" w:hAnsi="宋体"/>
                <w:kern w:val="0"/>
              </w:rPr>
            </w:pPr>
            <w:r>
              <w:rPr>
                <w:rFonts w:hint="eastAsia" w:ascii="宋体" w:hAnsi="宋体"/>
                <w:kern w:val="0"/>
                <w:lang w:val="en-US" w:eastAsia="zh-CN"/>
              </w:rPr>
              <w:t>2.</w:t>
            </w:r>
            <w:r>
              <w:rPr>
                <w:rFonts w:hint="eastAsia" w:ascii="宋体" w:hAnsi="宋体"/>
                <w:kern w:val="0"/>
              </w:rPr>
              <w:t>应审核债务人主体资格是否合法。</w:t>
            </w:r>
          </w:p>
          <w:p>
            <w:pPr>
              <w:widowControl/>
              <w:snapToGrid w:val="0"/>
              <w:jc w:val="left"/>
              <w:rPr>
                <w:rFonts w:hint="eastAsia" w:ascii="宋体" w:hAnsi="宋体"/>
                <w:kern w:val="0"/>
                <w:lang w:eastAsia="zh-CN"/>
              </w:rPr>
            </w:pPr>
            <w:r>
              <w:rPr>
                <w:rFonts w:hint="eastAsia" w:ascii="宋体" w:hAnsi="宋体"/>
                <w:kern w:val="0"/>
                <w:lang w:val="en-US" w:eastAsia="zh-CN"/>
              </w:rPr>
              <w:t>3.</w:t>
            </w:r>
            <w:r>
              <w:rPr>
                <w:rFonts w:hint="eastAsia" w:ascii="宋体" w:hAnsi="宋体"/>
                <w:kern w:val="0"/>
              </w:rPr>
              <w:t>内保外贷项下资金仅用于债务人正常经营范围内的相关支出，不得用于支持</w:t>
            </w:r>
            <w:r>
              <w:rPr>
                <w:rFonts w:hint="eastAsia" w:ascii="宋体" w:hAnsi="宋体"/>
                <w:kern w:val="0"/>
                <w:lang w:val="en-US" w:eastAsia="zh-CN"/>
              </w:rPr>
              <w:t>4</w:t>
            </w:r>
            <w:r>
              <w:rPr>
                <w:rFonts w:hint="eastAsia" w:ascii="宋体" w:hAnsi="宋体"/>
                <w:kern w:val="0"/>
              </w:rPr>
              <w:t>债务人从事正常业务范围以外的相关交易</w:t>
            </w:r>
            <w:r>
              <w:rPr>
                <w:rFonts w:hint="eastAsia" w:ascii="宋体" w:hAnsi="宋体"/>
                <w:kern w:val="0"/>
                <w:lang w:eastAsia="zh-CN"/>
              </w:rPr>
              <w:t>。</w:t>
            </w:r>
          </w:p>
          <w:p>
            <w:pPr>
              <w:widowControl/>
              <w:snapToGrid w:val="0"/>
              <w:jc w:val="left"/>
              <w:rPr>
                <w:rFonts w:hint="eastAsia" w:ascii="宋体" w:hAnsi="宋体"/>
                <w:kern w:val="0"/>
              </w:rPr>
            </w:pPr>
            <w:r>
              <w:rPr>
                <w:rFonts w:hint="eastAsia" w:ascii="宋体" w:hAnsi="宋体"/>
                <w:kern w:val="0"/>
                <w:lang w:val="en-US" w:eastAsia="zh-CN"/>
              </w:rPr>
              <w:t>4.</w:t>
            </w:r>
            <w:r>
              <w:rPr>
                <w:rFonts w:hint="eastAsia" w:ascii="宋体" w:hAnsi="宋体"/>
                <w:kern w:val="0"/>
              </w:rPr>
              <w:t>债务人可通过向境内进行放贷、股权投资等方式将担保项下资金直接或间接调回境内使用。</w:t>
            </w:r>
          </w:p>
          <w:p>
            <w:pPr>
              <w:widowControl/>
              <w:snapToGrid w:val="0"/>
              <w:jc w:val="left"/>
              <w:rPr>
                <w:rFonts w:hint="eastAsia" w:ascii="宋体" w:hAnsi="宋体"/>
                <w:kern w:val="0"/>
                <w:lang w:val="en-US" w:eastAsia="zh-CN"/>
              </w:rPr>
            </w:pPr>
            <w:r>
              <w:rPr>
                <w:rFonts w:hint="eastAsia" w:ascii="宋体" w:hAnsi="宋体"/>
                <w:kern w:val="0"/>
                <w:lang w:val="en-US" w:eastAsia="zh-CN"/>
              </w:rPr>
              <w:t>5.</w:t>
            </w:r>
            <w:r>
              <w:rPr>
                <w:rFonts w:hint="eastAsia" w:ascii="宋体" w:hAnsi="宋体"/>
                <w:kern w:val="0"/>
              </w:rPr>
              <w:t>内保外贷合同项下发生以下类型特殊交易时，应符合规定</w:t>
            </w:r>
            <w:r>
              <w:rPr>
                <w:rFonts w:hint="eastAsia" w:ascii="宋体" w:hAnsi="宋体"/>
                <w:kern w:val="0"/>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jc w:val="center"/>
        </w:trPr>
        <w:tc>
          <w:tcPr>
            <w:tcW w:w="1093" w:type="dxa"/>
            <w:tcBorders>
              <w:top w:val="single" w:color="000000" w:sz="4" w:space="0"/>
              <w:left w:val="single" w:color="000000" w:sz="4" w:space="0"/>
              <w:bottom w:val="single" w:color="000000" w:sz="4" w:space="0"/>
              <w:right w:val="single" w:color="000000" w:sz="4" w:space="0"/>
            </w:tcBorders>
            <w:vAlign w:val="center"/>
          </w:tcPr>
          <w:p>
            <w:pPr>
              <w:widowControl/>
              <w:snapToGrid w:val="0"/>
              <w:jc w:val="left"/>
              <w:rPr>
                <w:rFonts w:hint="default"/>
                <w:kern w:val="0"/>
                <w:sz w:val="20"/>
              </w:rPr>
            </w:pPr>
            <w:r>
              <w:rPr>
                <w:rFonts w:ascii="宋体" w:hAnsi="宋体"/>
                <w:kern w:val="0"/>
              </w:rPr>
              <w:t>办理材料</w:t>
            </w:r>
          </w:p>
        </w:tc>
        <w:tc>
          <w:tcPr>
            <w:tcW w:w="7412" w:type="dxa"/>
            <w:tcBorders>
              <w:top w:val="single" w:color="000000" w:sz="4" w:space="0"/>
              <w:left w:val="nil"/>
              <w:bottom w:val="single" w:color="000000" w:sz="4" w:space="0"/>
              <w:right w:val="single" w:color="000000" w:sz="4" w:space="0"/>
            </w:tcBorders>
            <w:vAlign w:val="center"/>
          </w:tcPr>
          <w:p>
            <w:pPr>
              <w:widowControl/>
              <w:snapToGrid w:val="0"/>
              <w:jc w:val="left"/>
              <w:rPr>
                <w:rFonts w:hint="eastAsia" w:ascii="宋体" w:hAnsi="宋体"/>
                <w:kern w:val="0"/>
              </w:rPr>
            </w:pPr>
            <w:r>
              <w:rPr>
                <w:rFonts w:hint="eastAsia" w:ascii="宋体" w:hAnsi="宋体"/>
                <w:kern w:val="0"/>
              </w:rPr>
              <w:t>一、非银行机构</w:t>
            </w:r>
          </w:p>
          <w:p>
            <w:pPr>
              <w:widowControl/>
              <w:snapToGrid w:val="0"/>
              <w:jc w:val="left"/>
              <w:rPr>
                <w:rFonts w:hint="eastAsia" w:ascii="宋体" w:hAnsi="宋体"/>
                <w:kern w:val="0"/>
              </w:rPr>
            </w:pPr>
            <w:r>
              <w:rPr>
                <w:rFonts w:hint="eastAsia" w:ascii="宋体" w:hAnsi="宋体"/>
                <w:kern w:val="0"/>
              </w:rPr>
              <w:t>1.申请书（内容包括但不限于担保申请人及债务人基本情况、已办理且未了结的各项跨境担保余额、本次担保交易内容要点、预计还款资金来源、其他需要说明的事项。有共同担保人的，应在申请报告中说明）。</w:t>
            </w:r>
          </w:p>
          <w:p>
            <w:pPr>
              <w:widowControl/>
              <w:snapToGrid w:val="0"/>
              <w:jc w:val="left"/>
              <w:rPr>
                <w:rFonts w:hint="eastAsia" w:ascii="宋体" w:hAnsi="宋体"/>
                <w:kern w:val="0"/>
              </w:rPr>
            </w:pPr>
            <w:r>
              <w:rPr>
                <w:rFonts w:hint="eastAsia" w:ascii="宋体" w:hAnsi="宋体"/>
                <w:kern w:val="0"/>
              </w:rPr>
              <w:t>2.担保合同和担保项下主债务合同（合同文本内容较多的，提供合同简明条款并加盖印章；合同为外文的，须提供中文翻译件并加盖印章）。</w:t>
            </w:r>
          </w:p>
          <w:p>
            <w:pPr>
              <w:widowControl/>
              <w:snapToGrid w:val="0"/>
              <w:jc w:val="left"/>
              <w:rPr>
                <w:rFonts w:hint="eastAsia" w:ascii="宋体" w:hAnsi="宋体"/>
                <w:kern w:val="0"/>
              </w:rPr>
            </w:pPr>
            <w:r>
              <w:rPr>
                <w:rFonts w:hint="eastAsia" w:ascii="宋体" w:hAnsi="宋体"/>
                <w:kern w:val="0"/>
              </w:rPr>
              <w:t>3.外汇局认为需要补充的相关证明材料（如发改委、商务部门关于境外投资项目的批准文件、被担保人主体资格合法性证明、担保的商业合理性证明、被担保人还款能力证明、办理变更登记时需要提供的变更材料等）。</w:t>
            </w:r>
          </w:p>
          <w:p>
            <w:pPr>
              <w:widowControl/>
              <w:snapToGrid w:val="0"/>
              <w:jc w:val="left"/>
              <w:rPr>
                <w:rFonts w:hint="eastAsia" w:ascii="宋体" w:hAnsi="宋体"/>
                <w:kern w:val="0"/>
              </w:rPr>
            </w:pPr>
            <w:r>
              <w:rPr>
                <w:rFonts w:hint="eastAsia" w:ascii="宋体" w:hAnsi="宋体"/>
                <w:kern w:val="0"/>
              </w:rPr>
              <w:t>二、银行</w:t>
            </w:r>
          </w:p>
          <w:p>
            <w:pPr>
              <w:widowControl/>
              <w:snapToGrid w:val="0"/>
              <w:jc w:val="left"/>
              <w:rPr>
                <w:rFonts w:hint="default"/>
                <w:kern w:val="0"/>
                <w:sz w:val="20"/>
              </w:rPr>
            </w:pPr>
            <w:r>
              <w:rPr>
                <w:rFonts w:hint="eastAsia" w:ascii="宋体" w:hAnsi="宋体"/>
                <w:kern w:val="0"/>
              </w:rPr>
              <w:t>担保人为银行的，由担保人每日通过数据接口程序或其他方式向外汇局资本项目信息系统报送内保外贷业务相关数据。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1" w:hRule="atLeast"/>
          <w:jc w:val="center"/>
        </w:trPr>
        <w:tc>
          <w:tcPr>
            <w:tcW w:w="1093" w:type="dxa"/>
            <w:tcBorders>
              <w:top w:val="single" w:color="000000" w:sz="4" w:space="0"/>
              <w:left w:val="single" w:color="000000" w:sz="4" w:space="0"/>
              <w:bottom w:val="single" w:color="000000" w:sz="4" w:space="0"/>
              <w:right w:val="single" w:color="000000" w:sz="4" w:space="0"/>
            </w:tcBorders>
            <w:vAlign w:val="center"/>
          </w:tcPr>
          <w:p>
            <w:pPr>
              <w:widowControl/>
              <w:snapToGrid w:val="0"/>
              <w:jc w:val="left"/>
              <w:rPr>
                <w:rFonts w:hint="default"/>
                <w:kern w:val="0"/>
                <w:sz w:val="20"/>
              </w:rPr>
            </w:pPr>
            <w:r>
              <w:rPr>
                <w:rFonts w:ascii="宋体" w:hAnsi="宋体"/>
                <w:kern w:val="0"/>
              </w:rPr>
              <w:t>办理地点</w:t>
            </w:r>
          </w:p>
        </w:tc>
        <w:tc>
          <w:tcPr>
            <w:tcW w:w="7412" w:type="dxa"/>
            <w:tcBorders>
              <w:top w:val="single" w:color="000000" w:sz="4" w:space="0"/>
              <w:left w:val="nil"/>
              <w:bottom w:val="single" w:color="000000" w:sz="4" w:space="0"/>
              <w:right w:val="single" w:color="000000" w:sz="4" w:space="0"/>
            </w:tcBorders>
            <w:vAlign w:val="top"/>
          </w:tcPr>
          <w:p>
            <w:pPr>
              <w:widowControl/>
              <w:snapToGrid w:val="0"/>
              <w:jc w:val="left"/>
              <w:rPr>
                <w:rFonts w:hint="default"/>
                <w:kern w:val="0"/>
              </w:rPr>
            </w:pPr>
            <w:r>
              <w:rPr>
                <w:rFonts w:ascii="宋体" w:hAnsi="宋体"/>
                <w:kern w:val="0"/>
              </w:rPr>
              <w:t>国家外汇管理局青海省分局外汇管理处资本科（西宁市昆仑路3号人民银行政务大厅）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jc w:val="center"/>
        </w:trPr>
        <w:tc>
          <w:tcPr>
            <w:tcW w:w="1093" w:type="dxa"/>
            <w:tcBorders>
              <w:top w:val="single" w:color="000000" w:sz="4" w:space="0"/>
              <w:left w:val="single" w:color="000000" w:sz="4" w:space="0"/>
              <w:bottom w:val="single" w:color="000000" w:sz="4" w:space="0"/>
              <w:right w:val="single" w:color="000000" w:sz="4" w:space="0"/>
            </w:tcBorders>
            <w:vAlign w:val="center"/>
          </w:tcPr>
          <w:p>
            <w:pPr>
              <w:widowControl/>
              <w:snapToGrid w:val="0"/>
              <w:jc w:val="left"/>
              <w:rPr>
                <w:rFonts w:hint="default"/>
                <w:kern w:val="0"/>
                <w:sz w:val="20"/>
              </w:rPr>
            </w:pPr>
            <w:r>
              <w:rPr>
                <w:rFonts w:ascii="宋体" w:hAnsi="宋体"/>
                <w:kern w:val="0"/>
              </w:rPr>
              <w:t>办理时间</w:t>
            </w:r>
          </w:p>
          <w:p>
            <w:pPr>
              <w:widowControl/>
              <w:spacing w:line="271" w:lineRule="auto"/>
              <w:jc w:val="center"/>
              <w:rPr>
                <w:rFonts w:hint="default" w:ascii="Times New Roman" w:eastAsia="Times New Roman"/>
                <w:b/>
                <w:kern w:val="0"/>
              </w:rPr>
            </w:pPr>
          </w:p>
        </w:tc>
        <w:tc>
          <w:tcPr>
            <w:tcW w:w="7412" w:type="dxa"/>
            <w:tcBorders>
              <w:top w:val="single" w:color="000000" w:sz="4" w:space="0"/>
              <w:left w:val="nil"/>
              <w:bottom w:val="single" w:color="000000" w:sz="4" w:space="0"/>
              <w:right w:val="single" w:color="000000" w:sz="4" w:space="0"/>
            </w:tcBorders>
            <w:vAlign w:val="top"/>
          </w:tcPr>
          <w:p>
            <w:pPr>
              <w:widowControl/>
              <w:snapToGrid w:val="0"/>
              <w:jc w:val="left"/>
              <w:rPr>
                <w:rFonts w:hint="default"/>
                <w:kern w:val="0"/>
              </w:rPr>
            </w:pPr>
            <w:r>
              <w:rPr>
                <w:rFonts w:ascii="宋体" w:hAnsi="宋体"/>
                <w:kern w:val="0"/>
              </w:rPr>
              <w:t>周一至周五（法定节假日除外）</w:t>
            </w:r>
          </w:p>
          <w:p>
            <w:pPr>
              <w:widowControl/>
              <w:snapToGrid w:val="0"/>
              <w:jc w:val="left"/>
              <w:rPr>
                <w:rFonts w:hint="default"/>
                <w:kern w:val="0"/>
                <w:sz w:val="20"/>
              </w:rPr>
            </w:pPr>
            <w:r>
              <w:rPr>
                <w:rFonts w:ascii="宋体" w:hAnsi="宋体"/>
                <w:kern w:val="0"/>
              </w:rPr>
              <w:t>上午8：30-11：30，下午2：00-5：30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jc w:val="center"/>
        </w:trPr>
        <w:tc>
          <w:tcPr>
            <w:tcW w:w="1093" w:type="dxa"/>
            <w:tcBorders>
              <w:top w:val="single" w:color="000000" w:sz="4" w:space="0"/>
              <w:left w:val="single" w:color="000000" w:sz="4" w:space="0"/>
              <w:bottom w:val="single" w:color="000000" w:sz="4" w:space="0"/>
              <w:right w:val="single" w:color="000000" w:sz="4" w:space="0"/>
            </w:tcBorders>
            <w:vAlign w:val="center"/>
          </w:tcPr>
          <w:p>
            <w:pPr>
              <w:widowControl/>
              <w:snapToGrid w:val="0"/>
              <w:jc w:val="left"/>
              <w:rPr>
                <w:rFonts w:hint="default"/>
                <w:kern w:val="0"/>
                <w:sz w:val="20"/>
              </w:rPr>
            </w:pPr>
            <w:r>
              <w:rPr>
                <w:rFonts w:ascii="宋体" w:hAnsi="宋体"/>
                <w:kern w:val="0"/>
              </w:rPr>
              <w:t>联系电话</w:t>
            </w:r>
          </w:p>
        </w:tc>
        <w:tc>
          <w:tcPr>
            <w:tcW w:w="7412" w:type="dxa"/>
            <w:tcBorders>
              <w:top w:val="single" w:color="000000" w:sz="4" w:space="0"/>
              <w:left w:val="nil"/>
              <w:bottom w:val="single" w:color="000000" w:sz="4" w:space="0"/>
              <w:right w:val="single" w:color="000000" w:sz="4" w:space="0"/>
            </w:tcBorders>
            <w:vAlign w:val="top"/>
          </w:tcPr>
          <w:p>
            <w:pPr>
              <w:widowControl/>
              <w:snapToGrid w:val="0"/>
              <w:jc w:val="left"/>
              <w:rPr>
                <w:rFonts w:hint="default"/>
                <w:kern w:val="0"/>
              </w:rPr>
            </w:pPr>
            <w:r>
              <w:rPr>
                <w:rFonts w:ascii="宋体" w:hAnsi="宋体"/>
                <w:kern w:val="0"/>
              </w:rPr>
              <w:t>0971-6126143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jc w:val="center"/>
        </w:trPr>
        <w:tc>
          <w:tcPr>
            <w:tcW w:w="1093" w:type="dxa"/>
            <w:tcBorders>
              <w:top w:val="single" w:color="000000" w:sz="4" w:space="0"/>
              <w:left w:val="single" w:color="000000" w:sz="4" w:space="0"/>
              <w:bottom w:val="single" w:color="000000" w:sz="4" w:space="0"/>
              <w:right w:val="single" w:color="000000" w:sz="4" w:space="0"/>
            </w:tcBorders>
            <w:vAlign w:val="center"/>
          </w:tcPr>
          <w:p>
            <w:pPr>
              <w:widowControl/>
              <w:snapToGrid w:val="0"/>
              <w:jc w:val="left"/>
              <w:rPr>
                <w:rFonts w:hint="default"/>
                <w:kern w:val="0"/>
                <w:sz w:val="20"/>
              </w:rPr>
            </w:pPr>
            <w:r>
              <w:rPr>
                <w:rFonts w:ascii="宋体" w:hAnsi="宋体"/>
                <w:kern w:val="0"/>
              </w:rPr>
              <w:t>办理流程</w:t>
            </w:r>
          </w:p>
        </w:tc>
        <w:tc>
          <w:tcPr>
            <w:tcW w:w="7412" w:type="dxa"/>
            <w:tcBorders>
              <w:top w:val="single" w:color="000000" w:sz="4" w:space="0"/>
              <w:left w:val="nil"/>
              <w:bottom w:val="single" w:color="000000" w:sz="4" w:space="0"/>
              <w:right w:val="single" w:color="000000" w:sz="4" w:space="0"/>
            </w:tcBorders>
            <w:vAlign w:val="top"/>
          </w:tcPr>
          <w:p>
            <w:pPr>
              <w:widowControl/>
              <w:numPr>
                <w:ilvl w:val="0"/>
                <w:numId w:val="13"/>
              </w:numPr>
              <w:snapToGrid w:val="0"/>
              <w:jc w:val="left"/>
              <w:rPr>
                <w:rFonts w:ascii="宋体" w:hAnsi="宋体"/>
                <w:kern w:val="0"/>
              </w:rPr>
            </w:pPr>
            <w:r>
              <w:rPr>
                <w:rFonts w:ascii="宋体" w:hAnsi="宋体"/>
                <w:kern w:val="0"/>
              </w:rPr>
              <w:t>签订担保合同；</w:t>
            </w:r>
          </w:p>
          <w:p>
            <w:pPr>
              <w:widowControl/>
              <w:numPr>
                <w:numId w:val="0"/>
              </w:numPr>
              <w:snapToGrid w:val="0"/>
              <w:jc w:val="left"/>
              <w:rPr>
                <w:rFonts w:hint="default"/>
                <w:kern w:val="0"/>
                <w:sz w:val="20"/>
              </w:rPr>
            </w:pPr>
            <w:r>
              <w:rPr>
                <w:rFonts w:ascii="宋体" w:hAnsi="宋体"/>
                <w:kern w:val="0"/>
              </w:rPr>
              <w:t>2.办理内保外贷签约登记，材料齐全当日办结，特殊情况五个工作日办结。</w:t>
            </w:r>
          </w:p>
        </w:tc>
      </w:tr>
    </w:tbl>
    <w:p>
      <w:pPr>
        <w:widowControl/>
        <w:rPr>
          <w:rFonts w:hint="default"/>
          <w:kern w:val="0"/>
        </w:rPr>
      </w:pPr>
    </w:p>
    <w:p>
      <w:pPr>
        <w:widowControl/>
        <w:rPr>
          <w:rFonts w:hint="default"/>
          <w:kern w:val="0"/>
        </w:rPr>
      </w:pPr>
    </w:p>
    <w:p>
      <w:pPr>
        <w:widowControl/>
        <w:rPr>
          <w:rFonts w:hint="default"/>
          <w:kern w:val="0"/>
        </w:rPr>
      </w:pPr>
    </w:p>
    <w:p>
      <w:pPr>
        <w:widowControl/>
        <w:rPr>
          <w:rFonts w:hint="default"/>
          <w:kern w:val="0"/>
        </w:rPr>
      </w:pPr>
    </w:p>
    <w:p>
      <w:pPr>
        <w:widowControl/>
        <w:rPr>
          <w:rFonts w:hint="default"/>
          <w:kern w:val="0"/>
        </w:rPr>
      </w:pPr>
    </w:p>
    <w:tbl>
      <w:tblPr>
        <w:tblStyle w:val="16"/>
        <w:tblW w:w="850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093"/>
        <w:gridCol w:w="741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jc w:val="center"/>
        </w:trPr>
        <w:tc>
          <w:tcPr>
            <w:tcW w:w="1093" w:type="dxa"/>
            <w:tcBorders>
              <w:top w:val="single" w:color="000000" w:sz="4" w:space="0"/>
              <w:left w:val="single" w:color="000000" w:sz="4" w:space="0"/>
              <w:bottom w:val="single" w:color="000000" w:sz="4" w:space="0"/>
              <w:right w:val="single" w:color="000000" w:sz="4" w:space="0"/>
            </w:tcBorders>
            <w:vAlign w:val="center"/>
          </w:tcPr>
          <w:p>
            <w:pPr>
              <w:widowControl/>
              <w:snapToGrid w:val="0"/>
              <w:jc w:val="left"/>
              <w:rPr>
                <w:rFonts w:hint="default"/>
                <w:kern w:val="0"/>
                <w:sz w:val="20"/>
              </w:rPr>
            </w:pPr>
            <w:r>
              <w:rPr>
                <w:rFonts w:ascii="宋体" w:hAnsi="宋体"/>
                <w:kern w:val="0"/>
              </w:rPr>
              <w:t>业务名称</w:t>
            </w:r>
          </w:p>
        </w:tc>
        <w:tc>
          <w:tcPr>
            <w:tcW w:w="7412" w:type="dxa"/>
            <w:tcBorders>
              <w:top w:val="single" w:color="000000" w:sz="4" w:space="0"/>
              <w:left w:val="nil"/>
              <w:bottom w:val="single" w:color="000000" w:sz="4" w:space="0"/>
              <w:right w:val="single" w:color="000000" w:sz="4" w:space="0"/>
            </w:tcBorders>
            <w:vAlign w:val="center"/>
          </w:tcPr>
          <w:p>
            <w:pPr>
              <w:widowControl/>
              <w:snapToGrid w:val="0"/>
              <w:jc w:val="left"/>
              <w:rPr>
                <w:rFonts w:hint="default"/>
                <w:b/>
                <w:kern w:val="0"/>
                <w:sz w:val="20"/>
              </w:rPr>
            </w:pPr>
            <w:r>
              <w:rPr>
                <w:rFonts w:ascii="宋体" w:hAnsi="宋体"/>
                <w:b/>
                <w:kern w:val="0"/>
              </w:rPr>
              <w:t>（</w:t>
            </w:r>
            <w:r>
              <w:rPr>
                <w:rFonts w:hint="eastAsia" w:ascii="宋体" w:hAnsi="宋体"/>
                <w:b/>
                <w:kern w:val="0"/>
                <w:lang w:eastAsia="zh-CN"/>
              </w:rPr>
              <w:t>八</w:t>
            </w:r>
            <w:r>
              <w:rPr>
                <w:rFonts w:ascii="宋体" w:hAnsi="宋体"/>
                <w:b/>
                <w:kern w:val="0"/>
              </w:rPr>
              <w:t>）内保外贷注销登记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jc w:val="center"/>
        </w:trPr>
        <w:tc>
          <w:tcPr>
            <w:tcW w:w="1093" w:type="dxa"/>
            <w:tcBorders>
              <w:top w:val="single" w:color="000000" w:sz="4" w:space="0"/>
              <w:left w:val="single" w:color="000000" w:sz="4" w:space="0"/>
              <w:bottom w:val="single" w:color="000000" w:sz="4" w:space="0"/>
              <w:right w:val="single" w:color="000000" w:sz="4" w:space="0"/>
            </w:tcBorders>
            <w:vAlign w:val="center"/>
          </w:tcPr>
          <w:p>
            <w:pPr>
              <w:widowControl/>
              <w:snapToGrid w:val="0"/>
              <w:jc w:val="left"/>
              <w:rPr>
                <w:rFonts w:hint="default"/>
                <w:kern w:val="0"/>
                <w:sz w:val="20"/>
              </w:rPr>
            </w:pPr>
            <w:r>
              <w:rPr>
                <w:rFonts w:ascii="宋体" w:hAnsi="宋体"/>
                <w:kern w:val="0"/>
              </w:rPr>
              <w:t>设定依据</w:t>
            </w:r>
          </w:p>
          <w:p>
            <w:pPr>
              <w:widowControl/>
              <w:spacing w:line="271" w:lineRule="auto"/>
              <w:jc w:val="center"/>
              <w:rPr>
                <w:rFonts w:hint="default" w:ascii="Times New Roman" w:eastAsia="Times New Roman"/>
                <w:b/>
                <w:kern w:val="0"/>
              </w:rPr>
            </w:pPr>
          </w:p>
        </w:tc>
        <w:tc>
          <w:tcPr>
            <w:tcW w:w="7412" w:type="dxa"/>
            <w:tcBorders>
              <w:top w:val="single" w:color="000000" w:sz="4" w:space="0"/>
              <w:left w:val="nil"/>
              <w:bottom w:val="single" w:color="000000" w:sz="4" w:space="0"/>
              <w:right w:val="single" w:color="000000" w:sz="4" w:space="0"/>
            </w:tcBorders>
            <w:vAlign w:val="center"/>
          </w:tcPr>
          <w:p>
            <w:pPr>
              <w:widowControl/>
              <w:snapToGrid w:val="0"/>
              <w:jc w:val="left"/>
              <w:rPr>
                <w:rFonts w:ascii="宋体" w:hAnsi="宋体"/>
                <w:kern w:val="0"/>
              </w:rPr>
            </w:pPr>
            <w:r>
              <w:rPr>
                <w:rFonts w:hint="eastAsia" w:ascii="宋体" w:hAnsi="宋体"/>
                <w:kern w:val="0"/>
                <w:lang w:val="en-US" w:eastAsia="zh-CN"/>
              </w:rPr>
              <w:t>1.</w:t>
            </w:r>
            <w:r>
              <w:rPr>
                <w:rFonts w:hint="eastAsia" w:ascii="宋体" w:hAnsi="宋体"/>
                <w:kern w:val="0"/>
              </w:rPr>
              <w:t>《中华人民共和国外汇管理条例》（国务院令第</w:t>
            </w:r>
            <w:r>
              <w:rPr>
                <w:rFonts w:ascii="宋体" w:hAnsi="宋体"/>
                <w:kern w:val="0"/>
              </w:rPr>
              <w:t>532</w:t>
            </w:r>
            <w:r>
              <w:rPr>
                <w:rFonts w:hint="eastAsia" w:ascii="宋体" w:hAnsi="宋体"/>
                <w:kern w:val="0"/>
              </w:rPr>
              <w:t>号）。</w:t>
            </w:r>
          </w:p>
          <w:p>
            <w:pPr>
              <w:widowControl/>
              <w:snapToGrid w:val="0"/>
              <w:jc w:val="left"/>
              <w:rPr>
                <w:rFonts w:ascii="宋体" w:hAnsi="宋体"/>
                <w:kern w:val="0"/>
              </w:rPr>
            </w:pPr>
            <w:r>
              <w:rPr>
                <w:rFonts w:hint="eastAsia" w:ascii="宋体" w:hAnsi="宋体"/>
                <w:kern w:val="0"/>
                <w:lang w:val="en-US" w:eastAsia="zh-CN"/>
              </w:rPr>
              <w:t>2.</w:t>
            </w:r>
            <w:r>
              <w:rPr>
                <w:rFonts w:hint="eastAsia" w:ascii="宋体" w:hAnsi="宋体"/>
                <w:kern w:val="0"/>
              </w:rPr>
              <w:t>《国家外汇管理局关于发布〈跨境担保外汇管理规定〉的通知》（汇发</w:t>
            </w:r>
            <w:r>
              <w:rPr>
                <w:rFonts w:ascii="宋体" w:hAnsi="宋体"/>
                <w:kern w:val="0"/>
              </w:rPr>
              <w:t>〔2014〕29</w:t>
            </w:r>
            <w:r>
              <w:rPr>
                <w:rFonts w:hint="eastAsia" w:ascii="宋体" w:hAnsi="宋体"/>
                <w:kern w:val="0"/>
              </w:rPr>
              <w:t>号）。</w:t>
            </w:r>
          </w:p>
          <w:p>
            <w:pPr>
              <w:widowControl/>
              <w:snapToGrid w:val="0"/>
              <w:jc w:val="left"/>
              <w:rPr>
                <w:rFonts w:ascii="宋体" w:hAnsi="宋体"/>
                <w:kern w:val="0"/>
              </w:rPr>
            </w:pPr>
            <w:r>
              <w:rPr>
                <w:rFonts w:hint="eastAsia" w:ascii="宋体" w:hAnsi="宋体"/>
                <w:kern w:val="0"/>
                <w:lang w:val="en-US" w:eastAsia="zh-CN"/>
              </w:rPr>
              <w:t>3</w:t>
            </w:r>
            <w:r>
              <w:rPr>
                <w:rFonts w:hint="eastAsia" w:ascii="宋体" w:hAnsi="宋体"/>
                <w:kern w:val="0"/>
              </w:rPr>
              <w:t>.《国家外汇管理局关于发布〈金融机构外汇业务数据采集规范（1.1版）〉的通知》（汇发〔2016〕22号）。</w:t>
            </w:r>
          </w:p>
          <w:p>
            <w:pPr>
              <w:widowControl/>
              <w:snapToGrid w:val="0"/>
              <w:jc w:val="left"/>
              <w:rPr>
                <w:rFonts w:ascii="宋体" w:hAnsi="宋体"/>
                <w:kern w:val="0"/>
              </w:rPr>
            </w:pPr>
            <w:r>
              <w:rPr>
                <w:rFonts w:hint="eastAsia" w:ascii="宋体" w:hAnsi="宋体"/>
                <w:kern w:val="0"/>
              </w:rPr>
              <w:t>4.其他相关法规。</w:t>
            </w:r>
          </w:p>
          <w:p>
            <w:pPr>
              <w:widowControl/>
              <w:snapToGrid w:val="0"/>
              <w:jc w:val="left"/>
              <w:rPr>
                <w:rFonts w:hint="default"/>
                <w:kern w:val="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jc w:val="center"/>
        </w:trPr>
        <w:tc>
          <w:tcPr>
            <w:tcW w:w="1093"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rFonts w:ascii="宋体" w:hAnsi="宋体"/>
                <w:kern w:val="0"/>
              </w:rPr>
            </w:pPr>
            <w:r>
              <w:rPr>
                <w:rFonts w:ascii="宋体" w:hAnsi="宋体"/>
                <w:kern w:val="0"/>
              </w:rPr>
              <w:t>申请条件</w:t>
            </w:r>
          </w:p>
          <w:p>
            <w:pPr>
              <w:widowControl/>
              <w:snapToGrid w:val="0"/>
              <w:jc w:val="center"/>
              <w:rPr>
                <w:rFonts w:hint="eastAsia" w:ascii="宋体" w:hAnsi="宋体"/>
                <w:kern w:val="0"/>
                <w:lang w:val="en-US" w:eastAsia="zh-CN"/>
              </w:rPr>
            </w:pPr>
            <w:r>
              <w:rPr>
                <w:rFonts w:hint="eastAsia" w:ascii="宋体" w:hAnsi="宋体"/>
                <w:kern w:val="0"/>
                <w:lang w:val="en-US" w:eastAsia="zh-CN"/>
              </w:rPr>
              <w:t>及</w:t>
            </w:r>
          </w:p>
          <w:p>
            <w:pPr>
              <w:widowControl/>
              <w:snapToGrid w:val="0"/>
              <w:jc w:val="center"/>
              <w:rPr>
                <w:rFonts w:hint="eastAsia" w:ascii="宋体" w:hAnsi="宋体"/>
                <w:kern w:val="0"/>
                <w:lang w:val="en-US" w:eastAsia="zh-CN"/>
              </w:rPr>
            </w:pPr>
            <w:r>
              <w:rPr>
                <w:rFonts w:hint="eastAsia" w:ascii="宋体" w:hAnsi="宋体"/>
                <w:kern w:val="0"/>
                <w:lang w:val="en-US" w:eastAsia="zh-CN"/>
              </w:rPr>
              <w:t>注意事项</w:t>
            </w:r>
          </w:p>
        </w:tc>
        <w:tc>
          <w:tcPr>
            <w:tcW w:w="7412" w:type="dxa"/>
            <w:tcBorders>
              <w:top w:val="single" w:color="000000" w:sz="4" w:space="0"/>
              <w:left w:val="nil"/>
              <w:bottom w:val="single" w:color="000000" w:sz="4" w:space="0"/>
              <w:right w:val="single" w:color="000000" w:sz="4" w:space="0"/>
            </w:tcBorders>
            <w:vAlign w:val="center"/>
          </w:tcPr>
          <w:p>
            <w:pPr>
              <w:widowControl/>
              <w:snapToGrid w:val="0"/>
              <w:jc w:val="left"/>
              <w:rPr>
                <w:rFonts w:hint="eastAsia" w:ascii="宋体" w:hAnsi="宋体"/>
                <w:kern w:val="0"/>
              </w:rPr>
            </w:pPr>
            <w:r>
              <w:rPr>
                <w:rFonts w:hint="eastAsia" w:ascii="宋体" w:hAnsi="宋体"/>
                <w:kern w:val="0"/>
              </w:rPr>
              <w:t>1.非银行机构应在还清担保项下债务、担保人付款责任到期或发生担保履约后15个工作日内到外汇局申请注销相关登记。</w:t>
            </w:r>
          </w:p>
          <w:p>
            <w:pPr>
              <w:widowControl/>
              <w:snapToGrid w:val="0"/>
              <w:jc w:val="left"/>
              <w:rPr>
                <w:rFonts w:hint="default" w:ascii="宋体" w:hAnsi="宋体"/>
                <w:kern w:val="0"/>
              </w:rPr>
            </w:pPr>
            <w:r>
              <w:rPr>
                <w:rFonts w:hint="eastAsia" w:ascii="宋体" w:hAnsi="宋体"/>
                <w:kern w:val="0"/>
              </w:rPr>
              <w:t>2.同一内保外贷业务下存在多个境内担保人的，由原办理担保登记的担保人到所在地外汇局办理注销登记。境内个人参照非金融机构办理注销登记。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jc w:val="center"/>
        </w:trPr>
        <w:tc>
          <w:tcPr>
            <w:tcW w:w="1093" w:type="dxa"/>
            <w:tcBorders>
              <w:top w:val="single" w:color="000000" w:sz="4" w:space="0"/>
              <w:left w:val="single" w:color="000000" w:sz="4" w:space="0"/>
              <w:bottom w:val="single" w:color="000000" w:sz="4" w:space="0"/>
              <w:right w:val="single" w:color="000000" w:sz="4" w:space="0"/>
            </w:tcBorders>
            <w:vAlign w:val="center"/>
          </w:tcPr>
          <w:p>
            <w:pPr>
              <w:widowControl/>
              <w:snapToGrid w:val="0"/>
              <w:jc w:val="left"/>
              <w:rPr>
                <w:rFonts w:hint="default"/>
                <w:kern w:val="0"/>
                <w:sz w:val="20"/>
              </w:rPr>
            </w:pPr>
            <w:r>
              <w:rPr>
                <w:rFonts w:ascii="宋体" w:hAnsi="宋体"/>
                <w:kern w:val="0"/>
              </w:rPr>
              <w:t>办理材料</w:t>
            </w:r>
          </w:p>
        </w:tc>
        <w:tc>
          <w:tcPr>
            <w:tcW w:w="7412" w:type="dxa"/>
            <w:tcBorders>
              <w:top w:val="single" w:color="000000" w:sz="4" w:space="0"/>
              <w:left w:val="nil"/>
              <w:bottom w:val="single" w:color="000000" w:sz="4" w:space="0"/>
              <w:right w:val="single" w:color="000000" w:sz="4" w:space="0"/>
            </w:tcBorders>
            <w:vAlign w:val="center"/>
          </w:tcPr>
          <w:p>
            <w:pPr>
              <w:widowControl/>
              <w:snapToGrid w:val="0"/>
              <w:jc w:val="left"/>
              <w:rPr>
                <w:rFonts w:hint="eastAsia" w:ascii="宋体" w:hAnsi="宋体"/>
                <w:kern w:val="0"/>
              </w:rPr>
            </w:pPr>
            <w:r>
              <w:rPr>
                <w:rFonts w:hint="eastAsia" w:ascii="宋体" w:hAnsi="宋体"/>
                <w:kern w:val="0"/>
              </w:rPr>
              <w:t>一、非银行机构</w:t>
            </w:r>
          </w:p>
          <w:p>
            <w:pPr>
              <w:widowControl/>
              <w:snapToGrid w:val="0"/>
              <w:jc w:val="left"/>
              <w:rPr>
                <w:rFonts w:hint="eastAsia" w:ascii="宋体" w:hAnsi="宋体"/>
                <w:kern w:val="0"/>
              </w:rPr>
            </w:pPr>
            <w:r>
              <w:rPr>
                <w:rFonts w:hint="eastAsia" w:ascii="宋体" w:hAnsi="宋体"/>
                <w:kern w:val="0"/>
              </w:rPr>
              <w:t>1.申请书。</w:t>
            </w:r>
          </w:p>
          <w:p>
            <w:pPr>
              <w:widowControl/>
              <w:snapToGrid w:val="0"/>
              <w:jc w:val="left"/>
              <w:rPr>
                <w:rFonts w:hint="eastAsia" w:ascii="宋体" w:hAnsi="宋体"/>
                <w:kern w:val="0"/>
              </w:rPr>
            </w:pPr>
            <w:r>
              <w:rPr>
                <w:rFonts w:hint="eastAsia" w:ascii="宋体" w:hAnsi="宋体"/>
                <w:kern w:val="0"/>
              </w:rPr>
              <w:t>2.内保外贷责任解除的相关证明材料。</w:t>
            </w:r>
          </w:p>
          <w:p>
            <w:pPr>
              <w:widowControl/>
              <w:snapToGrid w:val="0"/>
              <w:jc w:val="left"/>
              <w:rPr>
                <w:rFonts w:hint="eastAsia" w:ascii="宋体" w:hAnsi="宋体"/>
                <w:kern w:val="0"/>
              </w:rPr>
            </w:pPr>
            <w:r>
              <w:rPr>
                <w:rFonts w:hint="eastAsia" w:ascii="宋体" w:hAnsi="宋体"/>
                <w:kern w:val="0"/>
              </w:rPr>
              <w:t>3.内保外贷《对外担保登记表》。</w:t>
            </w:r>
          </w:p>
          <w:p>
            <w:pPr>
              <w:widowControl/>
              <w:snapToGrid w:val="0"/>
              <w:jc w:val="left"/>
              <w:rPr>
                <w:rFonts w:hint="eastAsia" w:ascii="宋体" w:hAnsi="宋体"/>
                <w:kern w:val="0"/>
              </w:rPr>
            </w:pPr>
            <w:r>
              <w:rPr>
                <w:rFonts w:hint="eastAsia" w:ascii="宋体" w:hAnsi="宋体"/>
                <w:kern w:val="0"/>
              </w:rPr>
              <w:t>4.外汇局要求提供的其他材料。</w:t>
            </w:r>
          </w:p>
          <w:p>
            <w:pPr>
              <w:widowControl/>
              <w:snapToGrid w:val="0"/>
              <w:jc w:val="left"/>
              <w:rPr>
                <w:rFonts w:hint="eastAsia" w:ascii="宋体" w:hAnsi="宋体"/>
                <w:kern w:val="0"/>
              </w:rPr>
            </w:pPr>
            <w:r>
              <w:rPr>
                <w:rFonts w:hint="eastAsia" w:ascii="宋体" w:hAnsi="宋体"/>
                <w:kern w:val="0"/>
              </w:rPr>
              <w:t>二、银行</w:t>
            </w:r>
          </w:p>
          <w:p>
            <w:pPr>
              <w:widowControl/>
              <w:snapToGrid w:val="0"/>
              <w:jc w:val="left"/>
              <w:rPr>
                <w:rFonts w:hint="default"/>
                <w:kern w:val="0"/>
                <w:sz w:val="20"/>
              </w:rPr>
            </w:pPr>
            <w:r>
              <w:rPr>
                <w:rFonts w:hint="eastAsia" w:ascii="宋体" w:hAnsi="宋体"/>
                <w:kern w:val="0"/>
              </w:rPr>
              <w:t>担保人为银行的，由担保人每日通过数据接口程序或其他方式向外汇局资本项目信息系统报送内保外贷业务相关数据。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1" w:hRule="atLeast"/>
          <w:jc w:val="center"/>
        </w:trPr>
        <w:tc>
          <w:tcPr>
            <w:tcW w:w="1093" w:type="dxa"/>
            <w:tcBorders>
              <w:top w:val="single" w:color="000000" w:sz="4" w:space="0"/>
              <w:left w:val="single" w:color="000000" w:sz="4" w:space="0"/>
              <w:bottom w:val="single" w:color="000000" w:sz="4" w:space="0"/>
              <w:right w:val="single" w:color="000000" w:sz="4" w:space="0"/>
            </w:tcBorders>
            <w:vAlign w:val="center"/>
          </w:tcPr>
          <w:p>
            <w:pPr>
              <w:widowControl/>
              <w:snapToGrid w:val="0"/>
              <w:jc w:val="left"/>
              <w:rPr>
                <w:rFonts w:hint="default"/>
                <w:kern w:val="0"/>
                <w:sz w:val="20"/>
              </w:rPr>
            </w:pPr>
            <w:r>
              <w:rPr>
                <w:rFonts w:ascii="宋体" w:hAnsi="宋体"/>
                <w:kern w:val="0"/>
              </w:rPr>
              <w:t>办理地点</w:t>
            </w:r>
          </w:p>
        </w:tc>
        <w:tc>
          <w:tcPr>
            <w:tcW w:w="7412" w:type="dxa"/>
            <w:tcBorders>
              <w:top w:val="single" w:color="000000" w:sz="4" w:space="0"/>
              <w:left w:val="nil"/>
              <w:bottom w:val="single" w:color="000000" w:sz="4" w:space="0"/>
              <w:right w:val="single" w:color="000000" w:sz="4" w:space="0"/>
            </w:tcBorders>
            <w:vAlign w:val="top"/>
          </w:tcPr>
          <w:p>
            <w:pPr>
              <w:widowControl/>
              <w:snapToGrid w:val="0"/>
              <w:jc w:val="left"/>
              <w:rPr>
                <w:rFonts w:hint="default"/>
                <w:kern w:val="0"/>
              </w:rPr>
            </w:pPr>
            <w:r>
              <w:rPr>
                <w:rFonts w:ascii="宋体" w:hAnsi="宋体"/>
                <w:kern w:val="0"/>
              </w:rPr>
              <w:t>国家外汇管理局青海省分局外汇管理处资本科（西宁市昆仑路3号人民银行政务大厅）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jc w:val="center"/>
        </w:trPr>
        <w:tc>
          <w:tcPr>
            <w:tcW w:w="1093" w:type="dxa"/>
            <w:tcBorders>
              <w:top w:val="single" w:color="000000" w:sz="4" w:space="0"/>
              <w:left w:val="single" w:color="000000" w:sz="4" w:space="0"/>
              <w:bottom w:val="single" w:color="000000" w:sz="4" w:space="0"/>
              <w:right w:val="single" w:color="000000" w:sz="4" w:space="0"/>
            </w:tcBorders>
            <w:vAlign w:val="center"/>
          </w:tcPr>
          <w:p>
            <w:pPr>
              <w:widowControl/>
              <w:snapToGrid w:val="0"/>
              <w:jc w:val="left"/>
              <w:rPr>
                <w:rFonts w:hint="default"/>
                <w:kern w:val="0"/>
                <w:sz w:val="20"/>
              </w:rPr>
            </w:pPr>
            <w:r>
              <w:rPr>
                <w:rFonts w:ascii="宋体" w:hAnsi="宋体"/>
                <w:kern w:val="0"/>
              </w:rPr>
              <w:t>办理时间</w:t>
            </w:r>
          </w:p>
          <w:p>
            <w:pPr>
              <w:widowControl/>
              <w:spacing w:line="271" w:lineRule="auto"/>
              <w:jc w:val="center"/>
              <w:rPr>
                <w:rFonts w:hint="default" w:ascii="Times New Roman" w:eastAsia="Times New Roman"/>
                <w:b/>
                <w:kern w:val="0"/>
              </w:rPr>
            </w:pPr>
          </w:p>
        </w:tc>
        <w:tc>
          <w:tcPr>
            <w:tcW w:w="7412" w:type="dxa"/>
            <w:tcBorders>
              <w:top w:val="single" w:color="000000" w:sz="4" w:space="0"/>
              <w:left w:val="nil"/>
              <w:bottom w:val="single" w:color="000000" w:sz="4" w:space="0"/>
              <w:right w:val="single" w:color="000000" w:sz="4" w:space="0"/>
            </w:tcBorders>
            <w:vAlign w:val="top"/>
          </w:tcPr>
          <w:p>
            <w:pPr>
              <w:widowControl/>
              <w:snapToGrid w:val="0"/>
              <w:jc w:val="left"/>
              <w:rPr>
                <w:rFonts w:hint="default"/>
                <w:kern w:val="0"/>
              </w:rPr>
            </w:pPr>
            <w:r>
              <w:rPr>
                <w:rFonts w:ascii="宋体" w:hAnsi="宋体"/>
                <w:kern w:val="0"/>
              </w:rPr>
              <w:t>周一至周五（法定节假日除外）</w:t>
            </w:r>
          </w:p>
          <w:p>
            <w:pPr>
              <w:widowControl/>
              <w:snapToGrid w:val="0"/>
              <w:jc w:val="left"/>
              <w:rPr>
                <w:rFonts w:hint="default"/>
                <w:kern w:val="0"/>
                <w:sz w:val="20"/>
              </w:rPr>
            </w:pPr>
            <w:r>
              <w:rPr>
                <w:rFonts w:ascii="宋体" w:hAnsi="宋体"/>
                <w:kern w:val="0"/>
              </w:rPr>
              <w:t>上午8：30-11：30，下午2：00-5：30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jc w:val="center"/>
        </w:trPr>
        <w:tc>
          <w:tcPr>
            <w:tcW w:w="1093" w:type="dxa"/>
            <w:tcBorders>
              <w:top w:val="single" w:color="000000" w:sz="4" w:space="0"/>
              <w:left w:val="single" w:color="000000" w:sz="4" w:space="0"/>
              <w:bottom w:val="single" w:color="000000" w:sz="4" w:space="0"/>
              <w:right w:val="single" w:color="000000" w:sz="4" w:space="0"/>
            </w:tcBorders>
            <w:vAlign w:val="center"/>
          </w:tcPr>
          <w:p>
            <w:pPr>
              <w:widowControl/>
              <w:snapToGrid w:val="0"/>
              <w:jc w:val="left"/>
              <w:rPr>
                <w:rFonts w:hint="default"/>
                <w:kern w:val="0"/>
                <w:sz w:val="20"/>
              </w:rPr>
            </w:pPr>
            <w:r>
              <w:rPr>
                <w:rFonts w:ascii="宋体" w:hAnsi="宋体"/>
                <w:kern w:val="0"/>
              </w:rPr>
              <w:t>联系电话</w:t>
            </w:r>
          </w:p>
        </w:tc>
        <w:tc>
          <w:tcPr>
            <w:tcW w:w="7412" w:type="dxa"/>
            <w:tcBorders>
              <w:top w:val="single" w:color="000000" w:sz="4" w:space="0"/>
              <w:left w:val="nil"/>
              <w:bottom w:val="single" w:color="000000" w:sz="4" w:space="0"/>
              <w:right w:val="single" w:color="000000" w:sz="4" w:space="0"/>
            </w:tcBorders>
            <w:vAlign w:val="top"/>
          </w:tcPr>
          <w:p>
            <w:pPr>
              <w:widowControl/>
              <w:snapToGrid w:val="0"/>
              <w:jc w:val="left"/>
              <w:rPr>
                <w:rFonts w:hint="default"/>
                <w:kern w:val="0"/>
              </w:rPr>
            </w:pPr>
            <w:r>
              <w:rPr>
                <w:rFonts w:ascii="宋体" w:hAnsi="宋体"/>
                <w:kern w:val="0"/>
              </w:rPr>
              <w:t>0971-6126143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jc w:val="center"/>
        </w:trPr>
        <w:tc>
          <w:tcPr>
            <w:tcW w:w="1093" w:type="dxa"/>
            <w:tcBorders>
              <w:top w:val="single" w:color="000000" w:sz="4" w:space="0"/>
              <w:left w:val="single" w:color="000000" w:sz="4" w:space="0"/>
              <w:bottom w:val="single" w:color="000000" w:sz="4" w:space="0"/>
              <w:right w:val="single" w:color="000000" w:sz="4" w:space="0"/>
            </w:tcBorders>
            <w:vAlign w:val="center"/>
          </w:tcPr>
          <w:p>
            <w:pPr>
              <w:widowControl/>
              <w:snapToGrid w:val="0"/>
              <w:jc w:val="left"/>
              <w:rPr>
                <w:rFonts w:hint="default"/>
                <w:kern w:val="0"/>
                <w:sz w:val="20"/>
              </w:rPr>
            </w:pPr>
            <w:r>
              <w:rPr>
                <w:rFonts w:ascii="宋体" w:hAnsi="宋体"/>
                <w:kern w:val="0"/>
              </w:rPr>
              <w:t>办理流程</w:t>
            </w:r>
          </w:p>
        </w:tc>
        <w:tc>
          <w:tcPr>
            <w:tcW w:w="7412" w:type="dxa"/>
            <w:tcBorders>
              <w:top w:val="single" w:color="000000" w:sz="4" w:space="0"/>
              <w:left w:val="nil"/>
              <w:bottom w:val="single" w:color="000000" w:sz="4" w:space="0"/>
              <w:right w:val="single" w:color="000000" w:sz="4" w:space="0"/>
            </w:tcBorders>
            <w:vAlign w:val="top"/>
          </w:tcPr>
          <w:p>
            <w:pPr>
              <w:widowControl/>
              <w:numPr>
                <w:ilvl w:val="0"/>
                <w:numId w:val="14"/>
              </w:numPr>
              <w:snapToGrid w:val="0"/>
              <w:jc w:val="left"/>
              <w:rPr>
                <w:rFonts w:ascii="宋体" w:hAnsi="宋体"/>
                <w:kern w:val="0"/>
              </w:rPr>
            </w:pPr>
            <w:r>
              <w:rPr>
                <w:rFonts w:ascii="宋体" w:hAnsi="宋体"/>
                <w:kern w:val="0"/>
              </w:rPr>
              <w:t>还清担保项下债务、担保人付款责任到期或发生担保履约；</w:t>
            </w:r>
          </w:p>
          <w:p>
            <w:pPr>
              <w:widowControl/>
              <w:numPr>
                <w:numId w:val="0"/>
              </w:numPr>
              <w:snapToGrid w:val="0"/>
              <w:jc w:val="left"/>
              <w:rPr>
                <w:rFonts w:hint="default"/>
                <w:kern w:val="0"/>
                <w:sz w:val="20"/>
              </w:rPr>
            </w:pPr>
            <w:r>
              <w:rPr>
                <w:rFonts w:hint="default" w:ascii="TimesNewRomanPSMT" w:hAnsi="TimesNewRomanPSMT"/>
                <w:kern w:val="0"/>
              </w:rPr>
              <w:t>2.</w:t>
            </w:r>
            <w:r>
              <w:rPr>
                <w:rFonts w:ascii="宋体" w:hAnsi="宋体"/>
                <w:kern w:val="0"/>
              </w:rPr>
              <w:t>将办理材料提交至</w:t>
            </w:r>
            <w:r>
              <w:rPr>
                <w:rFonts w:hint="eastAsia" w:ascii="宋体" w:hAnsi="宋体"/>
                <w:kern w:val="0"/>
                <w:lang w:eastAsia="zh-CN"/>
              </w:rPr>
              <w:t>资本</w:t>
            </w:r>
            <w:r>
              <w:rPr>
                <w:rFonts w:ascii="宋体" w:hAnsi="宋体"/>
                <w:kern w:val="0"/>
              </w:rPr>
              <w:t>科办理内保外贷注销登记。材料齐全当日办结，特殊情况五个工作日办结。</w:t>
            </w:r>
          </w:p>
        </w:tc>
      </w:tr>
    </w:tbl>
    <w:p>
      <w:pPr>
        <w:widowControl/>
        <w:rPr>
          <w:rFonts w:hint="default"/>
          <w:kern w:val="0"/>
        </w:rPr>
      </w:pPr>
    </w:p>
    <w:p>
      <w:pPr>
        <w:widowControl/>
        <w:rPr>
          <w:rFonts w:hint="default"/>
          <w:kern w:val="0"/>
        </w:rPr>
      </w:pPr>
    </w:p>
    <w:p>
      <w:pPr>
        <w:widowControl/>
        <w:rPr>
          <w:rFonts w:hint="default"/>
          <w:kern w:val="0"/>
        </w:rPr>
      </w:pPr>
    </w:p>
    <w:p>
      <w:pPr>
        <w:widowControl/>
        <w:rPr>
          <w:rFonts w:hint="default"/>
          <w:kern w:val="0"/>
        </w:rPr>
      </w:pPr>
    </w:p>
    <w:p>
      <w:pPr>
        <w:widowControl/>
        <w:rPr>
          <w:rFonts w:hint="default"/>
          <w:kern w:val="0"/>
        </w:rPr>
      </w:pPr>
    </w:p>
    <w:p>
      <w:pPr>
        <w:widowControl/>
        <w:rPr>
          <w:rFonts w:hint="default"/>
          <w:kern w:val="0"/>
        </w:rPr>
      </w:pPr>
    </w:p>
    <w:p>
      <w:pPr>
        <w:widowControl/>
        <w:rPr>
          <w:rFonts w:hint="default"/>
          <w:kern w:val="0"/>
        </w:rPr>
      </w:pPr>
    </w:p>
    <w:p>
      <w:pPr>
        <w:widowControl/>
        <w:rPr>
          <w:rFonts w:hint="default"/>
          <w:kern w:val="0"/>
        </w:rPr>
      </w:pPr>
    </w:p>
    <w:p>
      <w:pPr>
        <w:widowControl/>
        <w:rPr>
          <w:rFonts w:hint="default"/>
          <w:kern w:val="0"/>
        </w:rPr>
      </w:pPr>
    </w:p>
    <w:p>
      <w:pPr>
        <w:widowControl/>
        <w:rPr>
          <w:rFonts w:hint="default"/>
          <w:kern w:val="0"/>
        </w:rPr>
      </w:pPr>
    </w:p>
    <w:p>
      <w:pPr>
        <w:widowControl/>
        <w:rPr>
          <w:rFonts w:hint="default"/>
          <w:kern w:val="0"/>
        </w:rPr>
      </w:pPr>
    </w:p>
    <w:p>
      <w:pPr>
        <w:widowControl/>
        <w:rPr>
          <w:rFonts w:hint="default"/>
          <w:kern w:val="0"/>
        </w:rPr>
      </w:pPr>
    </w:p>
    <w:p>
      <w:pPr>
        <w:widowControl/>
        <w:rPr>
          <w:rFonts w:hint="default"/>
          <w:kern w:val="0"/>
        </w:rPr>
      </w:pPr>
    </w:p>
    <w:p>
      <w:pPr>
        <w:widowControl/>
        <w:rPr>
          <w:rFonts w:hint="default"/>
          <w:kern w:val="0"/>
        </w:rPr>
      </w:pPr>
    </w:p>
    <w:p>
      <w:pPr>
        <w:widowControl/>
        <w:rPr>
          <w:rFonts w:hint="default"/>
          <w:kern w:val="0"/>
        </w:rPr>
      </w:pPr>
    </w:p>
    <w:p>
      <w:pPr>
        <w:widowControl/>
        <w:rPr>
          <w:rFonts w:hint="default"/>
          <w:kern w:val="0"/>
        </w:rPr>
      </w:pPr>
    </w:p>
    <w:p>
      <w:pPr>
        <w:widowControl/>
        <w:rPr>
          <w:rFonts w:hint="default"/>
          <w:kern w:val="0"/>
        </w:rPr>
      </w:pPr>
    </w:p>
    <w:p>
      <w:pPr>
        <w:widowControl/>
        <w:rPr>
          <w:rFonts w:hint="default"/>
          <w:kern w:val="0"/>
        </w:rPr>
      </w:pPr>
    </w:p>
    <w:tbl>
      <w:tblPr>
        <w:tblStyle w:val="16"/>
        <w:tblW w:w="850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093"/>
        <w:gridCol w:w="741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jc w:val="center"/>
        </w:trPr>
        <w:tc>
          <w:tcPr>
            <w:tcW w:w="1093" w:type="dxa"/>
            <w:tcBorders>
              <w:top w:val="single" w:color="000000" w:sz="4" w:space="0"/>
              <w:left w:val="single" w:color="000000" w:sz="4" w:space="0"/>
              <w:bottom w:val="single" w:color="000000" w:sz="4" w:space="0"/>
              <w:right w:val="single" w:color="000000" w:sz="4" w:space="0"/>
            </w:tcBorders>
            <w:vAlign w:val="center"/>
          </w:tcPr>
          <w:p>
            <w:pPr>
              <w:widowControl/>
              <w:snapToGrid w:val="0"/>
              <w:jc w:val="left"/>
              <w:rPr>
                <w:rFonts w:hint="default"/>
                <w:kern w:val="0"/>
                <w:sz w:val="20"/>
              </w:rPr>
            </w:pPr>
            <w:r>
              <w:rPr>
                <w:rFonts w:ascii="宋体" w:hAnsi="宋体"/>
                <w:kern w:val="0"/>
              </w:rPr>
              <w:t>业务名称</w:t>
            </w:r>
          </w:p>
        </w:tc>
        <w:tc>
          <w:tcPr>
            <w:tcW w:w="7412" w:type="dxa"/>
            <w:tcBorders>
              <w:top w:val="single" w:color="000000" w:sz="4" w:space="0"/>
              <w:left w:val="nil"/>
              <w:bottom w:val="single" w:color="000000" w:sz="4" w:space="0"/>
              <w:right w:val="single" w:color="000000" w:sz="4" w:space="0"/>
            </w:tcBorders>
            <w:vAlign w:val="center"/>
          </w:tcPr>
          <w:p>
            <w:pPr>
              <w:widowControl/>
              <w:snapToGrid w:val="0"/>
              <w:jc w:val="left"/>
              <w:rPr>
                <w:rFonts w:hint="default"/>
                <w:b/>
                <w:kern w:val="0"/>
                <w:sz w:val="20"/>
              </w:rPr>
            </w:pPr>
            <w:r>
              <w:rPr>
                <w:rFonts w:ascii="宋体" w:hAnsi="宋体"/>
                <w:b/>
                <w:kern w:val="0"/>
              </w:rPr>
              <w:t>（</w:t>
            </w:r>
            <w:r>
              <w:rPr>
                <w:rFonts w:hint="eastAsia" w:ascii="宋体" w:hAnsi="宋体"/>
                <w:b/>
                <w:kern w:val="0"/>
                <w:lang w:eastAsia="zh-CN"/>
              </w:rPr>
              <w:t>九</w:t>
            </w:r>
            <w:r>
              <w:rPr>
                <w:rFonts w:ascii="宋体" w:hAnsi="宋体"/>
                <w:b/>
                <w:kern w:val="0"/>
              </w:rPr>
              <w:t>）</w:t>
            </w:r>
            <w:r>
              <w:rPr>
                <w:rFonts w:hint="eastAsia" w:ascii="宋体" w:hAnsi="宋体"/>
                <w:b/>
                <w:kern w:val="0"/>
              </w:rPr>
              <w:t>外保内贷境外担保履约外债登记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jc w:val="center"/>
        </w:trPr>
        <w:tc>
          <w:tcPr>
            <w:tcW w:w="1093" w:type="dxa"/>
            <w:tcBorders>
              <w:top w:val="single" w:color="000000" w:sz="4" w:space="0"/>
              <w:left w:val="single" w:color="000000" w:sz="4" w:space="0"/>
              <w:bottom w:val="single" w:color="000000" w:sz="4" w:space="0"/>
              <w:right w:val="single" w:color="000000" w:sz="4" w:space="0"/>
            </w:tcBorders>
            <w:vAlign w:val="center"/>
          </w:tcPr>
          <w:p>
            <w:pPr>
              <w:widowControl/>
              <w:snapToGrid w:val="0"/>
              <w:jc w:val="left"/>
              <w:rPr>
                <w:rFonts w:hint="default"/>
                <w:kern w:val="0"/>
                <w:sz w:val="20"/>
              </w:rPr>
            </w:pPr>
            <w:r>
              <w:rPr>
                <w:rFonts w:ascii="宋体" w:hAnsi="宋体"/>
                <w:kern w:val="0"/>
              </w:rPr>
              <w:t>设定依据</w:t>
            </w:r>
          </w:p>
          <w:p>
            <w:pPr>
              <w:widowControl/>
              <w:spacing w:line="271" w:lineRule="auto"/>
              <w:jc w:val="center"/>
              <w:rPr>
                <w:rFonts w:hint="default" w:ascii="Times New Roman" w:eastAsia="Times New Roman"/>
                <w:b/>
                <w:kern w:val="0"/>
              </w:rPr>
            </w:pPr>
          </w:p>
        </w:tc>
        <w:tc>
          <w:tcPr>
            <w:tcW w:w="7412" w:type="dxa"/>
            <w:tcBorders>
              <w:top w:val="single" w:color="000000" w:sz="4" w:space="0"/>
              <w:left w:val="nil"/>
              <w:bottom w:val="single" w:color="000000" w:sz="4" w:space="0"/>
              <w:right w:val="single" w:color="000000" w:sz="4" w:space="0"/>
            </w:tcBorders>
            <w:vAlign w:val="center"/>
          </w:tcPr>
          <w:p>
            <w:pPr>
              <w:widowControl/>
              <w:snapToGrid w:val="0"/>
              <w:jc w:val="left"/>
              <w:rPr>
                <w:rFonts w:ascii="宋体" w:hAnsi="宋体"/>
                <w:kern w:val="0"/>
              </w:rPr>
            </w:pPr>
            <w:r>
              <w:rPr>
                <w:rFonts w:ascii="宋体" w:hAnsi="宋体"/>
                <w:kern w:val="0"/>
              </w:rPr>
              <w:t>1.</w:t>
            </w:r>
            <w:r>
              <w:rPr>
                <w:rFonts w:hint="eastAsia" w:ascii="宋体" w:hAnsi="宋体"/>
                <w:kern w:val="0"/>
              </w:rPr>
              <w:t>《中华人民共和国外汇管理条例》（国务院令第</w:t>
            </w:r>
            <w:r>
              <w:rPr>
                <w:rFonts w:ascii="宋体" w:hAnsi="宋体"/>
                <w:kern w:val="0"/>
              </w:rPr>
              <w:t>532</w:t>
            </w:r>
            <w:r>
              <w:rPr>
                <w:rFonts w:hint="eastAsia" w:ascii="宋体" w:hAnsi="宋体"/>
                <w:kern w:val="0"/>
              </w:rPr>
              <w:t>号）。</w:t>
            </w:r>
          </w:p>
          <w:p>
            <w:pPr>
              <w:widowControl/>
              <w:snapToGrid w:val="0"/>
              <w:jc w:val="left"/>
              <w:rPr>
                <w:rFonts w:ascii="宋体" w:hAnsi="宋体"/>
                <w:kern w:val="0"/>
              </w:rPr>
            </w:pPr>
            <w:r>
              <w:rPr>
                <w:rFonts w:ascii="宋体" w:hAnsi="宋体"/>
                <w:kern w:val="0"/>
              </w:rPr>
              <w:t>2.</w:t>
            </w:r>
            <w:r>
              <w:rPr>
                <w:rFonts w:hint="eastAsia" w:ascii="宋体" w:hAnsi="宋体"/>
                <w:kern w:val="0"/>
              </w:rPr>
              <w:t>《国家外汇管理局关于发布〈外债登记管理办法〉的通知》（汇发〔2013〕19号）。</w:t>
            </w:r>
          </w:p>
          <w:p>
            <w:pPr>
              <w:widowControl/>
              <w:snapToGrid w:val="0"/>
              <w:jc w:val="left"/>
              <w:rPr>
                <w:rFonts w:ascii="宋体" w:hAnsi="宋体"/>
                <w:kern w:val="0"/>
              </w:rPr>
            </w:pPr>
            <w:r>
              <w:rPr>
                <w:rFonts w:hint="eastAsia" w:ascii="宋体" w:hAnsi="宋体"/>
                <w:kern w:val="0"/>
              </w:rPr>
              <w:t>3.《国家外汇管理局关于发布〈跨境担保外汇管理规定〉的通知》（汇发</w:t>
            </w:r>
            <w:r>
              <w:rPr>
                <w:rFonts w:ascii="宋体" w:hAnsi="宋体"/>
                <w:kern w:val="0"/>
              </w:rPr>
              <w:t>〔2014〕29</w:t>
            </w:r>
            <w:r>
              <w:rPr>
                <w:rFonts w:hint="eastAsia" w:ascii="宋体" w:hAnsi="宋体"/>
                <w:kern w:val="0"/>
              </w:rPr>
              <w:t>号）。</w:t>
            </w:r>
          </w:p>
          <w:p>
            <w:pPr>
              <w:widowControl/>
              <w:snapToGrid w:val="0"/>
              <w:jc w:val="left"/>
              <w:rPr>
                <w:rFonts w:ascii="宋体" w:hAnsi="宋体"/>
                <w:kern w:val="0"/>
              </w:rPr>
            </w:pPr>
            <w:r>
              <w:rPr>
                <w:rFonts w:hint="eastAsia" w:ascii="宋体" w:hAnsi="宋体"/>
                <w:kern w:val="0"/>
              </w:rPr>
              <w:t>4</w:t>
            </w:r>
            <w:r>
              <w:rPr>
                <w:rFonts w:ascii="宋体" w:hAnsi="宋体"/>
                <w:kern w:val="0"/>
              </w:rPr>
              <w:t>.</w:t>
            </w:r>
            <w:r>
              <w:rPr>
                <w:rFonts w:hint="eastAsia" w:ascii="宋体" w:hAnsi="宋体"/>
                <w:kern w:val="0"/>
              </w:rPr>
              <w:t>《中国人民银行关于全口径跨境融资宏观审慎管理有关事宜的通知》（银发〔2017〕9号）。</w:t>
            </w:r>
          </w:p>
          <w:p>
            <w:pPr>
              <w:widowControl/>
              <w:snapToGrid w:val="0"/>
              <w:jc w:val="left"/>
              <w:rPr>
                <w:rFonts w:ascii="宋体" w:hAnsi="宋体"/>
                <w:kern w:val="0"/>
              </w:rPr>
            </w:pPr>
            <w:r>
              <w:rPr>
                <w:rFonts w:hint="eastAsia" w:ascii="宋体" w:hAnsi="宋体"/>
                <w:kern w:val="0"/>
              </w:rPr>
              <w:t>5.其他相关法规。</w:t>
            </w:r>
          </w:p>
          <w:p>
            <w:pPr>
              <w:widowControl/>
              <w:snapToGrid w:val="0"/>
              <w:jc w:val="left"/>
              <w:rPr>
                <w:rFonts w:hint="default"/>
                <w:kern w:val="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jc w:val="center"/>
        </w:trPr>
        <w:tc>
          <w:tcPr>
            <w:tcW w:w="1093"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rFonts w:ascii="宋体" w:hAnsi="宋体"/>
                <w:kern w:val="0"/>
              </w:rPr>
            </w:pPr>
            <w:r>
              <w:rPr>
                <w:rFonts w:ascii="宋体" w:hAnsi="宋体"/>
                <w:kern w:val="0"/>
              </w:rPr>
              <w:t>申请条件</w:t>
            </w:r>
          </w:p>
          <w:p>
            <w:pPr>
              <w:widowControl/>
              <w:snapToGrid w:val="0"/>
              <w:jc w:val="center"/>
              <w:rPr>
                <w:rFonts w:hint="eastAsia" w:ascii="宋体" w:hAnsi="宋体"/>
                <w:kern w:val="0"/>
                <w:lang w:val="en-US" w:eastAsia="zh-CN"/>
              </w:rPr>
            </w:pPr>
            <w:r>
              <w:rPr>
                <w:rFonts w:hint="eastAsia" w:ascii="宋体" w:hAnsi="宋体"/>
                <w:kern w:val="0"/>
                <w:lang w:val="en-US" w:eastAsia="zh-CN"/>
              </w:rPr>
              <w:t>及</w:t>
            </w:r>
          </w:p>
          <w:p>
            <w:pPr>
              <w:widowControl/>
              <w:snapToGrid w:val="0"/>
              <w:jc w:val="center"/>
              <w:rPr>
                <w:rFonts w:hint="eastAsia" w:ascii="宋体" w:hAnsi="宋体"/>
                <w:kern w:val="0"/>
                <w:lang w:val="en-US" w:eastAsia="zh-CN"/>
              </w:rPr>
            </w:pPr>
            <w:r>
              <w:rPr>
                <w:rFonts w:hint="eastAsia" w:ascii="宋体" w:hAnsi="宋体"/>
                <w:kern w:val="0"/>
                <w:lang w:val="en-US" w:eastAsia="zh-CN"/>
              </w:rPr>
              <w:t>注意事项</w:t>
            </w:r>
          </w:p>
        </w:tc>
        <w:tc>
          <w:tcPr>
            <w:tcW w:w="7412" w:type="dxa"/>
            <w:tcBorders>
              <w:top w:val="single" w:color="000000" w:sz="4" w:space="0"/>
              <w:left w:val="nil"/>
              <w:bottom w:val="single" w:color="000000" w:sz="4" w:space="0"/>
              <w:right w:val="single" w:color="000000" w:sz="4" w:space="0"/>
            </w:tcBorders>
            <w:vAlign w:val="center"/>
          </w:tcPr>
          <w:p>
            <w:pPr>
              <w:widowControl/>
              <w:numPr>
                <w:numId w:val="0"/>
              </w:numPr>
              <w:snapToGrid w:val="0"/>
              <w:ind w:leftChars="0"/>
              <w:jc w:val="left"/>
              <w:rPr>
                <w:rFonts w:hint="eastAsia" w:ascii="宋体" w:hAnsi="宋体"/>
                <w:kern w:val="0"/>
              </w:rPr>
            </w:pPr>
            <w:r>
              <w:rPr>
                <w:rFonts w:hint="eastAsia" w:ascii="宋体" w:hAnsi="宋体"/>
                <w:kern w:val="0"/>
                <w:lang w:val="en-US" w:eastAsia="zh-CN"/>
              </w:rPr>
              <w:t>1.</w:t>
            </w:r>
            <w:r>
              <w:rPr>
                <w:rFonts w:hint="eastAsia" w:ascii="宋体" w:hAnsi="宋体"/>
                <w:kern w:val="0"/>
              </w:rPr>
              <w:t>外保内贷业务发生境外担保履约的，境内债务人应在担保履约后15个工作日内到所在地外汇局办理短期外债签约登记及相关信息备案。</w:t>
            </w:r>
          </w:p>
          <w:p>
            <w:pPr>
              <w:widowControl/>
              <w:numPr>
                <w:numId w:val="0"/>
              </w:numPr>
              <w:snapToGrid w:val="0"/>
              <w:ind w:leftChars="0"/>
              <w:jc w:val="left"/>
              <w:rPr>
                <w:rFonts w:hint="eastAsia" w:ascii="宋体" w:hAnsi="宋体"/>
                <w:kern w:val="0"/>
              </w:rPr>
            </w:pPr>
            <w:r>
              <w:rPr>
                <w:rFonts w:hint="eastAsia" w:ascii="宋体" w:hAnsi="宋体"/>
                <w:kern w:val="0"/>
                <w:lang w:val="en-US" w:eastAsia="zh-CN"/>
              </w:rPr>
              <w:t>2.</w:t>
            </w:r>
            <w:r>
              <w:rPr>
                <w:rFonts w:hint="eastAsia" w:ascii="宋体" w:hAnsi="宋体"/>
                <w:kern w:val="0"/>
              </w:rPr>
              <w:t>中资非金融机构及选择宏观审慎管理模式的外商投资企业因外保内贷履约形成的对外负债，应直接占用该企业跨境融资风险加权余额。</w:t>
            </w:r>
          </w:p>
          <w:p>
            <w:pPr>
              <w:widowControl/>
              <w:numPr>
                <w:numId w:val="0"/>
              </w:numPr>
              <w:snapToGrid w:val="0"/>
              <w:ind w:leftChars="0"/>
              <w:jc w:val="left"/>
              <w:rPr>
                <w:rFonts w:hint="eastAsia" w:ascii="宋体" w:hAnsi="宋体"/>
                <w:kern w:val="0"/>
                <w:lang w:eastAsia="zh-CN"/>
              </w:rPr>
            </w:pPr>
            <w:r>
              <w:rPr>
                <w:rFonts w:hint="eastAsia" w:ascii="宋体" w:hAnsi="宋体"/>
                <w:kern w:val="0"/>
                <w:lang w:val="en-US" w:eastAsia="zh-CN"/>
              </w:rPr>
              <w:t>3.</w:t>
            </w:r>
            <w:r>
              <w:rPr>
                <w:rFonts w:hint="eastAsia" w:ascii="宋体" w:hAnsi="宋体"/>
                <w:kern w:val="0"/>
              </w:rPr>
              <w:t>境内债务人因外保内贷业务发生担保履约的，在境内债务人偿清其对境外担保人的债务之前，未经外汇局批准，境内债务人应暂停签订新的外保内贷合同</w:t>
            </w:r>
            <w:r>
              <w:rPr>
                <w:rFonts w:hint="eastAsia" w:ascii="宋体" w:hAnsi="宋体"/>
                <w:kern w:val="0"/>
                <w:lang w:eastAsia="zh-CN"/>
              </w:rPr>
              <w:t>。</w:t>
            </w:r>
          </w:p>
          <w:p>
            <w:pPr>
              <w:widowControl/>
              <w:numPr>
                <w:numId w:val="0"/>
              </w:numPr>
              <w:snapToGrid w:val="0"/>
              <w:ind w:leftChars="0"/>
              <w:jc w:val="left"/>
              <w:rPr>
                <w:rFonts w:hint="default" w:ascii="宋体" w:hAnsi="宋体"/>
                <w:kern w:val="0"/>
                <w:sz w:val="24"/>
              </w:rPr>
            </w:pPr>
            <w:r>
              <w:rPr>
                <w:rFonts w:hint="eastAsia" w:ascii="宋体" w:hAnsi="宋体"/>
                <w:kern w:val="0"/>
                <w:lang w:val="en-US" w:eastAsia="zh-CN"/>
              </w:rPr>
              <w:t>4.</w:t>
            </w:r>
            <w:r>
              <w:rPr>
                <w:rFonts w:hint="eastAsia" w:ascii="宋体" w:hAnsi="宋体"/>
                <w:kern w:val="0"/>
              </w:rPr>
              <w:t>已经签订外保内贷合同但尚未提款或尚未全部提款的，未经所在地外汇局批准，应暂停办理新的提款。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jc w:val="center"/>
        </w:trPr>
        <w:tc>
          <w:tcPr>
            <w:tcW w:w="1093" w:type="dxa"/>
            <w:tcBorders>
              <w:top w:val="single" w:color="000000" w:sz="4" w:space="0"/>
              <w:left w:val="single" w:color="000000" w:sz="4" w:space="0"/>
              <w:bottom w:val="single" w:color="000000" w:sz="4" w:space="0"/>
              <w:right w:val="single" w:color="000000" w:sz="4" w:space="0"/>
            </w:tcBorders>
            <w:vAlign w:val="center"/>
          </w:tcPr>
          <w:p>
            <w:pPr>
              <w:widowControl/>
              <w:snapToGrid w:val="0"/>
              <w:jc w:val="left"/>
              <w:rPr>
                <w:rFonts w:hint="default"/>
                <w:kern w:val="0"/>
                <w:sz w:val="20"/>
              </w:rPr>
            </w:pPr>
            <w:r>
              <w:rPr>
                <w:rFonts w:ascii="宋体" w:hAnsi="宋体"/>
                <w:kern w:val="0"/>
              </w:rPr>
              <w:t>办理材料</w:t>
            </w:r>
          </w:p>
        </w:tc>
        <w:tc>
          <w:tcPr>
            <w:tcW w:w="7412" w:type="dxa"/>
            <w:tcBorders>
              <w:top w:val="single" w:color="000000" w:sz="4" w:space="0"/>
              <w:left w:val="nil"/>
              <w:bottom w:val="single" w:color="000000" w:sz="4" w:space="0"/>
              <w:right w:val="single" w:color="000000" w:sz="4" w:space="0"/>
            </w:tcBorders>
            <w:vAlign w:val="center"/>
          </w:tcPr>
          <w:p>
            <w:pPr>
              <w:widowControl/>
              <w:numPr>
                <w:numId w:val="0"/>
              </w:numPr>
              <w:snapToGrid w:val="0"/>
              <w:ind w:leftChars="0"/>
              <w:jc w:val="left"/>
              <w:rPr>
                <w:rFonts w:hint="eastAsia" w:ascii="宋体" w:hAnsi="宋体"/>
                <w:kern w:val="0"/>
              </w:rPr>
            </w:pPr>
            <w:r>
              <w:rPr>
                <w:rFonts w:hint="eastAsia" w:ascii="宋体" w:hAnsi="宋体"/>
                <w:kern w:val="0"/>
              </w:rPr>
              <w:t>1.关于办理外债签约登记的书面申请报告（内容包括公司基本情况、外保内贷业务逐笔和汇总情况、本次担保履约情况及其他需要说明的事项）。</w:t>
            </w:r>
          </w:p>
          <w:p>
            <w:pPr>
              <w:widowControl/>
              <w:numPr>
                <w:numId w:val="0"/>
              </w:numPr>
              <w:snapToGrid w:val="0"/>
              <w:ind w:leftChars="0"/>
              <w:jc w:val="left"/>
              <w:rPr>
                <w:rFonts w:hint="eastAsia" w:ascii="宋体" w:hAnsi="宋体"/>
                <w:kern w:val="0"/>
              </w:rPr>
            </w:pPr>
            <w:r>
              <w:rPr>
                <w:rFonts w:hint="eastAsia" w:ascii="宋体" w:hAnsi="宋体"/>
                <w:kern w:val="0"/>
              </w:rPr>
              <w:t>2.外保内贷的主债务合同、担保合同和担保履约证明文件（合同文本内容较多的，提供合同简明条款并加盖印章；合同为外文的，须提供中文翻译件并加盖债务人印章）。</w:t>
            </w:r>
          </w:p>
          <w:p>
            <w:pPr>
              <w:widowControl/>
              <w:numPr>
                <w:numId w:val="0"/>
              </w:numPr>
              <w:snapToGrid w:val="0"/>
              <w:ind w:leftChars="0"/>
              <w:jc w:val="left"/>
              <w:rPr>
                <w:rFonts w:hint="eastAsia" w:ascii="宋体" w:hAnsi="宋体"/>
                <w:kern w:val="0"/>
              </w:rPr>
            </w:pPr>
            <w:r>
              <w:rPr>
                <w:rFonts w:hint="eastAsia" w:ascii="宋体" w:hAnsi="宋体"/>
                <w:kern w:val="0"/>
              </w:rPr>
              <w:t>3.外商投资企业应提供批准证书或《外商投资企业设立/变更备案回执》、营业执照（尚未办理“五证合一”的企业，还需提供组织机构代码证）等文件，中资企业应提供营业执照（尚未办理“五证合一”的企业，还需提供组织机构代码证）。</w:t>
            </w:r>
          </w:p>
          <w:p>
            <w:pPr>
              <w:widowControl/>
              <w:numPr>
                <w:numId w:val="0"/>
              </w:numPr>
              <w:snapToGrid w:val="0"/>
              <w:ind w:leftChars="0"/>
              <w:jc w:val="left"/>
              <w:rPr>
                <w:rFonts w:hint="eastAsia" w:ascii="宋体" w:hAnsi="宋体"/>
                <w:kern w:val="0"/>
              </w:rPr>
            </w:pPr>
            <w:r>
              <w:rPr>
                <w:rFonts w:hint="eastAsia" w:ascii="宋体" w:hAnsi="宋体"/>
                <w:kern w:val="0"/>
              </w:rPr>
              <w:t>4.上年度末经审计的债务人财务报表。</w:t>
            </w:r>
          </w:p>
          <w:p>
            <w:pPr>
              <w:widowControl/>
              <w:numPr>
                <w:numId w:val="0"/>
              </w:numPr>
              <w:snapToGrid w:val="0"/>
              <w:ind w:leftChars="0"/>
              <w:jc w:val="left"/>
              <w:rPr>
                <w:rFonts w:hint="eastAsia" w:ascii="宋体" w:hAnsi="宋体"/>
                <w:kern w:val="0"/>
              </w:rPr>
            </w:pPr>
            <w:r>
              <w:rPr>
                <w:rFonts w:hint="eastAsia" w:ascii="宋体" w:hAnsi="宋体"/>
                <w:kern w:val="0"/>
              </w:rPr>
              <w:t>5.与履约相对应的外保内贷登记情况。</w:t>
            </w:r>
          </w:p>
          <w:p>
            <w:pPr>
              <w:widowControl/>
              <w:numPr>
                <w:numId w:val="0"/>
              </w:numPr>
              <w:snapToGrid w:val="0"/>
              <w:ind w:leftChars="0"/>
              <w:jc w:val="left"/>
              <w:rPr>
                <w:rFonts w:hint="default"/>
                <w:kern w:val="0"/>
                <w:sz w:val="20"/>
              </w:rPr>
            </w:pPr>
            <w:r>
              <w:rPr>
                <w:rFonts w:hint="eastAsia" w:ascii="宋体" w:hAnsi="宋体"/>
                <w:kern w:val="0"/>
              </w:rPr>
              <w:t>6.外汇局要求提供的其他材料。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1" w:hRule="atLeast"/>
          <w:jc w:val="center"/>
        </w:trPr>
        <w:tc>
          <w:tcPr>
            <w:tcW w:w="1093" w:type="dxa"/>
            <w:tcBorders>
              <w:top w:val="single" w:color="000000" w:sz="4" w:space="0"/>
              <w:left w:val="single" w:color="000000" w:sz="4" w:space="0"/>
              <w:bottom w:val="single" w:color="000000" w:sz="4" w:space="0"/>
              <w:right w:val="single" w:color="000000" w:sz="4" w:space="0"/>
            </w:tcBorders>
            <w:vAlign w:val="center"/>
          </w:tcPr>
          <w:p>
            <w:pPr>
              <w:widowControl/>
              <w:snapToGrid w:val="0"/>
              <w:jc w:val="left"/>
              <w:rPr>
                <w:rFonts w:hint="default"/>
                <w:kern w:val="0"/>
                <w:sz w:val="20"/>
              </w:rPr>
            </w:pPr>
            <w:r>
              <w:rPr>
                <w:rFonts w:ascii="宋体" w:hAnsi="宋体"/>
                <w:kern w:val="0"/>
              </w:rPr>
              <w:t>办理地点</w:t>
            </w:r>
          </w:p>
        </w:tc>
        <w:tc>
          <w:tcPr>
            <w:tcW w:w="7412" w:type="dxa"/>
            <w:tcBorders>
              <w:top w:val="single" w:color="000000" w:sz="4" w:space="0"/>
              <w:left w:val="nil"/>
              <w:bottom w:val="single" w:color="000000" w:sz="4" w:space="0"/>
              <w:right w:val="single" w:color="000000" w:sz="4" w:space="0"/>
            </w:tcBorders>
            <w:vAlign w:val="top"/>
          </w:tcPr>
          <w:p>
            <w:pPr>
              <w:widowControl/>
              <w:snapToGrid w:val="0"/>
              <w:jc w:val="left"/>
              <w:rPr>
                <w:rFonts w:hint="default"/>
                <w:kern w:val="0"/>
              </w:rPr>
            </w:pPr>
            <w:r>
              <w:rPr>
                <w:rFonts w:ascii="宋体" w:hAnsi="宋体"/>
                <w:kern w:val="0"/>
              </w:rPr>
              <w:t>国家外汇管理局青海省分局外汇管理处资本科（西宁市昆仑路3号人民银行政务大厅）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jc w:val="center"/>
        </w:trPr>
        <w:tc>
          <w:tcPr>
            <w:tcW w:w="1093" w:type="dxa"/>
            <w:tcBorders>
              <w:top w:val="single" w:color="000000" w:sz="4" w:space="0"/>
              <w:left w:val="single" w:color="000000" w:sz="4" w:space="0"/>
              <w:bottom w:val="single" w:color="000000" w:sz="4" w:space="0"/>
              <w:right w:val="single" w:color="000000" w:sz="4" w:space="0"/>
            </w:tcBorders>
            <w:vAlign w:val="center"/>
          </w:tcPr>
          <w:p>
            <w:pPr>
              <w:widowControl/>
              <w:snapToGrid w:val="0"/>
              <w:jc w:val="left"/>
              <w:rPr>
                <w:rFonts w:hint="default"/>
                <w:kern w:val="0"/>
                <w:sz w:val="20"/>
              </w:rPr>
            </w:pPr>
            <w:r>
              <w:rPr>
                <w:rFonts w:ascii="宋体" w:hAnsi="宋体"/>
                <w:kern w:val="0"/>
              </w:rPr>
              <w:t>办理时间</w:t>
            </w:r>
          </w:p>
          <w:p>
            <w:pPr>
              <w:widowControl/>
              <w:spacing w:line="271" w:lineRule="auto"/>
              <w:jc w:val="center"/>
              <w:rPr>
                <w:rFonts w:hint="default" w:ascii="Times New Roman" w:eastAsia="Times New Roman"/>
                <w:b/>
                <w:kern w:val="0"/>
              </w:rPr>
            </w:pPr>
          </w:p>
        </w:tc>
        <w:tc>
          <w:tcPr>
            <w:tcW w:w="7412" w:type="dxa"/>
            <w:tcBorders>
              <w:top w:val="single" w:color="000000" w:sz="4" w:space="0"/>
              <w:left w:val="nil"/>
              <w:bottom w:val="single" w:color="000000" w:sz="4" w:space="0"/>
              <w:right w:val="single" w:color="000000" w:sz="4" w:space="0"/>
            </w:tcBorders>
            <w:vAlign w:val="top"/>
          </w:tcPr>
          <w:p>
            <w:pPr>
              <w:widowControl/>
              <w:snapToGrid w:val="0"/>
              <w:jc w:val="left"/>
              <w:rPr>
                <w:rFonts w:hint="default"/>
                <w:kern w:val="0"/>
              </w:rPr>
            </w:pPr>
            <w:r>
              <w:rPr>
                <w:rFonts w:ascii="宋体" w:hAnsi="宋体"/>
                <w:kern w:val="0"/>
              </w:rPr>
              <w:t>周一至周五（法定节假日除外）</w:t>
            </w:r>
          </w:p>
          <w:p>
            <w:pPr>
              <w:widowControl/>
              <w:snapToGrid w:val="0"/>
              <w:jc w:val="left"/>
              <w:rPr>
                <w:rFonts w:hint="default"/>
                <w:kern w:val="0"/>
                <w:sz w:val="20"/>
              </w:rPr>
            </w:pPr>
            <w:r>
              <w:rPr>
                <w:rFonts w:ascii="宋体" w:hAnsi="宋体"/>
                <w:kern w:val="0"/>
              </w:rPr>
              <w:t>上午8：30-11：30，下午2：00-5：30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jc w:val="center"/>
        </w:trPr>
        <w:tc>
          <w:tcPr>
            <w:tcW w:w="1093" w:type="dxa"/>
            <w:tcBorders>
              <w:top w:val="single" w:color="000000" w:sz="4" w:space="0"/>
              <w:left w:val="single" w:color="000000" w:sz="4" w:space="0"/>
              <w:bottom w:val="single" w:color="000000" w:sz="4" w:space="0"/>
              <w:right w:val="single" w:color="000000" w:sz="4" w:space="0"/>
            </w:tcBorders>
            <w:vAlign w:val="center"/>
          </w:tcPr>
          <w:p>
            <w:pPr>
              <w:widowControl/>
              <w:snapToGrid w:val="0"/>
              <w:jc w:val="left"/>
              <w:rPr>
                <w:rFonts w:hint="default"/>
                <w:kern w:val="0"/>
                <w:sz w:val="20"/>
              </w:rPr>
            </w:pPr>
            <w:r>
              <w:rPr>
                <w:rFonts w:ascii="宋体" w:hAnsi="宋体"/>
                <w:kern w:val="0"/>
              </w:rPr>
              <w:t>联系电话</w:t>
            </w:r>
          </w:p>
        </w:tc>
        <w:tc>
          <w:tcPr>
            <w:tcW w:w="7412" w:type="dxa"/>
            <w:tcBorders>
              <w:top w:val="single" w:color="000000" w:sz="4" w:space="0"/>
              <w:left w:val="nil"/>
              <w:bottom w:val="single" w:color="000000" w:sz="4" w:space="0"/>
              <w:right w:val="single" w:color="000000" w:sz="4" w:space="0"/>
            </w:tcBorders>
            <w:vAlign w:val="top"/>
          </w:tcPr>
          <w:p>
            <w:pPr>
              <w:widowControl/>
              <w:snapToGrid w:val="0"/>
              <w:jc w:val="left"/>
              <w:rPr>
                <w:rFonts w:hint="default"/>
                <w:kern w:val="0"/>
              </w:rPr>
            </w:pPr>
            <w:r>
              <w:rPr>
                <w:rFonts w:ascii="宋体" w:hAnsi="宋体"/>
                <w:kern w:val="0"/>
              </w:rPr>
              <w:t>0971-6126143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jc w:val="center"/>
        </w:trPr>
        <w:tc>
          <w:tcPr>
            <w:tcW w:w="1093" w:type="dxa"/>
            <w:tcBorders>
              <w:top w:val="single" w:color="000000" w:sz="4" w:space="0"/>
              <w:left w:val="single" w:color="000000" w:sz="4" w:space="0"/>
              <w:bottom w:val="single" w:color="000000" w:sz="4" w:space="0"/>
              <w:right w:val="single" w:color="000000" w:sz="4" w:space="0"/>
            </w:tcBorders>
            <w:vAlign w:val="center"/>
          </w:tcPr>
          <w:p>
            <w:pPr>
              <w:widowControl/>
              <w:snapToGrid w:val="0"/>
              <w:jc w:val="left"/>
              <w:rPr>
                <w:rFonts w:hint="eastAsia" w:ascii="宋体" w:hAnsi="宋体" w:eastAsia="宋体"/>
                <w:kern w:val="0"/>
                <w:lang w:val="en-US" w:eastAsia="zh-CN"/>
              </w:rPr>
            </w:pPr>
            <w:r>
              <w:rPr>
                <w:rFonts w:hint="eastAsia" w:ascii="宋体" w:hAnsi="宋体"/>
                <w:kern w:val="0"/>
                <w:lang w:val="en-US" w:eastAsia="zh-CN"/>
              </w:rPr>
              <w:t>办理流程</w:t>
            </w:r>
          </w:p>
        </w:tc>
        <w:tc>
          <w:tcPr>
            <w:tcW w:w="7412" w:type="dxa"/>
            <w:tcBorders>
              <w:top w:val="single" w:color="000000" w:sz="4" w:space="0"/>
              <w:left w:val="nil"/>
              <w:bottom w:val="single" w:color="000000" w:sz="4" w:space="0"/>
              <w:right w:val="single" w:color="000000" w:sz="4" w:space="0"/>
            </w:tcBorders>
            <w:vAlign w:val="top"/>
          </w:tcPr>
          <w:p>
            <w:pPr>
              <w:widowControl/>
              <w:numPr>
                <w:ilvl w:val="0"/>
                <w:numId w:val="15"/>
              </w:numPr>
              <w:snapToGrid w:val="0"/>
              <w:jc w:val="left"/>
              <w:rPr>
                <w:rFonts w:hint="eastAsia" w:ascii="宋体" w:hAnsi="宋体"/>
                <w:kern w:val="0"/>
                <w:lang w:val="en-US" w:eastAsia="zh-CN"/>
              </w:rPr>
            </w:pPr>
            <w:r>
              <w:rPr>
                <w:rFonts w:hint="eastAsia" w:ascii="宋体" w:hAnsi="宋体"/>
                <w:kern w:val="0"/>
                <w:lang w:val="en-US" w:eastAsia="zh-CN"/>
              </w:rPr>
              <w:t>外保内贷业务发生履约情况;</w:t>
            </w:r>
          </w:p>
          <w:p>
            <w:pPr>
              <w:widowControl/>
              <w:numPr>
                <w:ilvl w:val="0"/>
                <w:numId w:val="15"/>
              </w:numPr>
              <w:snapToGrid w:val="0"/>
              <w:jc w:val="left"/>
              <w:rPr>
                <w:rFonts w:hint="eastAsia" w:ascii="宋体" w:hAnsi="宋体"/>
                <w:kern w:val="0"/>
                <w:lang w:val="en-US" w:eastAsia="zh-CN"/>
              </w:rPr>
            </w:pPr>
            <w:r>
              <w:rPr>
                <w:rFonts w:hint="eastAsia" w:ascii="宋体" w:hAnsi="宋体"/>
                <w:kern w:val="0"/>
                <w:lang w:val="en-US" w:eastAsia="zh-CN"/>
              </w:rPr>
              <w:t>境内债务人办理外债签约登记;</w:t>
            </w:r>
          </w:p>
          <w:p>
            <w:pPr>
              <w:widowControl/>
              <w:numPr>
                <w:ilvl w:val="0"/>
                <w:numId w:val="15"/>
              </w:numPr>
              <w:snapToGrid w:val="0"/>
              <w:jc w:val="left"/>
              <w:rPr>
                <w:rFonts w:hint="eastAsia" w:ascii="宋体" w:hAnsi="宋体"/>
                <w:kern w:val="0"/>
                <w:lang w:val="en-US" w:eastAsia="zh-CN"/>
              </w:rPr>
            </w:pPr>
            <w:r>
              <w:rPr>
                <w:rFonts w:hint="eastAsia" w:ascii="宋体" w:hAnsi="宋体"/>
                <w:kern w:val="0"/>
                <w:lang w:val="en-US" w:eastAsia="zh-CN"/>
              </w:rPr>
              <w:t>相应还本付息业务到银行办理。</w:t>
            </w:r>
          </w:p>
        </w:tc>
      </w:tr>
    </w:tbl>
    <w:p>
      <w:pPr>
        <w:widowControl/>
        <w:rPr>
          <w:rFonts w:hint="default"/>
          <w:kern w:val="0"/>
        </w:rPr>
      </w:pPr>
    </w:p>
    <w:p>
      <w:pPr>
        <w:widowControl/>
        <w:rPr>
          <w:rFonts w:hint="default"/>
          <w:kern w:val="0"/>
        </w:rPr>
      </w:pPr>
    </w:p>
    <w:p>
      <w:pPr>
        <w:widowControl/>
        <w:rPr>
          <w:rFonts w:hint="default"/>
          <w:kern w:val="0"/>
        </w:rPr>
      </w:pPr>
    </w:p>
    <w:p>
      <w:pPr>
        <w:widowControl/>
        <w:rPr>
          <w:rFonts w:hint="default"/>
          <w:kern w:val="0"/>
        </w:rPr>
      </w:pPr>
    </w:p>
    <w:p>
      <w:pPr>
        <w:widowControl/>
        <w:rPr>
          <w:rFonts w:hint="default"/>
          <w:kern w:val="0"/>
        </w:rPr>
      </w:pPr>
    </w:p>
    <w:p>
      <w:pPr>
        <w:widowControl/>
        <w:rPr>
          <w:rFonts w:hint="default"/>
          <w:kern w:val="0"/>
        </w:rPr>
      </w:pPr>
    </w:p>
    <w:tbl>
      <w:tblPr>
        <w:tblStyle w:val="16"/>
        <w:tblW w:w="850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093"/>
        <w:gridCol w:w="741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jc w:val="center"/>
        </w:trPr>
        <w:tc>
          <w:tcPr>
            <w:tcW w:w="1093" w:type="dxa"/>
            <w:tcBorders>
              <w:top w:val="single" w:color="000000" w:sz="4" w:space="0"/>
              <w:left w:val="single" w:color="000000" w:sz="4" w:space="0"/>
              <w:bottom w:val="single" w:color="000000" w:sz="4" w:space="0"/>
              <w:right w:val="single" w:color="000000" w:sz="4" w:space="0"/>
            </w:tcBorders>
            <w:vAlign w:val="center"/>
          </w:tcPr>
          <w:p>
            <w:pPr>
              <w:widowControl/>
              <w:snapToGrid w:val="0"/>
              <w:jc w:val="left"/>
              <w:rPr>
                <w:rFonts w:hint="default"/>
                <w:kern w:val="0"/>
                <w:sz w:val="20"/>
              </w:rPr>
            </w:pPr>
            <w:r>
              <w:rPr>
                <w:rFonts w:ascii="宋体" w:hAnsi="宋体"/>
                <w:kern w:val="0"/>
              </w:rPr>
              <w:t>业务名称</w:t>
            </w:r>
          </w:p>
        </w:tc>
        <w:tc>
          <w:tcPr>
            <w:tcW w:w="7412" w:type="dxa"/>
            <w:tcBorders>
              <w:top w:val="single" w:color="000000" w:sz="4" w:space="0"/>
              <w:left w:val="nil"/>
              <w:bottom w:val="single" w:color="000000" w:sz="4" w:space="0"/>
              <w:right w:val="single" w:color="000000" w:sz="4" w:space="0"/>
            </w:tcBorders>
            <w:vAlign w:val="center"/>
          </w:tcPr>
          <w:p>
            <w:pPr>
              <w:widowControl/>
              <w:snapToGrid w:val="0"/>
              <w:jc w:val="left"/>
              <w:rPr>
                <w:rFonts w:hint="default"/>
                <w:b/>
                <w:kern w:val="0"/>
                <w:sz w:val="20"/>
              </w:rPr>
            </w:pPr>
            <w:r>
              <w:rPr>
                <w:rFonts w:ascii="宋体" w:hAnsi="宋体"/>
                <w:b/>
                <w:kern w:val="0"/>
              </w:rPr>
              <w:t>（</w:t>
            </w:r>
            <w:r>
              <w:rPr>
                <w:rFonts w:hint="eastAsia" w:ascii="宋体" w:hAnsi="宋体"/>
                <w:b/>
                <w:kern w:val="0"/>
                <w:lang w:eastAsia="zh-CN"/>
              </w:rPr>
              <w:t>十</w:t>
            </w:r>
            <w:r>
              <w:rPr>
                <w:rFonts w:ascii="宋体" w:hAnsi="宋体"/>
                <w:b/>
                <w:kern w:val="0"/>
              </w:rPr>
              <w:t>）</w:t>
            </w:r>
            <w:r>
              <w:rPr>
                <w:rFonts w:hint="eastAsia" w:ascii="宋体" w:hAnsi="宋体"/>
                <w:b/>
                <w:kern w:val="0"/>
              </w:rPr>
              <w:t>外保内贷境外担保履约款结（购）汇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jc w:val="center"/>
        </w:trPr>
        <w:tc>
          <w:tcPr>
            <w:tcW w:w="1093" w:type="dxa"/>
            <w:tcBorders>
              <w:top w:val="single" w:color="000000" w:sz="4" w:space="0"/>
              <w:left w:val="single" w:color="000000" w:sz="4" w:space="0"/>
              <w:bottom w:val="single" w:color="000000" w:sz="4" w:space="0"/>
              <w:right w:val="single" w:color="000000" w:sz="4" w:space="0"/>
            </w:tcBorders>
            <w:vAlign w:val="center"/>
          </w:tcPr>
          <w:p>
            <w:pPr>
              <w:widowControl/>
              <w:snapToGrid w:val="0"/>
              <w:jc w:val="left"/>
              <w:rPr>
                <w:rFonts w:hint="default"/>
                <w:kern w:val="0"/>
                <w:sz w:val="20"/>
              </w:rPr>
            </w:pPr>
            <w:r>
              <w:rPr>
                <w:rFonts w:ascii="宋体" w:hAnsi="宋体"/>
                <w:kern w:val="0"/>
              </w:rPr>
              <w:t>设定依据</w:t>
            </w:r>
          </w:p>
          <w:p>
            <w:pPr>
              <w:widowControl/>
              <w:spacing w:line="271" w:lineRule="auto"/>
              <w:jc w:val="center"/>
              <w:rPr>
                <w:rFonts w:hint="default" w:ascii="Times New Roman" w:eastAsia="Times New Roman"/>
                <w:b/>
                <w:kern w:val="0"/>
              </w:rPr>
            </w:pPr>
          </w:p>
        </w:tc>
        <w:tc>
          <w:tcPr>
            <w:tcW w:w="7412" w:type="dxa"/>
            <w:tcBorders>
              <w:top w:val="single" w:color="000000" w:sz="4" w:space="0"/>
              <w:left w:val="nil"/>
              <w:bottom w:val="single" w:color="000000" w:sz="4" w:space="0"/>
              <w:right w:val="single" w:color="000000" w:sz="4" w:space="0"/>
            </w:tcBorders>
            <w:vAlign w:val="center"/>
          </w:tcPr>
          <w:p>
            <w:pPr>
              <w:widowControl/>
              <w:snapToGrid w:val="0"/>
              <w:jc w:val="left"/>
              <w:rPr>
                <w:rFonts w:hint="eastAsia" w:ascii="宋体" w:hAnsi="宋体"/>
                <w:kern w:val="0"/>
              </w:rPr>
            </w:pPr>
            <w:r>
              <w:rPr>
                <w:rFonts w:hint="eastAsia" w:ascii="宋体" w:hAnsi="宋体"/>
                <w:kern w:val="0"/>
              </w:rPr>
              <w:t>1.《中华人民共和国外汇管理条例》（国务院令第532号）。</w:t>
            </w:r>
          </w:p>
          <w:p>
            <w:pPr>
              <w:widowControl/>
              <w:snapToGrid w:val="0"/>
              <w:jc w:val="left"/>
              <w:rPr>
                <w:rFonts w:hint="eastAsia" w:ascii="宋体" w:hAnsi="宋体"/>
                <w:kern w:val="0"/>
              </w:rPr>
            </w:pPr>
            <w:r>
              <w:rPr>
                <w:rFonts w:hint="eastAsia" w:ascii="宋体" w:hAnsi="宋体"/>
                <w:kern w:val="0"/>
              </w:rPr>
              <w:t>2.《国家外汇管理局关于发布〈跨境担保外汇管理规定〉的通知》（汇发〔2014〕29号）。</w:t>
            </w:r>
          </w:p>
          <w:p>
            <w:pPr>
              <w:widowControl/>
              <w:snapToGrid w:val="0"/>
              <w:jc w:val="left"/>
              <w:rPr>
                <w:rFonts w:hint="default"/>
                <w:kern w:val="0"/>
                <w:sz w:val="20"/>
              </w:rPr>
            </w:pPr>
            <w:r>
              <w:rPr>
                <w:rFonts w:hint="eastAsia" w:ascii="宋体" w:hAnsi="宋体"/>
                <w:kern w:val="0"/>
              </w:rPr>
              <w:t>3.其他相关法规。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jc w:val="center"/>
        </w:trPr>
        <w:tc>
          <w:tcPr>
            <w:tcW w:w="1093"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rFonts w:ascii="宋体" w:hAnsi="宋体"/>
                <w:kern w:val="0"/>
              </w:rPr>
            </w:pPr>
            <w:r>
              <w:rPr>
                <w:rFonts w:ascii="宋体" w:hAnsi="宋体"/>
                <w:kern w:val="0"/>
              </w:rPr>
              <w:t>申请条件</w:t>
            </w:r>
          </w:p>
          <w:p>
            <w:pPr>
              <w:widowControl/>
              <w:snapToGrid w:val="0"/>
              <w:jc w:val="center"/>
              <w:rPr>
                <w:rFonts w:hint="eastAsia" w:ascii="宋体" w:hAnsi="宋体"/>
                <w:kern w:val="0"/>
                <w:lang w:val="en-US" w:eastAsia="zh-CN"/>
              </w:rPr>
            </w:pPr>
            <w:r>
              <w:rPr>
                <w:rFonts w:hint="eastAsia" w:ascii="宋体" w:hAnsi="宋体"/>
                <w:kern w:val="0"/>
                <w:lang w:val="en-US" w:eastAsia="zh-CN"/>
              </w:rPr>
              <w:t>及</w:t>
            </w:r>
          </w:p>
          <w:p>
            <w:pPr>
              <w:widowControl/>
              <w:snapToGrid w:val="0"/>
              <w:jc w:val="center"/>
              <w:rPr>
                <w:rFonts w:hint="eastAsia" w:ascii="宋体" w:hAnsi="宋体"/>
                <w:kern w:val="0"/>
                <w:lang w:val="en-US" w:eastAsia="zh-CN"/>
              </w:rPr>
            </w:pPr>
            <w:r>
              <w:rPr>
                <w:rFonts w:hint="eastAsia" w:ascii="宋体" w:hAnsi="宋体"/>
                <w:kern w:val="0"/>
                <w:lang w:val="en-US" w:eastAsia="zh-CN"/>
              </w:rPr>
              <w:t>注意事项</w:t>
            </w:r>
          </w:p>
        </w:tc>
        <w:tc>
          <w:tcPr>
            <w:tcW w:w="7412" w:type="dxa"/>
            <w:tcBorders>
              <w:top w:val="single" w:color="000000" w:sz="4" w:space="0"/>
              <w:left w:val="nil"/>
              <w:bottom w:val="single" w:color="000000" w:sz="4" w:space="0"/>
              <w:right w:val="single" w:color="000000" w:sz="4" w:space="0"/>
            </w:tcBorders>
            <w:vAlign w:val="center"/>
          </w:tcPr>
          <w:p>
            <w:pPr>
              <w:widowControl/>
              <w:snapToGrid w:val="0"/>
              <w:jc w:val="left"/>
              <w:rPr>
                <w:rFonts w:hint="eastAsia" w:ascii="宋体" w:hAnsi="宋体"/>
                <w:kern w:val="0"/>
              </w:rPr>
            </w:pPr>
            <w:r>
              <w:rPr>
                <w:rFonts w:hint="eastAsia" w:ascii="宋体" w:hAnsi="宋体"/>
                <w:kern w:val="0"/>
              </w:rPr>
              <w:t>1.金融机构办理外保内贷履约，如担保履约资金与担保项下债务提款币种不一致而需要办理结汇或购汇的，由其分行或总行/总部汇总自身及下属分支机构的担保履约款结汇（或购汇）申请后，向其所在地外汇局集中提出申请。</w:t>
            </w:r>
          </w:p>
          <w:p>
            <w:pPr>
              <w:widowControl/>
              <w:snapToGrid w:val="0"/>
              <w:jc w:val="left"/>
              <w:rPr>
                <w:rFonts w:hint="default" w:ascii="宋体" w:hAnsi="宋体"/>
                <w:kern w:val="0"/>
              </w:rPr>
            </w:pPr>
            <w:r>
              <w:rPr>
                <w:rFonts w:hint="eastAsia" w:ascii="宋体" w:hAnsi="宋体"/>
                <w:kern w:val="0"/>
              </w:rPr>
              <w:t>2.金融机构作为债权人签订贷款担保合同时无违规行为的，外汇局可批准其担保履约款结汇（或购汇）。若金融机构违规行为属于未办理债权人集中登记等程序性违规的，外汇局可先允许其办理结汇（或购汇），再依据相关法规进行处理；金融机构违规行为属于超出现行政策许可范围等实质性违规且金融机构应当承担相应责任的，外汇局应先移交外汇检查部门，然后再批准其结汇（或购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jc w:val="center"/>
        </w:trPr>
        <w:tc>
          <w:tcPr>
            <w:tcW w:w="1093" w:type="dxa"/>
            <w:tcBorders>
              <w:top w:val="single" w:color="000000" w:sz="4" w:space="0"/>
              <w:left w:val="single" w:color="000000" w:sz="4" w:space="0"/>
              <w:bottom w:val="single" w:color="000000" w:sz="4" w:space="0"/>
              <w:right w:val="single" w:color="000000" w:sz="4" w:space="0"/>
            </w:tcBorders>
            <w:vAlign w:val="center"/>
          </w:tcPr>
          <w:p>
            <w:pPr>
              <w:widowControl/>
              <w:snapToGrid w:val="0"/>
              <w:jc w:val="left"/>
              <w:rPr>
                <w:rFonts w:hint="default"/>
                <w:kern w:val="0"/>
                <w:sz w:val="20"/>
              </w:rPr>
            </w:pPr>
            <w:r>
              <w:rPr>
                <w:rFonts w:ascii="宋体" w:hAnsi="宋体"/>
                <w:kern w:val="0"/>
              </w:rPr>
              <w:t>办理材料</w:t>
            </w:r>
          </w:p>
        </w:tc>
        <w:tc>
          <w:tcPr>
            <w:tcW w:w="7412" w:type="dxa"/>
            <w:tcBorders>
              <w:top w:val="single" w:color="000000" w:sz="4" w:space="0"/>
              <w:left w:val="nil"/>
              <w:bottom w:val="single" w:color="000000" w:sz="4" w:space="0"/>
              <w:right w:val="single" w:color="000000" w:sz="4" w:space="0"/>
            </w:tcBorders>
            <w:vAlign w:val="center"/>
          </w:tcPr>
          <w:p>
            <w:pPr>
              <w:widowControl/>
              <w:snapToGrid w:val="0"/>
              <w:jc w:val="left"/>
              <w:rPr>
                <w:rFonts w:ascii="宋体" w:hAnsi="宋体"/>
                <w:kern w:val="0"/>
              </w:rPr>
            </w:pPr>
            <w:r>
              <w:rPr>
                <w:rFonts w:hint="eastAsia" w:ascii="宋体" w:hAnsi="宋体"/>
                <w:kern w:val="0"/>
              </w:rPr>
              <w:t>1.申请书。</w:t>
            </w:r>
          </w:p>
          <w:p>
            <w:pPr>
              <w:widowControl/>
              <w:snapToGrid w:val="0"/>
              <w:jc w:val="left"/>
              <w:rPr>
                <w:rFonts w:ascii="宋体" w:hAnsi="宋体"/>
                <w:kern w:val="0"/>
              </w:rPr>
            </w:pPr>
            <w:r>
              <w:rPr>
                <w:rFonts w:hint="eastAsia" w:ascii="宋体" w:hAnsi="宋体"/>
                <w:kern w:val="0"/>
              </w:rPr>
              <w:t>2.外保内贷业务合同（或合同简明条款）。</w:t>
            </w:r>
          </w:p>
          <w:p>
            <w:pPr>
              <w:widowControl/>
              <w:snapToGrid w:val="0"/>
              <w:jc w:val="left"/>
              <w:rPr>
                <w:rFonts w:ascii="宋体" w:hAnsi="宋体"/>
                <w:kern w:val="0"/>
              </w:rPr>
            </w:pPr>
            <w:r>
              <w:rPr>
                <w:rFonts w:hint="eastAsia" w:ascii="宋体" w:hAnsi="宋体"/>
                <w:kern w:val="0"/>
              </w:rPr>
              <w:t>3.证明结汇（或购汇）资金来源的书面材料。</w:t>
            </w:r>
          </w:p>
          <w:p>
            <w:pPr>
              <w:widowControl/>
              <w:snapToGrid w:val="0"/>
              <w:jc w:val="left"/>
              <w:rPr>
                <w:rFonts w:ascii="宋体" w:hAnsi="宋体"/>
                <w:kern w:val="0"/>
              </w:rPr>
            </w:pPr>
            <w:r>
              <w:rPr>
                <w:rFonts w:hint="eastAsia" w:ascii="宋体" w:hAnsi="宋体"/>
                <w:kern w:val="0"/>
              </w:rPr>
              <w:t>4.债务人提供的外保内贷履约项下外债登记证明文件（因清算、解散、债务豁免或其他合理因素导致债务人无法取得外债登记证明的，应当说明原因）。</w:t>
            </w:r>
          </w:p>
          <w:p>
            <w:pPr>
              <w:widowControl/>
              <w:snapToGrid w:val="0"/>
              <w:jc w:val="left"/>
              <w:rPr>
                <w:rFonts w:hint="default"/>
                <w:kern w:val="0"/>
                <w:sz w:val="20"/>
              </w:rPr>
            </w:pPr>
            <w:r>
              <w:rPr>
                <w:rFonts w:hint="eastAsia" w:ascii="宋体" w:hAnsi="宋体"/>
                <w:kern w:val="0"/>
              </w:rPr>
              <w:t>5.外汇局要求提供的其他材料。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1" w:hRule="atLeast"/>
          <w:jc w:val="center"/>
        </w:trPr>
        <w:tc>
          <w:tcPr>
            <w:tcW w:w="1093" w:type="dxa"/>
            <w:tcBorders>
              <w:top w:val="single" w:color="000000" w:sz="4" w:space="0"/>
              <w:left w:val="single" w:color="000000" w:sz="4" w:space="0"/>
              <w:bottom w:val="single" w:color="000000" w:sz="4" w:space="0"/>
              <w:right w:val="single" w:color="000000" w:sz="4" w:space="0"/>
            </w:tcBorders>
            <w:vAlign w:val="center"/>
          </w:tcPr>
          <w:p>
            <w:pPr>
              <w:widowControl/>
              <w:snapToGrid w:val="0"/>
              <w:jc w:val="left"/>
              <w:rPr>
                <w:rFonts w:hint="default"/>
                <w:kern w:val="0"/>
                <w:sz w:val="20"/>
              </w:rPr>
            </w:pPr>
            <w:r>
              <w:rPr>
                <w:rFonts w:ascii="宋体" w:hAnsi="宋体"/>
                <w:kern w:val="0"/>
              </w:rPr>
              <w:t>办理地点</w:t>
            </w:r>
          </w:p>
        </w:tc>
        <w:tc>
          <w:tcPr>
            <w:tcW w:w="7412" w:type="dxa"/>
            <w:tcBorders>
              <w:top w:val="single" w:color="000000" w:sz="4" w:space="0"/>
              <w:left w:val="nil"/>
              <w:bottom w:val="single" w:color="000000" w:sz="4" w:space="0"/>
              <w:right w:val="single" w:color="000000" w:sz="4" w:space="0"/>
            </w:tcBorders>
            <w:vAlign w:val="top"/>
          </w:tcPr>
          <w:p>
            <w:pPr>
              <w:widowControl/>
              <w:snapToGrid w:val="0"/>
              <w:jc w:val="left"/>
              <w:rPr>
                <w:rFonts w:hint="default"/>
                <w:kern w:val="0"/>
              </w:rPr>
            </w:pPr>
            <w:r>
              <w:rPr>
                <w:rFonts w:ascii="宋体" w:hAnsi="宋体"/>
                <w:kern w:val="0"/>
              </w:rPr>
              <w:t>国家外汇管理局青海省分局外汇管理处资本科（西宁市昆仑路3号人民银行政务大厅）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jc w:val="center"/>
        </w:trPr>
        <w:tc>
          <w:tcPr>
            <w:tcW w:w="1093" w:type="dxa"/>
            <w:tcBorders>
              <w:top w:val="single" w:color="000000" w:sz="4" w:space="0"/>
              <w:left w:val="single" w:color="000000" w:sz="4" w:space="0"/>
              <w:bottom w:val="single" w:color="000000" w:sz="4" w:space="0"/>
              <w:right w:val="single" w:color="000000" w:sz="4" w:space="0"/>
            </w:tcBorders>
            <w:vAlign w:val="center"/>
          </w:tcPr>
          <w:p>
            <w:pPr>
              <w:widowControl/>
              <w:snapToGrid w:val="0"/>
              <w:jc w:val="left"/>
              <w:rPr>
                <w:rFonts w:hint="default"/>
                <w:kern w:val="0"/>
                <w:sz w:val="20"/>
              </w:rPr>
            </w:pPr>
            <w:r>
              <w:rPr>
                <w:rFonts w:ascii="宋体" w:hAnsi="宋体"/>
                <w:kern w:val="0"/>
              </w:rPr>
              <w:t>办理时间</w:t>
            </w:r>
          </w:p>
          <w:p>
            <w:pPr>
              <w:widowControl/>
              <w:spacing w:line="271" w:lineRule="auto"/>
              <w:jc w:val="center"/>
              <w:rPr>
                <w:rFonts w:hint="default" w:ascii="Times New Roman" w:eastAsia="Times New Roman"/>
                <w:b/>
                <w:kern w:val="0"/>
              </w:rPr>
            </w:pPr>
          </w:p>
        </w:tc>
        <w:tc>
          <w:tcPr>
            <w:tcW w:w="7412" w:type="dxa"/>
            <w:tcBorders>
              <w:top w:val="single" w:color="000000" w:sz="4" w:space="0"/>
              <w:left w:val="nil"/>
              <w:bottom w:val="single" w:color="000000" w:sz="4" w:space="0"/>
              <w:right w:val="single" w:color="000000" w:sz="4" w:space="0"/>
            </w:tcBorders>
            <w:vAlign w:val="top"/>
          </w:tcPr>
          <w:p>
            <w:pPr>
              <w:widowControl/>
              <w:snapToGrid w:val="0"/>
              <w:jc w:val="left"/>
              <w:rPr>
                <w:rFonts w:hint="default"/>
                <w:kern w:val="0"/>
              </w:rPr>
            </w:pPr>
            <w:r>
              <w:rPr>
                <w:rFonts w:ascii="宋体" w:hAnsi="宋体"/>
                <w:kern w:val="0"/>
              </w:rPr>
              <w:t>周一至周五（法定节假日除外）</w:t>
            </w:r>
          </w:p>
          <w:p>
            <w:pPr>
              <w:widowControl/>
              <w:snapToGrid w:val="0"/>
              <w:jc w:val="left"/>
              <w:rPr>
                <w:rFonts w:hint="default"/>
                <w:kern w:val="0"/>
                <w:sz w:val="20"/>
              </w:rPr>
            </w:pPr>
            <w:r>
              <w:rPr>
                <w:rFonts w:ascii="宋体" w:hAnsi="宋体"/>
                <w:kern w:val="0"/>
              </w:rPr>
              <w:t>上午8：30-11：30，下午2：00-5：30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jc w:val="center"/>
        </w:trPr>
        <w:tc>
          <w:tcPr>
            <w:tcW w:w="1093" w:type="dxa"/>
            <w:tcBorders>
              <w:top w:val="single" w:color="000000" w:sz="4" w:space="0"/>
              <w:left w:val="single" w:color="000000" w:sz="4" w:space="0"/>
              <w:bottom w:val="single" w:color="000000" w:sz="4" w:space="0"/>
              <w:right w:val="single" w:color="000000" w:sz="4" w:space="0"/>
            </w:tcBorders>
            <w:vAlign w:val="center"/>
          </w:tcPr>
          <w:p>
            <w:pPr>
              <w:widowControl/>
              <w:snapToGrid w:val="0"/>
              <w:jc w:val="left"/>
              <w:rPr>
                <w:rFonts w:hint="default"/>
                <w:kern w:val="0"/>
                <w:sz w:val="20"/>
              </w:rPr>
            </w:pPr>
            <w:r>
              <w:rPr>
                <w:rFonts w:ascii="宋体" w:hAnsi="宋体"/>
                <w:kern w:val="0"/>
              </w:rPr>
              <w:t>联系电话</w:t>
            </w:r>
          </w:p>
        </w:tc>
        <w:tc>
          <w:tcPr>
            <w:tcW w:w="7412" w:type="dxa"/>
            <w:tcBorders>
              <w:top w:val="single" w:color="000000" w:sz="4" w:space="0"/>
              <w:left w:val="nil"/>
              <w:bottom w:val="single" w:color="000000" w:sz="4" w:space="0"/>
              <w:right w:val="single" w:color="000000" w:sz="4" w:space="0"/>
            </w:tcBorders>
            <w:vAlign w:val="top"/>
          </w:tcPr>
          <w:p>
            <w:pPr>
              <w:widowControl/>
              <w:snapToGrid w:val="0"/>
              <w:jc w:val="left"/>
              <w:rPr>
                <w:rFonts w:hint="default"/>
                <w:kern w:val="0"/>
              </w:rPr>
            </w:pPr>
            <w:r>
              <w:rPr>
                <w:rFonts w:ascii="宋体" w:hAnsi="宋体"/>
                <w:kern w:val="0"/>
              </w:rPr>
              <w:t>0971-6126143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jc w:val="center"/>
        </w:trPr>
        <w:tc>
          <w:tcPr>
            <w:tcW w:w="1093" w:type="dxa"/>
            <w:tcBorders>
              <w:top w:val="single" w:color="000000" w:sz="4" w:space="0"/>
              <w:left w:val="single" w:color="000000" w:sz="4" w:space="0"/>
              <w:bottom w:val="single" w:color="000000" w:sz="4" w:space="0"/>
              <w:right w:val="single" w:color="000000" w:sz="4" w:space="0"/>
            </w:tcBorders>
            <w:vAlign w:val="center"/>
          </w:tcPr>
          <w:p>
            <w:pPr>
              <w:widowControl/>
              <w:snapToGrid w:val="0"/>
              <w:jc w:val="left"/>
              <w:rPr>
                <w:rFonts w:hint="default"/>
                <w:kern w:val="0"/>
                <w:sz w:val="20"/>
              </w:rPr>
            </w:pPr>
            <w:r>
              <w:rPr>
                <w:rFonts w:ascii="宋体" w:hAnsi="宋体"/>
                <w:kern w:val="0"/>
              </w:rPr>
              <w:t>办理流程</w:t>
            </w:r>
          </w:p>
        </w:tc>
        <w:tc>
          <w:tcPr>
            <w:tcW w:w="7412" w:type="dxa"/>
            <w:tcBorders>
              <w:top w:val="single" w:color="000000" w:sz="4" w:space="0"/>
              <w:left w:val="nil"/>
              <w:bottom w:val="single" w:color="000000" w:sz="4" w:space="0"/>
              <w:right w:val="single" w:color="000000" w:sz="4" w:space="0"/>
            </w:tcBorders>
            <w:vAlign w:val="top"/>
          </w:tcPr>
          <w:p>
            <w:pPr>
              <w:widowControl/>
              <w:numPr>
                <w:ilvl w:val="0"/>
                <w:numId w:val="16"/>
              </w:numPr>
              <w:snapToGrid w:val="0"/>
              <w:jc w:val="left"/>
              <w:rPr>
                <w:rFonts w:ascii="宋体" w:hAnsi="宋体"/>
                <w:kern w:val="0"/>
              </w:rPr>
            </w:pPr>
            <w:r>
              <w:rPr>
                <w:rFonts w:ascii="宋体" w:hAnsi="宋体"/>
                <w:kern w:val="0"/>
              </w:rPr>
              <w:t>金融机构可直接与境外担保人办理担保履约收款。</w:t>
            </w:r>
          </w:p>
          <w:p>
            <w:pPr>
              <w:widowControl/>
              <w:numPr>
                <w:numId w:val="0"/>
              </w:numPr>
              <w:snapToGrid w:val="0"/>
              <w:jc w:val="left"/>
              <w:rPr>
                <w:rFonts w:hint="default"/>
                <w:kern w:val="0"/>
                <w:sz w:val="20"/>
              </w:rPr>
            </w:pPr>
            <w:r>
              <w:rPr>
                <w:rFonts w:hint="eastAsia" w:ascii="宋体" w:hAnsi="宋体"/>
                <w:kern w:val="0"/>
                <w:lang w:val="en-US" w:eastAsia="zh-CN"/>
              </w:rPr>
              <w:t>2.向注册所在地外汇局申请结汇或购汇申请。</w:t>
            </w:r>
          </w:p>
        </w:tc>
      </w:tr>
    </w:tbl>
    <w:p>
      <w:pPr>
        <w:widowControl/>
        <w:rPr>
          <w:rFonts w:hint="default"/>
          <w:kern w:val="0"/>
        </w:rPr>
      </w:pPr>
    </w:p>
    <w:p>
      <w:pPr>
        <w:widowControl/>
        <w:rPr>
          <w:rFonts w:hint="default"/>
          <w:kern w:val="0"/>
        </w:rPr>
      </w:pPr>
    </w:p>
    <w:p>
      <w:pPr>
        <w:widowControl/>
        <w:rPr>
          <w:rFonts w:hint="default"/>
          <w:kern w:val="0"/>
        </w:rPr>
      </w:pPr>
    </w:p>
    <w:p>
      <w:pPr>
        <w:widowControl/>
        <w:rPr>
          <w:rFonts w:hint="default"/>
          <w:kern w:val="0"/>
        </w:rPr>
      </w:pPr>
    </w:p>
    <w:p>
      <w:pPr>
        <w:widowControl/>
        <w:rPr>
          <w:rFonts w:hint="default"/>
          <w:kern w:val="0"/>
        </w:rPr>
      </w:pPr>
    </w:p>
    <w:p>
      <w:pPr>
        <w:widowControl/>
        <w:rPr>
          <w:rFonts w:hint="default"/>
          <w:kern w:val="0"/>
        </w:rPr>
      </w:pPr>
    </w:p>
    <w:p>
      <w:pPr>
        <w:widowControl/>
        <w:rPr>
          <w:rFonts w:hint="default"/>
          <w:kern w:val="0"/>
        </w:rPr>
      </w:pPr>
    </w:p>
    <w:p>
      <w:pPr>
        <w:widowControl/>
        <w:rPr>
          <w:rFonts w:hint="default"/>
          <w:kern w:val="0"/>
        </w:rPr>
      </w:pPr>
    </w:p>
    <w:p>
      <w:pPr>
        <w:widowControl/>
        <w:rPr>
          <w:rFonts w:hint="default"/>
          <w:kern w:val="0"/>
        </w:rPr>
      </w:pPr>
    </w:p>
    <w:p>
      <w:pPr>
        <w:widowControl/>
        <w:rPr>
          <w:rFonts w:hint="default"/>
          <w:kern w:val="0"/>
        </w:rPr>
      </w:pPr>
    </w:p>
    <w:p>
      <w:pPr>
        <w:widowControl/>
        <w:rPr>
          <w:rFonts w:hint="default"/>
          <w:kern w:val="0"/>
        </w:rPr>
      </w:pPr>
    </w:p>
    <w:p>
      <w:pPr>
        <w:widowControl/>
        <w:rPr>
          <w:rFonts w:hint="default"/>
          <w:kern w:val="0"/>
        </w:rPr>
      </w:pPr>
    </w:p>
    <w:p>
      <w:pPr>
        <w:widowControl/>
        <w:rPr>
          <w:rFonts w:hint="default"/>
          <w:kern w:val="0"/>
        </w:rPr>
      </w:pPr>
    </w:p>
    <w:p>
      <w:pPr>
        <w:widowControl/>
        <w:rPr>
          <w:rFonts w:hint="default"/>
          <w:kern w:val="0"/>
        </w:rPr>
      </w:pPr>
    </w:p>
    <w:p>
      <w:pPr>
        <w:widowControl/>
        <w:rPr>
          <w:rFonts w:hint="default"/>
          <w:kern w:val="0"/>
        </w:rPr>
      </w:pPr>
    </w:p>
    <w:p>
      <w:pPr>
        <w:widowControl/>
        <w:rPr>
          <w:rFonts w:hint="default"/>
          <w:kern w:val="0"/>
        </w:rPr>
      </w:pPr>
    </w:p>
    <w:p>
      <w:pPr>
        <w:widowControl/>
        <w:rPr>
          <w:rFonts w:hint="default"/>
          <w:kern w:val="0"/>
        </w:rPr>
      </w:pPr>
    </w:p>
    <w:tbl>
      <w:tblPr>
        <w:tblStyle w:val="16"/>
        <w:tblW w:w="850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093"/>
        <w:gridCol w:w="741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jc w:val="center"/>
        </w:trPr>
        <w:tc>
          <w:tcPr>
            <w:tcW w:w="1093" w:type="dxa"/>
            <w:tcBorders>
              <w:top w:val="single" w:color="000000" w:sz="4" w:space="0"/>
              <w:left w:val="single" w:color="000000" w:sz="4" w:space="0"/>
              <w:bottom w:val="single" w:color="000000" w:sz="4" w:space="0"/>
              <w:right w:val="single" w:color="000000" w:sz="4" w:space="0"/>
            </w:tcBorders>
            <w:vAlign w:val="center"/>
          </w:tcPr>
          <w:p>
            <w:pPr>
              <w:widowControl/>
              <w:snapToGrid w:val="0"/>
              <w:jc w:val="left"/>
              <w:rPr>
                <w:rFonts w:hint="default"/>
                <w:kern w:val="0"/>
                <w:sz w:val="20"/>
              </w:rPr>
            </w:pPr>
            <w:r>
              <w:rPr>
                <w:rFonts w:ascii="宋体" w:hAnsi="宋体"/>
                <w:kern w:val="0"/>
              </w:rPr>
              <w:t>业务名称</w:t>
            </w:r>
          </w:p>
        </w:tc>
        <w:tc>
          <w:tcPr>
            <w:tcW w:w="7412" w:type="dxa"/>
            <w:tcBorders>
              <w:top w:val="single" w:color="000000" w:sz="4" w:space="0"/>
              <w:left w:val="nil"/>
              <w:bottom w:val="single" w:color="000000" w:sz="4" w:space="0"/>
              <w:right w:val="single" w:color="000000" w:sz="4" w:space="0"/>
            </w:tcBorders>
            <w:vAlign w:val="center"/>
          </w:tcPr>
          <w:p>
            <w:pPr>
              <w:widowControl/>
              <w:snapToGrid w:val="0"/>
              <w:jc w:val="left"/>
              <w:rPr>
                <w:rFonts w:hint="default"/>
                <w:b/>
                <w:kern w:val="0"/>
                <w:sz w:val="20"/>
              </w:rPr>
            </w:pPr>
            <w:r>
              <w:rPr>
                <w:rFonts w:ascii="宋体" w:hAnsi="宋体"/>
                <w:b/>
                <w:kern w:val="0"/>
              </w:rPr>
              <w:t>（</w:t>
            </w:r>
            <w:r>
              <w:rPr>
                <w:rFonts w:hint="eastAsia" w:ascii="宋体" w:hAnsi="宋体"/>
                <w:b/>
                <w:kern w:val="0"/>
                <w:lang w:eastAsia="zh-CN"/>
              </w:rPr>
              <w:t>十一</w:t>
            </w:r>
            <w:r>
              <w:rPr>
                <w:rFonts w:ascii="宋体" w:hAnsi="宋体"/>
                <w:b/>
                <w:kern w:val="0"/>
              </w:rPr>
              <w:t>）</w:t>
            </w:r>
            <w:r>
              <w:rPr>
                <w:rFonts w:hint="eastAsia" w:ascii="宋体" w:hAnsi="宋体"/>
                <w:b/>
                <w:kern w:val="0"/>
              </w:rPr>
              <w:t>融资租赁对外债权登记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jc w:val="center"/>
        </w:trPr>
        <w:tc>
          <w:tcPr>
            <w:tcW w:w="1093" w:type="dxa"/>
            <w:tcBorders>
              <w:top w:val="single" w:color="000000" w:sz="4" w:space="0"/>
              <w:left w:val="single" w:color="000000" w:sz="4" w:space="0"/>
              <w:bottom w:val="single" w:color="000000" w:sz="4" w:space="0"/>
              <w:right w:val="single" w:color="000000" w:sz="4" w:space="0"/>
            </w:tcBorders>
            <w:vAlign w:val="center"/>
          </w:tcPr>
          <w:p>
            <w:pPr>
              <w:widowControl/>
              <w:snapToGrid w:val="0"/>
              <w:jc w:val="left"/>
              <w:rPr>
                <w:rFonts w:hint="default"/>
                <w:kern w:val="0"/>
                <w:sz w:val="20"/>
              </w:rPr>
            </w:pPr>
            <w:r>
              <w:rPr>
                <w:rFonts w:ascii="宋体" w:hAnsi="宋体"/>
                <w:kern w:val="0"/>
              </w:rPr>
              <w:t>设定依据</w:t>
            </w:r>
          </w:p>
          <w:p>
            <w:pPr>
              <w:widowControl/>
              <w:spacing w:line="271" w:lineRule="auto"/>
              <w:jc w:val="center"/>
              <w:rPr>
                <w:rFonts w:hint="default" w:ascii="Times New Roman" w:eastAsia="Times New Roman"/>
                <w:b/>
                <w:kern w:val="0"/>
              </w:rPr>
            </w:pPr>
          </w:p>
        </w:tc>
        <w:tc>
          <w:tcPr>
            <w:tcW w:w="7412" w:type="dxa"/>
            <w:tcBorders>
              <w:top w:val="single" w:color="000000" w:sz="4" w:space="0"/>
              <w:left w:val="nil"/>
              <w:bottom w:val="single" w:color="000000" w:sz="4" w:space="0"/>
              <w:right w:val="single" w:color="000000" w:sz="4" w:space="0"/>
            </w:tcBorders>
            <w:vAlign w:val="center"/>
          </w:tcPr>
          <w:p>
            <w:pPr>
              <w:widowControl/>
              <w:snapToGrid w:val="0"/>
              <w:jc w:val="left"/>
              <w:rPr>
                <w:rFonts w:ascii="宋体" w:hAnsi="宋体"/>
                <w:kern w:val="0"/>
              </w:rPr>
            </w:pPr>
            <w:r>
              <w:rPr>
                <w:rFonts w:ascii="宋体" w:hAnsi="宋体"/>
                <w:kern w:val="0"/>
              </w:rPr>
              <w:t>1.《中华人民共和国外汇管理条例》（国务院令第532号）</w:t>
            </w:r>
            <w:r>
              <w:rPr>
                <w:rFonts w:hint="eastAsia" w:ascii="宋体" w:hAnsi="宋体"/>
                <w:kern w:val="0"/>
              </w:rPr>
              <w:t>。</w:t>
            </w:r>
          </w:p>
          <w:p>
            <w:pPr>
              <w:widowControl/>
              <w:snapToGrid w:val="0"/>
              <w:jc w:val="left"/>
              <w:rPr>
                <w:rFonts w:ascii="宋体" w:hAnsi="宋体"/>
                <w:kern w:val="0"/>
              </w:rPr>
            </w:pPr>
            <w:r>
              <w:rPr>
                <w:rFonts w:ascii="宋体" w:hAnsi="宋体"/>
                <w:kern w:val="0"/>
              </w:rPr>
              <w:t>2.《国家外汇管理局关于进一步改进和调整资本项目外汇管理政策的通知》（汇发〔2014〕2号</w:t>
            </w:r>
            <w:r>
              <w:rPr>
                <w:rFonts w:hint="eastAsia" w:ascii="宋体" w:hAnsi="宋体"/>
                <w:kern w:val="0"/>
              </w:rPr>
              <w:t>）。</w:t>
            </w:r>
          </w:p>
          <w:p>
            <w:pPr>
              <w:widowControl/>
              <w:snapToGrid w:val="0"/>
              <w:jc w:val="left"/>
              <w:rPr>
                <w:rFonts w:ascii="宋体" w:hAnsi="宋体"/>
                <w:kern w:val="0"/>
              </w:rPr>
            </w:pPr>
            <w:r>
              <w:rPr>
                <w:rFonts w:hint="eastAsia" w:ascii="宋体" w:hAnsi="宋体"/>
                <w:kern w:val="0"/>
              </w:rPr>
              <w:t>3.其他相关法规。</w:t>
            </w:r>
          </w:p>
          <w:p>
            <w:pPr>
              <w:widowControl/>
              <w:snapToGrid w:val="0"/>
              <w:jc w:val="left"/>
              <w:rPr>
                <w:rFonts w:hint="default"/>
                <w:kern w:val="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jc w:val="center"/>
        </w:trPr>
        <w:tc>
          <w:tcPr>
            <w:tcW w:w="1093"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rFonts w:ascii="宋体" w:hAnsi="宋体"/>
                <w:kern w:val="0"/>
              </w:rPr>
            </w:pPr>
            <w:r>
              <w:rPr>
                <w:rFonts w:ascii="宋体" w:hAnsi="宋体"/>
                <w:kern w:val="0"/>
              </w:rPr>
              <w:t>申请条件</w:t>
            </w:r>
          </w:p>
          <w:p>
            <w:pPr>
              <w:widowControl/>
              <w:snapToGrid w:val="0"/>
              <w:jc w:val="center"/>
              <w:rPr>
                <w:rFonts w:hint="eastAsia" w:ascii="宋体" w:hAnsi="宋体"/>
                <w:kern w:val="0"/>
                <w:lang w:val="en-US" w:eastAsia="zh-CN"/>
              </w:rPr>
            </w:pPr>
            <w:r>
              <w:rPr>
                <w:rFonts w:hint="eastAsia" w:ascii="宋体" w:hAnsi="宋体"/>
                <w:kern w:val="0"/>
                <w:lang w:val="en-US" w:eastAsia="zh-CN"/>
              </w:rPr>
              <w:t>及</w:t>
            </w:r>
          </w:p>
          <w:p>
            <w:pPr>
              <w:widowControl/>
              <w:snapToGrid w:val="0"/>
              <w:jc w:val="center"/>
              <w:rPr>
                <w:rFonts w:hint="eastAsia" w:ascii="宋体" w:hAnsi="宋体" w:eastAsia="宋体"/>
                <w:kern w:val="0"/>
                <w:lang w:val="en-US" w:eastAsia="zh-CN"/>
              </w:rPr>
            </w:pPr>
            <w:r>
              <w:rPr>
                <w:rFonts w:hint="eastAsia" w:ascii="宋体" w:hAnsi="宋体"/>
                <w:kern w:val="0"/>
                <w:lang w:val="en-US" w:eastAsia="zh-CN"/>
              </w:rPr>
              <w:t>注意事项</w:t>
            </w:r>
          </w:p>
        </w:tc>
        <w:tc>
          <w:tcPr>
            <w:tcW w:w="7412" w:type="dxa"/>
            <w:tcBorders>
              <w:top w:val="single" w:color="000000" w:sz="4" w:space="0"/>
              <w:left w:val="nil"/>
              <w:bottom w:val="single" w:color="000000" w:sz="4" w:space="0"/>
              <w:right w:val="single" w:color="000000" w:sz="4" w:space="0"/>
            </w:tcBorders>
            <w:vAlign w:val="center"/>
          </w:tcPr>
          <w:p>
            <w:pPr>
              <w:widowControl/>
              <w:snapToGrid w:val="0"/>
              <w:jc w:val="left"/>
              <w:rPr>
                <w:rFonts w:ascii="宋体" w:hAnsi="宋体"/>
                <w:kern w:val="0"/>
              </w:rPr>
            </w:pPr>
            <w:r>
              <w:rPr>
                <w:rFonts w:hint="eastAsia" w:ascii="宋体" w:hAnsi="宋体"/>
                <w:kern w:val="0"/>
              </w:rPr>
              <w:t>1.</w:t>
            </w:r>
            <w:r>
              <w:rPr>
                <w:rFonts w:ascii="宋体" w:hAnsi="宋体"/>
                <w:kern w:val="0"/>
              </w:rPr>
              <w:t>融资租赁类公司包括银行业监管部门批准设立的金融租赁公司、商务主管部门审批设立的外商投资租赁公司，以及商务部和国家税务总局联合确认的内资融资租赁公司等三类主体</w:t>
            </w:r>
            <w:r>
              <w:rPr>
                <w:rFonts w:hint="eastAsia" w:ascii="宋体" w:hAnsi="宋体"/>
                <w:kern w:val="0"/>
              </w:rPr>
              <w:t>。</w:t>
            </w:r>
          </w:p>
          <w:p>
            <w:pPr>
              <w:widowControl/>
              <w:snapToGrid w:val="0"/>
              <w:jc w:val="left"/>
              <w:rPr>
                <w:rFonts w:ascii="宋体" w:hAnsi="宋体"/>
                <w:kern w:val="0"/>
              </w:rPr>
            </w:pPr>
            <w:r>
              <w:rPr>
                <w:rFonts w:hint="eastAsia" w:ascii="宋体" w:hAnsi="宋体"/>
                <w:kern w:val="0"/>
              </w:rPr>
              <w:t>2.</w:t>
            </w:r>
            <w:r>
              <w:rPr>
                <w:rFonts w:ascii="宋体" w:hAnsi="宋体"/>
                <w:kern w:val="0"/>
              </w:rPr>
              <w:t>融资租赁类公司或其项目公司开展对外融资租赁业务时，应在融资租赁对外债权发生后15个工作日内，到所在地外汇局办理融资租赁对外债权登记</w:t>
            </w:r>
            <w:r>
              <w:rPr>
                <w:rFonts w:hint="eastAsia" w:ascii="宋体" w:hAnsi="宋体"/>
                <w:kern w:val="0"/>
              </w:rPr>
              <w:t>。</w:t>
            </w:r>
          </w:p>
          <w:p>
            <w:pPr>
              <w:widowControl/>
              <w:snapToGrid w:val="0"/>
              <w:jc w:val="left"/>
              <w:rPr>
                <w:rFonts w:ascii="宋体" w:hAnsi="宋体"/>
                <w:kern w:val="0"/>
              </w:rPr>
            </w:pPr>
            <w:r>
              <w:rPr>
                <w:rFonts w:hint="eastAsia" w:ascii="宋体" w:hAnsi="宋体"/>
                <w:kern w:val="0"/>
              </w:rPr>
              <w:t>3.</w:t>
            </w:r>
            <w:r>
              <w:rPr>
                <w:rFonts w:ascii="宋体" w:hAnsi="宋体"/>
                <w:kern w:val="0"/>
              </w:rPr>
              <w:t>融资租赁类公司开展对外融资租赁业务时，不受现行境内企业境外放款额度限制</w:t>
            </w:r>
            <w:r>
              <w:rPr>
                <w:rFonts w:hint="eastAsia" w:ascii="宋体" w:hAnsi="宋体"/>
                <w:kern w:val="0"/>
              </w:rPr>
              <w:t>。</w:t>
            </w:r>
          </w:p>
          <w:p>
            <w:pPr>
              <w:widowControl/>
              <w:snapToGrid w:val="0"/>
              <w:jc w:val="left"/>
              <w:rPr>
                <w:rFonts w:ascii="宋体" w:hAnsi="宋体"/>
                <w:kern w:val="0"/>
              </w:rPr>
            </w:pPr>
            <w:r>
              <w:rPr>
                <w:rFonts w:ascii="宋体" w:hAnsi="宋体"/>
                <w:kern w:val="0"/>
              </w:rPr>
              <w:t>4.</w:t>
            </w:r>
            <w:r>
              <w:rPr>
                <w:rFonts w:hint="eastAsia" w:ascii="宋体" w:hAnsi="宋体"/>
                <w:kern w:val="0"/>
              </w:rPr>
              <w:t>融资租赁类公司完成对外债权登记后，应按规定办理非资金划转类提款备案。</w:t>
            </w:r>
          </w:p>
          <w:p>
            <w:pPr>
              <w:widowControl/>
              <w:snapToGrid w:val="0"/>
              <w:jc w:val="left"/>
              <w:rPr>
                <w:rFonts w:hint="default"/>
                <w:kern w:val="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jc w:val="center"/>
        </w:trPr>
        <w:tc>
          <w:tcPr>
            <w:tcW w:w="1093" w:type="dxa"/>
            <w:tcBorders>
              <w:top w:val="single" w:color="000000" w:sz="4" w:space="0"/>
              <w:left w:val="single" w:color="000000" w:sz="4" w:space="0"/>
              <w:bottom w:val="single" w:color="000000" w:sz="4" w:space="0"/>
              <w:right w:val="single" w:color="000000" w:sz="4" w:space="0"/>
            </w:tcBorders>
            <w:vAlign w:val="center"/>
          </w:tcPr>
          <w:p>
            <w:pPr>
              <w:widowControl/>
              <w:snapToGrid w:val="0"/>
              <w:jc w:val="left"/>
              <w:rPr>
                <w:rFonts w:hint="default"/>
                <w:kern w:val="0"/>
                <w:sz w:val="20"/>
              </w:rPr>
            </w:pPr>
            <w:r>
              <w:rPr>
                <w:rFonts w:ascii="宋体" w:hAnsi="宋体"/>
                <w:kern w:val="0"/>
              </w:rPr>
              <w:t>办理材料</w:t>
            </w:r>
          </w:p>
        </w:tc>
        <w:tc>
          <w:tcPr>
            <w:tcW w:w="7412" w:type="dxa"/>
            <w:tcBorders>
              <w:top w:val="single" w:color="000000" w:sz="4" w:space="0"/>
              <w:left w:val="nil"/>
              <w:bottom w:val="single" w:color="000000" w:sz="4" w:space="0"/>
              <w:right w:val="single" w:color="000000" w:sz="4" w:space="0"/>
            </w:tcBorders>
            <w:vAlign w:val="center"/>
          </w:tcPr>
          <w:p>
            <w:pPr>
              <w:widowControl/>
              <w:numPr>
                <w:numId w:val="0"/>
              </w:numPr>
              <w:snapToGrid w:val="0"/>
              <w:jc w:val="left"/>
              <w:rPr>
                <w:rFonts w:hint="eastAsia" w:ascii="宋体" w:hAnsi="宋体"/>
                <w:kern w:val="0"/>
                <w:lang w:eastAsia="zh-CN"/>
              </w:rPr>
            </w:pPr>
            <w:r>
              <w:rPr>
                <w:rFonts w:hint="eastAsia" w:ascii="宋体" w:hAnsi="宋体"/>
                <w:kern w:val="0"/>
                <w:lang w:eastAsia="zh-CN"/>
              </w:rPr>
              <w:t>1.申请书（内容包括但不限于公司基本情况及租赁项目的基本情况）。</w:t>
            </w:r>
          </w:p>
          <w:p>
            <w:pPr>
              <w:widowControl/>
              <w:numPr>
                <w:numId w:val="0"/>
              </w:numPr>
              <w:snapToGrid w:val="0"/>
              <w:jc w:val="left"/>
              <w:rPr>
                <w:rFonts w:hint="eastAsia" w:ascii="宋体" w:hAnsi="宋体"/>
                <w:kern w:val="0"/>
                <w:lang w:eastAsia="zh-CN"/>
              </w:rPr>
            </w:pPr>
            <w:r>
              <w:rPr>
                <w:rFonts w:hint="eastAsia" w:ascii="宋体" w:hAnsi="宋体"/>
                <w:kern w:val="0"/>
                <w:lang w:eastAsia="zh-CN"/>
              </w:rPr>
              <w:t>2.主管部门同意设立融资租赁公司或项目公司的批复和工商营业执照（尚未办理“五证合一”的机构，还需提供组织机构代码证）。</w:t>
            </w:r>
          </w:p>
          <w:p>
            <w:pPr>
              <w:widowControl/>
              <w:numPr>
                <w:numId w:val="0"/>
              </w:numPr>
              <w:snapToGrid w:val="0"/>
              <w:jc w:val="left"/>
              <w:rPr>
                <w:rFonts w:hint="eastAsia" w:ascii="宋体" w:hAnsi="宋体"/>
                <w:kern w:val="0"/>
                <w:lang w:eastAsia="zh-CN"/>
              </w:rPr>
            </w:pPr>
            <w:r>
              <w:rPr>
                <w:rFonts w:hint="eastAsia" w:ascii="宋体" w:hAnsi="宋体"/>
                <w:kern w:val="0"/>
                <w:lang w:eastAsia="zh-CN"/>
              </w:rPr>
              <w:t>3.上年度经审计的财务报告及最近一期财务报表。</w:t>
            </w:r>
          </w:p>
          <w:p>
            <w:pPr>
              <w:widowControl/>
              <w:numPr>
                <w:numId w:val="0"/>
              </w:numPr>
              <w:snapToGrid w:val="0"/>
              <w:jc w:val="left"/>
              <w:rPr>
                <w:rFonts w:hint="eastAsia" w:ascii="宋体" w:hAnsi="宋体"/>
                <w:kern w:val="0"/>
                <w:lang w:eastAsia="zh-CN"/>
              </w:rPr>
            </w:pPr>
            <w:r>
              <w:rPr>
                <w:rFonts w:hint="eastAsia" w:ascii="宋体" w:hAnsi="宋体"/>
                <w:kern w:val="0"/>
                <w:lang w:eastAsia="zh-CN"/>
              </w:rPr>
              <w:t>4.租赁合同及租赁物转移的证明材料（如报关单、备案清单、发票等）。</w:t>
            </w:r>
          </w:p>
          <w:p>
            <w:pPr>
              <w:widowControl/>
              <w:numPr>
                <w:numId w:val="0"/>
              </w:numPr>
              <w:snapToGrid w:val="0"/>
              <w:jc w:val="left"/>
              <w:rPr>
                <w:rFonts w:hint="default"/>
                <w:kern w:val="0"/>
                <w:sz w:val="20"/>
              </w:rPr>
            </w:pPr>
            <w:r>
              <w:rPr>
                <w:rFonts w:hint="eastAsia" w:ascii="宋体" w:hAnsi="宋体"/>
                <w:kern w:val="0"/>
                <w:lang w:eastAsia="zh-CN"/>
              </w:rPr>
              <w:t>5.外汇局要求提供的其他材料。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1" w:hRule="atLeast"/>
          <w:jc w:val="center"/>
        </w:trPr>
        <w:tc>
          <w:tcPr>
            <w:tcW w:w="1093" w:type="dxa"/>
            <w:tcBorders>
              <w:top w:val="single" w:color="000000" w:sz="4" w:space="0"/>
              <w:left w:val="single" w:color="000000" w:sz="4" w:space="0"/>
              <w:bottom w:val="single" w:color="000000" w:sz="4" w:space="0"/>
              <w:right w:val="single" w:color="000000" w:sz="4" w:space="0"/>
            </w:tcBorders>
            <w:vAlign w:val="center"/>
          </w:tcPr>
          <w:p>
            <w:pPr>
              <w:widowControl/>
              <w:snapToGrid w:val="0"/>
              <w:jc w:val="left"/>
              <w:rPr>
                <w:rFonts w:hint="default"/>
                <w:kern w:val="0"/>
                <w:sz w:val="20"/>
              </w:rPr>
            </w:pPr>
            <w:r>
              <w:rPr>
                <w:rFonts w:ascii="宋体" w:hAnsi="宋体"/>
                <w:kern w:val="0"/>
              </w:rPr>
              <w:t>办理地点</w:t>
            </w:r>
          </w:p>
        </w:tc>
        <w:tc>
          <w:tcPr>
            <w:tcW w:w="7412" w:type="dxa"/>
            <w:tcBorders>
              <w:top w:val="single" w:color="000000" w:sz="4" w:space="0"/>
              <w:left w:val="nil"/>
              <w:bottom w:val="single" w:color="000000" w:sz="4" w:space="0"/>
              <w:right w:val="single" w:color="000000" w:sz="4" w:space="0"/>
            </w:tcBorders>
            <w:vAlign w:val="top"/>
          </w:tcPr>
          <w:p>
            <w:pPr>
              <w:widowControl/>
              <w:snapToGrid w:val="0"/>
              <w:jc w:val="left"/>
              <w:rPr>
                <w:rFonts w:hint="default"/>
                <w:kern w:val="0"/>
              </w:rPr>
            </w:pPr>
            <w:r>
              <w:rPr>
                <w:rFonts w:ascii="宋体" w:hAnsi="宋体"/>
                <w:kern w:val="0"/>
              </w:rPr>
              <w:t>国家外汇管理局青海省分局外汇管理处资本科（西宁市昆仑路3号人民银行政务大厅）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jc w:val="center"/>
        </w:trPr>
        <w:tc>
          <w:tcPr>
            <w:tcW w:w="1093" w:type="dxa"/>
            <w:tcBorders>
              <w:top w:val="single" w:color="000000" w:sz="4" w:space="0"/>
              <w:left w:val="single" w:color="000000" w:sz="4" w:space="0"/>
              <w:bottom w:val="single" w:color="000000" w:sz="4" w:space="0"/>
              <w:right w:val="single" w:color="000000" w:sz="4" w:space="0"/>
            </w:tcBorders>
            <w:vAlign w:val="center"/>
          </w:tcPr>
          <w:p>
            <w:pPr>
              <w:widowControl/>
              <w:snapToGrid w:val="0"/>
              <w:jc w:val="left"/>
              <w:rPr>
                <w:rFonts w:hint="default"/>
                <w:kern w:val="0"/>
                <w:sz w:val="20"/>
              </w:rPr>
            </w:pPr>
            <w:r>
              <w:rPr>
                <w:rFonts w:ascii="宋体" w:hAnsi="宋体"/>
                <w:kern w:val="0"/>
              </w:rPr>
              <w:t>办理时间</w:t>
            </w:r>
          </w:p>
          <w:p>
            <w:pPr>
              <w:widowControl/>
              <w:spacing w:line="271" w:lineRule="auto"/>
              <w:jc w:val="center"/>
              <w:rPr>
                <w:rFonts w:hint="default" w:ascii="Times New Roman" w:eastAsia="Times New Roman"/>
                <w:b/>
                <w:kern w:val="0"/>
              </w:rPr>
            </w:pPr>
          </w:p>
        </w:tc>
        <w:tc>
          <w:tcPr>
            <w:tcW w:w="7412" w:type="dxa"/>
            <w:tcBorders>
              <w:top w:val="single" w:color="000000" w:sz="4" w:space="0"/>
              <w:left w:val="nil"/>
              <w:bottom w:val="single" w:color="000000" w:sz="4" w:space="0"/>
              <w:right w:val="single" w:color="000000" w:sz="4" w:space="0"/>
            </w:tcBorders>
            <w:vAlign w:val="top"/>
          </w:tcPr>
          <w:p>
            <w:pPr>
              <w:widowControl/>
              <w:snapToGrid w:val="0"/>
              <w:jc w:val="left"/>
              <w:rPr>
                <w:rFonts w:hint="default"/>
                <w:kern w:val="0"/>
              </w:rPr>
            </w:pPr>
            <w:r>
              <w:rPr>
                <w:rFonts w:ascii="宋体" w:hAnsi="宋体"/>
                <w:kern w:val="0"/>
              </w:rPr>
              <w:t>周一至周五（法定节假日除外）</w:t>
            </w:r>
          </w:p>
          <w:p>
            <w:pPr>
              <w:widowControl/>
              <w:snapToGrid w:val="0"/>
              <w:jc w:val="left"/>
              <w:rPr>
                <w:rFonts w:hint="default"/>
                <w:kern w:val="0"/>
                <w:sz w:val="20"/>
              </w:rPr>
            </w:pPr>
            <w:r>
              <w:rPr>
                <w:rFonts w:ascii="宋体" w:hAnsi="宋体"/>
                <w:kern w:val="0"/>
              </w:rPr>
              <w:t>上午8：30-11：30，下午2：00-5：30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jc w:val="center"/>
        </w:trPr>
        <w:tc>
          <w:tcPr>
            <w:tcW w:w="1093" w:type="dxa"/>
            <w:tcBorders>
              <w:top w:val="single" w:color="000000" w:sz="4" w:space="0"/>
              <w:left w:val="single" w:color="000000" w:sz="4" w:space="0"/>
              <w:bottom w:val="single" w:color="000000" w:sz="4" w:space="0"/>
              <w:right w:val="single" w:color="000000" w:sz="4" w:space="0"/>
            </w:tcBorders>
            <w:vAlign w:val="center"/>
          </w:tcPr>
          <w:p>
            <w:pPr>
              <w:widowControl/>
              <w:snapToGrid w:val="0"/>
              <w:jc w:val="left"/>
              <w:rPr>
                <w:rFonts w:hint="default"/>
                <w:kern w:val="0"/>
                <w:sz w:val="20"/>
              </w:rPr>
            </w:pPr>
            <w:r>
              <w:rPr>
                <w:rFonts w:ascii="宋体" w:hAnsi="宋体"/>
                <w:kern w:val="0"/>
              </w:rPr>
              <w:t>联系电话</w:t>
            </w:r>
          </w:p>
        </w:tc>
        <w:tc>
          <w:tcPr>
            <w:tcW w:w="7412" w:type="dxa"/>
            <w:tcBorders>
              <w:top w:val="single" w:color="000000" w:sz="4" w:space="0"/>
              <w:left w:val="nil"/>
              <w:bottom w:val="single" w:color="000000" w:sz="4" w:space="0"/>
              <w:right w:val="single" w:color="000000" w:sz="4" w:space="0"/>
            </w:tcBorders>
            <w:vAlign w:val="top"/>
          </w:tcPr>
          <w:p>
            <w:pPr>
              <w:widowControl/>
              <w:snapToGrid w:val="0"/>
              <w:jc w:val="left"/>
              <w:rPr>
                <w:rFonts w:hint="default"/>
                <w:kern w:val="0"/>
              </w:rPr>
            </w:pPr>
            <w:r>
              <w:rPr>
                <w:rFonts w:ascii="宋体" w:hAnsi="宋体"/>
                <w:kern w:val="0"/>
              </w:rPr>
              <w:t>0971-6126143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jc w:val="center"/>
        </w:trPr>
        <w:tc>
          <w:tcPr>
            <w:tcW w:w="1093" w:type="dxa"/>
            <w:tcBorders>
              <w:top w:val="single" w:color="000000" w:sz="4" w:space="0"/>
              <w:left w:val="single" w:color="000000" w:sz="4" w:space="0"/>
              <w:bottom w:val="single" w:color="000000" w:sz="4" w:space="0"/>
              <w:right w:val="single" w:color="000000" w:sz="4" w:space="0"/>
            </w:tcBorders>
            <w:vAlign w:val="center"/>
          </w:tcPr>
          <w:p>
            <w:pPr>
              <w:widowControl/>
              <w:snapToGrid w:val="0"/>
              <w:jc w:val="left"/>
              <w:rPr>
                <w:rFonts w:hint="default"/>
                <w:kern w:val="0"/>
                <w:sz w:val="20"/>
              </w:rPr>
            </w:pPr>
            <w:r>
              <w:rPr>
                <w:rFonts w:ascii="宋体" w:hAnsi="宋体"/>
                <w:kern w:val="0"/>
              </w:rPr>
              <w:t>办理流程</w:t>
            </w:r>
          </w:p>
        </w:tc>
        <w:tc>
          <w:tcPr>
            <w:tcW w:w="7412" w:type="dxa"/>
            <w:tcBorders>
              <w:top w:val="single" w:color="000000" w:sz="4" w:space="0"/>
              <w:left w:val="nil"/>
              <w:bottom w:val="single" w:color="000000" w:sz="4" w:space="0"/>
              <w:right w:val="single" w:color="000000" w:sz="4" w:space="0"/>
            </w:tcBorders>
            <w:vAlign w:val="top"/>
          </w:tcPr>
          <w:p>
            <w:pPr>
              <w:widowControl/>
              <w:numPr>
                <w:ilvl w:val="0"/>
                <w:numId w:val="17"/>
              </w:numPr>
              <w:snapToGrid w:val="0"/>
              <w:jc w:val="left"/>
              <w:rPr>
                <w:rFonts w:ascii="宋体" w:hAnsi="宋体"/>
                <w:kern w:val="0"/>
              </w:rPr>
            </w:pPr>
            <w:r>
              <w:rPr>
                <w:rFonts w:hint="eastAsia" w:ascii="宋体" w:hAnsi="宋体"/>
                <w:kern w:val="0"/>
                <w:lang w:eastAsia="zh-CN"/>
              </w:rPr>
              <w:t>签订合同</w:t>
            </w:r>
            <w:r>
              <w:rPr>
                <w:rFonts w:ascii="宋体" w:hAnsi="宋体"/>
                <w:kern w:val="0"/>
              </w:rPr>
              <w:t>；</w:t>
            </w:r>
          </w:p>
          <w:p>
            <w:pPr>
              <w:widowControl/>
              <w:numPr>
                <w:ilvl w:val="0"/>
                <w:numId w:val="18"/>
              </w:numPr>
              <w:snapToGrid w:val="0"/>
              <w:jc w:val="left"/>
              <w:rPr>
                <w:rFonts w:ascii="宋体" w:hAnsi="宋体"/>
                <w:kern w:val="0"/>
              </w:rPr>
            </w:pPr>
            <w:r>
              <w:rPr>
                <w:rFonts w:hint="eastAsia" w:ascii="宋体" w:hAnsi="宋体"/>
                <w:kern w:val="0"/>
                <w:lang w:eastAsia="zh-CN"/>
              </w:rPr>
              <w:t>提出申请</w:t>
            </w:r>
            <w:r>
              <w:rPr>
                <w:rFonts w:ascii="宋体" w:hAnsi="宋体"/>
                <w:kern w:val="0"/>
              </w:rPr>
              <w:t>；</w:t>
            </w:r>
          </w:p>
          <w:p>
            <w:pPr>
              <w:widowControl/>
              <w:numPr>
                <w:ilvl w:val="0"/>
                <w:numId w:val="19"/>
              </w:numPr>
              <w:snapToGrid w:val="0"/>
              <w:jc w:val="left"/>
              <w:rPr>
                <w:rFonts w:ascii="宋体" w:hAnsi="宋体"/>
                <w:kern w:val="0"/>
              </w:rPr>
            </w:pPr>
            <w:r>
              <w:rPr>
                <w:rFonts w:hint="eastAsia" w:ascii="宋体" w:hAnsi="宋体"/>
                <w:kern w:val="0"/>
              </w:rPr>
              <w:t>开立境外放款专用账户，用于保留对外融资租赁租金收入</w:t>
            </w:r>
            <w:r>
              <w:rPr>
                <w:rFonts w:ascii="宋体" w:hAnsi="宋体"/>
                <w:kern w:val="0"/>
              </w:rPr>
              <w:t>；</w:t>
            </w:r>
          </w:p>
          <w:p>
            <w:pPr>
              <w:widowControl/>
              <w:numPr>
                <w:numId w:val="0"/>
              </w:numPr>
              <w:snapToGrid w:val="0"/>
              <w:jc w:val="left"/>
              <w:rPr>
                <w:rFonts w:hint="default"/>
                <w:kern w:val="0"/>
                <w:sz w:val="20"/>
              </w:rPr>
            </w:pPr>
            <w:r>
              <w:rPr>
                <w:rFonts w:ascii="宋体" w:hAnsi="宋体"/>
                <w:kern w:val="0"/>
              </w:rPr>
              <w:t>4.</w:t>
            </w:r>
            <w:r>
              <w:rPr>
                <w:rFonts w:hint="eastAsia" w:ascii="宋体" w:hAnsi="宋体"/>
                <w:kern w:val="0"/>
              </w:rPr>
              <w:t>按月向所在地外汇局报送融资租赁对外债权的发生和租金收入等情况。</w:t>
            </w:r>
          </w:p>
        </w:tc>
      </w:tr>
    </w:tbl>
    <w:p>
      <w:pPr>
        <w:widowControl/>
        <w:rPr>
          <w:rFonts w:hint="default"/>
          <w:kern w:val="0"/>
        </w:rPr>
      </w:pPr>
    </w:p>
    <w:p>
      <w:pPr>
        <w:rPr>
          <w:rFonts w:hint="default" w:eastAsia="Times New Roman"/>
        </w:rPr>
      </w:pPr>
    </w:p>
    <w:p>
      <w:pPr>
        <w:rPr>
          <w:rFonts w:hint="default" w:eastAsia="Times New Roman"/>
        </w:rPr>
      </w:pPr>
    </w:p>
    <w:p>
      <w:pPr>
        <w:rPr>
          <w:rFonts w:hint="default" w:eastAsia="Times New Roman"/>
        </w:rPr>
      </w:pPr>
    </w:p>
    <w:p>
      <w:pPr>
        <w:rPr>
          <w:rFonts w:hint="default" w:eastAsia="Times New Roman"/>
        </w:rPr>
      </w:pPr>
    </w:p>
    <w:p>
      <w:pPr>
        <w:rPr>
          <w:rFonts w:hint="default" w:eastAsia="Times New Roman"/>
        </w:rPr>
      </w:pPr>
    </w:p>
    <w:p>
      <w:pPr>
        <w:rPr>
          <w:rFonts w:hint="default" w:eastAsia="Times New Roman"/>
        </w:rPr>
      </w:pPr>
    </w:p>
    <w:p>
      <w:pPr>
        <w:rPr>
          <w:rFonts w:hint="default" w:eastAsia="Times New Roman"/>
        </w:rPr>
      </w:pPr>
    </w:p>
    <w:p>
      <w:pPr>
        <w:rPr>
          <w:rFonts w:hint="default" w:eastAsia="Times New Roman"/>
        </w:rPr>
      </w:pPr>
    </w:p>
    <w:p>
      <w:pPr>
        <w:rPr>
          <w:rFonts w:hint="default" w:eastAsia="Times New Roman"/>
        </w:rPr>
      </w:pPr>
    </w:p>
    <w:p>
      <w:pPr>
        <w:rPr>
          <w:rFonts w:hint="default" w:eastAsia="Times New Roman"/>
        </w:rPr>
      </w:pPr>
    </w:p>
    <w:p>
      <w:pPr>
        <w:rPr>
          <w:rFonts w:hint="default" w:eastAsia="Times New Roman"/>
        </w:rPr>
      </w:pPr>
    </w:p>
    <w:p>
      <w:pPr>
        <w:rPr>
          <w:rFonts w:hint="default" w:eastAsia="Times New Roman"/>
        </w:rPr>
      </w:pPr>
    </w:p>
    <w:p>
      <w:pPr>
        <w:rPr>
          <w:rFonts w:hint="default" w:eastAsia="Times New Roman"/>
        </w:rPr>
      </w:pPr>
    </w:p>
    <w:tbl>
      <w:tblPr>
        <w:tblStyle w:val="16"/>
        <w:tblW w:w="858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093"/>
        <w:gridCol w:w="749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jc w:val="center"/>
        </w:trPr>
        <w:tc>
          <w:tcPr>
            <w:tcW w:w="1093" w:type="dxa"/>
            <w:tcBorders>
              <w:top w:val="single" w:color="000000" w:sz="4" w:space="0"/>
              <w:left w:val="single" w:color="000000" w:sz="4" w:space="0"/>
              <w:bottom w:val="single" w:color="000000" w:sz="4" w:space="0"/>
              <w:right w:val="single" w:color="000000" w:sz="4" w:space="0"/>
            </w:tcBorders>
            <w:vAlign w:val="center"/>
          </w:tcPr>
          <w:p>
            <w:pPr>
              <w:widowControl/>
              <w:snapToGrid w:val="0"/>
              <w:jc w:val="left"/>
              <w:rPr>
                <w:rFonts w:hint="default"/>
                <w:kern w:val="0"/>
                <w:sz w:val="20"/>
              </w:rPr>
            </w:pPr>
            <w:r>
              <w:rPr>
                <w:rFonts w:ascii="宋体" w:hAnsi="宋体"/>
                <w:kern w:val="0"/>
              </w:rPr>
              <w:t>业务名称</w:t>
            </w:r>
          </w:p>
        </w:tc>
        <w:tc>
          <w:tcPr>
            <w:tcW w:w="7492" w:type="dxa"/>
            <w:tcBorders>
              <w:top w:val="single" w:color="000000" w:sz="4" w:space="0"/>
              <w:left w:val="nil"/>
              <w:bottom w:val="single" w:color="000000" w:sz="4" w:space="0"/>
              <w:right w:val="single" w:color="000000" w:sz="4" w:space="0"/>
            </w:tcBorders>
            <w:vAlign w:val="center"/>
          </w:tcPr>
          <w:p>
            <w:pPr>
              <w:widowControl/>
              <w:snapToGrid w:val="0"/>
              <w:jc w:val="left"/>
              <w:rPr>
                <w:rFonts w:hint="default"/>
                <w:b/>
                <w:kern w:val="0"/>
                <w:sz w:val="20"/>
              </w:rPr>
            </w:pPr>
            <w:r>
              <w:rPr>
                <w:rFonts w:ascii="宋体" w:hAnsi="宋体"/>
                <w:b/>
                <w:kern w:val="0"/>
              </w:rPr>
              <w:t>（</w:t>
            </w:r>
            <w:r>
              <w:rPr>
                <w:rFonts w:hint="eastAsia" w:ascii="宋体" w:hAnsi="宋体"/>
                <w:b/>
                <w:kern w:val="0"/>
                <w:lang w:eastAsia="zh-CN"/>
              </w:rPr>
              <w:t>十二</w:t>
            </w:r>
            <w:r>
              <w:rPr>
                <w:rFonts w:ascii="宋体" w:hAnsi="宋体"/>
                <w:b/>
                <w:kern w:val="0"/>
              </w:rPr>
              <w:t>）</w:t>
            </w:r>
            <w:r>
              <w:rPr>
                <w:rFonts w:hint="eastAsia" w:ascii="宋体" w:hAnsi="宋体"/>
                <w:b/>
                <w:kern w:val="0"/>
              </w:rPr>
              <w:t>内保外贷担保履约对外债权登记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jc w:val="center"/>
        </w:trPr>
        <w:tc>
          <w:tcPr>
            <w:tcW w:w="1093" w:type="dxa"/>
            <w:tcBorders>
              <w:top w:val="single" w:color="000000" w:sz="4" w:space="0"/>
              <w:left w:val="single" w:color="000000" w:sz="4" w:space="0"/>
              <w:bottom w:val="single" w:color="000000" w:sz="4" w:space="0"/>
              <w:right w:val="single" w:color="000000" w:sz="4" w:space="0"/>
            </w:tcBorders>
            <w:vAlign w:val="center"/>
          </w:tcPr>
          <w:p>
            <w:pPr>
              <w:widowControl/>
              <w:snapToGrid w:val="0"/>
              <w:jc w:val="left"/>
              <w:rPr>
                <w:rFonts w:hint="default"/>
                <w:kern w:val="0"/>
                <w:sz w:val="20"/>
              </w:rPr>
            </w:pPr>
            <w:r>
              <w:rPr>
                <w:rFonts w:ascii="宋体" w:hAnsi="宋体"/>
                <w:kern w:val="0"/>
              </w:rPr>
              <w:t>设定依据</w:t>
            </w:r>
          </w:p>
          <w:p>
            <w:pPr>
              <w:widowControl/>
              <w:spacing w:line="271" w:lineRule="auto"/>
              <w:jc w:val="center"/>
              <w:rPr>
                <w:rFonts w:hint="default" w:ascii="Times New Roman" w:eastAsia="Times New Roman"/>
                <w:b/>
                <w:kern w:val="0"/>
              </w:rPr>
            </w:pPr>
          </w:p>
        </w:tc>
        <w:tc>
          <w:tcPr>
            <w:tcW w:w="7492" w:type="dxa"/>
            <w:tcBorders>
              <w:top w:val="single" w:color="000000" w:sz="4" w:space="0"/>
              <w:left w:val="nil"/>
              <w:bottom w:val="single" w:color="000000" w:sz="4" w:space="0"/>
              <w:right w:val="single" w:color="000000" w:sz="4" w:space="0"/>
            </w:tcBorders>
            <w:vAlign w:val="center"/>
          </w:tcPr>
          <w:p>
            <w:pPr>
              <w:widowControl/>
              <w:snapToGrid w:val="0"/>
              <w:jc w:val="left"/>
              <w:rPr>
                <w:rFonts w:ascii="宋体" w:hAnsi="宋体"/>
                <w:kern w:val="0"/>
              </w:rPr>
            </w:pPr>
            <w:r>
              <w:rPr>
                <w:rFonts w:ascii="宋体" w:hAnsi="宋体"/>
                <w:kern w:val="0"/>
              </w:rPr>
              <w:t>1.</w:t>
            </w:r>
            <w:r>
              <w:rPr>
                <w:rFonts w:hint="eastAsia" w:ascii="宋体" w:hAnsi="宋体"/>
                <w:kern w:val="0"/>
              </w:rPr>
              <w:t>《中华人民共和国外汇管理条例》（国务院令第</w:t>
            </w:r>
            <w:r>
              <w:rPr>
                <w:rFonts w:ascii="宋体" w:hAnsi="宋体"/>
                <w:kern w:val="0"/>
              </w:rPr>
              <w:t>532</w:t>
            </w:r>
            <w:r>
              <w:rPr>
                <w:rFonts w:hint="eastAsia" w:ascii="宋体" w:hAnsi="宋体"/>
                <w:kern w:val="0"/>
              </w:rPr>
              <w:t>号）。</w:t>
            </w:r>
          </w:p>
          <w:p>
            <w:pPr>
              <w:widowControl/>
              <w:snapToGrid w:val="0"/>
              <w:jc w:val="left"/>
              <w:rPr>
                <w:rFonts w:ascii="宋体" w:hAnsi="宋体"/>
                <w:kern w:val="0"/>
              </w:rPr>
            </w:pPr>
            <w:r>
              <w:rPr>
                <w:rFonts w:ascii="宋体" w:hAnsi="宋体"/>
                <w:kern w:val="0"/>
              </w:rPr>
              <w:t>2.</w:t>
            </w:r>
            <w:r>
              <w:rPr>
                <w:rFonts w:hint="eastAsia" w:ascii="宋体" w:hAnsi="宋体"/>
                <w:kern w:val="0"/>
              </w:rPr>
              <w:t>《国家外汇管理局关于发布〈跨境担保外汇管理规定〉的通知》（汇发</w:t>
            </w:r>
            <w:r>
              <w:rPr>
                <w:rFonts w:ascii="宋体" w:hAnsi="宋体"/>
                <w:kern w:val="0"/>
              </w:rPr>
              <w:t>〔2014〕29</w:t>
            </w:r>
            <w:r>
              <w:rPr>
                <w:rFonts w:hint="eastAsia" w:ascii="宋体" w:hAnsi="宋体"/>
                <w:kern w:val="0"/>
              </w:rPr>
              <w:t>号）。</w:t>
            </w:r>
          </w:p>
          <w:p>
            <w:pPr>
              <w:widowControl/>
              <w:snapToGrid w:val="0"/>
              <w:jc w:val="left"/>
              <w:rPr>
                <w:rFonts w:ascii="宋体" w:hAnsi="宋体"/>
                <w:kern w:val="0"/>
              </w:rPr>
            </w:pPr>
            <w:r>
              <w:rPr>
                <w:rFonts w:ascii="宋体" w:hAnsi="宋体"/>
                <w:kern w:val="0"/>
              </w:rPr>
              <w:t>3.</w:t>
            </w:r>
            <w:r>
              <w:rPr>
                <w:rFonts w:hint="eastAsia" w:ascii="宋体" w:hAnsi="宋体"/>
                <w:kern w:val="0"/>
              </w:rPr>
              <w:t>《国家外汇管理局关于发布〈金融机构外汇业务数据采集规范（1.1版）〉的通知》（汇发〔2016〕22号）。</w:t>
            </w:r>
          </w:p>
          <w:p>
            <w:pPr>
              <w:widowControl/>
              <w:snapToGrid w:val="0"/>
              <w:jc w:val="left"/>
              <w:rPr>
                <w:rFonts w:ascii="宋体" w:hAnsi="宋体"/>
                <w:kern w:val="0"/>
              </w:rPr>
            </w:pPr>
            <w:r>
              <w:rPr>
                <w:rFonts w:hint="eastAsia" w:ascii="宋体" w:hAnsi="宋体"/>
                <w:kern w:val="0"/>
              </w:rPr>
              <w:t>4.《国家外汇管理局关于进一步推进外汇管理改革完善真实合规性审核的通知》（汇发〔2017〕3号）。</w:t>
            </w:r>
          </w:p>
          <w:p>
            <w:pPr>
              <w:widowControl/>
              <w:snapToGrid w:val="0"/>
              <w:jc w:val="left"/>
              <w:rPr>
                <w:rFonts w:ascii="宋体" w:hAnsi="宋体"/>
                <w:kern w:val="0"/>
              </w:rPr>
            </w:pPr>
            <w:r>
              <w:rPr>
                <w:rFonts w:hint="eastAsia" w:ascii="宋体" w:hAnsi="宋体"/>
                <w:kern w:val="0"/>
              </w:rPr>
              <w:t>5.其他相关法规。</w:t>
            </w:r>
          </w:p>
          <w:p>
            <w:pPr>
              <w:widowControl/>
              <w:snapToGrid w:val="0"/>
              <w:jc w:val="left"/>
              <w:rPr>
                <w:rFonts w:hint="default"/>
                <w:kern w:val="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250" w:hRule="atLeast"/>
          <w:jc w:val="center"/>
        </w:trPr>
        <w:tc>
          <w:tcPr>
            <w:tcW w:w="1093"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rFonts w:ascii="宋体" w:hAnsi="宋体"/>
                <w:kern w:val="0"/>
              </w:rPr>
            </w:pPr>
            <w:r>
              <w:rPr>
                <w:rFonts w:ascii="宋体" w:hAnsi="宋体"/>
                <w:kern w:val="0"/>
              </w:rPr>
              <w:t>申请条件</w:t>
            </w:r>
          </w:p>
          <w:p>
            <w:pPr>
              <w:widowControl/>
              <w:snapToGrid w:val="0"/>
              <w:jc w:val="center"/>
              <w:rPr>
                <w:rFonts w:hint="eastAsia" w:ascii="宋体" w:hAnsi="宋体"/>
                <w:kern w:val="0"/>
                <w:lang w:val="en-US" w:eastAsia="zh-CN"/>
              </w:rPr>
            </w:pPr>
            <w:r>
              <w:rPr>
                <w:rFonts w:hint="eastAsia" w:ascii="宋体" w:hAnsi="宋体"/>
                <w:kern w:val="0"/>
                <w:lang w:val="en-US" w:eastAsia="zh-CN"/>
              </w:rPr>
              <w:t>及</w:t>
            </w:r>
          </w:p>
          <w:p>
            <w:pPr>
              <w:widowControl/>
              <w:snapToGrid w:val="0"/>
              <w:jc w:val="center"/>
              <w:rPr>
                <w:rFonts w:hint="eastAsia" w:ascii="宋体" w:hAnsi="宋体" w:eastAsia="宋体"/>
                <w:kern w:val="0"/>
                <w:lang w:val="en-US" w:eastAsia="zh-CN"/>
              </w:rPr>
            </w:pPr>
            <w:r>
              <w:rPr>
                <w:rFonts w:hint="eastAsia" w:ascii="宋体" w:hAnsi="宋体"/>
                <w:kern w:val="0"/>
                <w:lang w:val="en-US" w:eastAsia="zh-CN"/>
              </w:rPr>
              <w:t>注意事项</w:t>
            </w:r>
          </w:p>
        </w:tc>
        <w:tc>
          <w:tcPr>
            <w:tcW w:w="7492" w:type="dxa"/>
            <w:tcBorders>
              <w:top w:val="single" w:color="000000" w:sz="4" w:space="0"/>
              <w:left w:val="nil"/>
              <w:bottom w:val="single" w:color="000000" w:sz="4" w:space="0"/>
              <w:right w:val="single" w:color="000000" w:sz="4" w:space="0"/>
            </w:tcBorders>
            <w:vAlign w:val="center"/>
          </w:tcPr>
          <w:p>
            <w:pPr>
              <w:widowControl/>
              <w:snapToGrid w:val="0"/>
              <w:jc w:val="left"/>
              <w:rPr>
                <w:rFonts w:hint="eastAsia" w:ascii="宋体" w:hAnsi="宋体"/>
                <w:kern w:val="0"/>
              </w:rPr>
            </w:pPr>
            <w:r>
              <w:rPr>
                <w:rFonts w:hint="eastAsia" w:ascii="宋体" w:hAnsi="宋体"/>
                <w:kern w:val="0"/>
              </w:rPr>
              <w:t>1.内保外贷发生担保履约的，成为对外债权人的境内担保人或境内反担保人，应办理对外债权登记。</w:t>
            </w:r>
          </w:p>
          <w:p>
            <w:pPr>
              <w:widowControl/>
              <w:snapToGrid w:val="0"/>
              <w:jc w:val="left"/>
              <w:rPr>
                <w:rFonts w:hint="eastAsia" w:ascii="宋体" w:hAnsi="宋体"/>
                <w:kern w:val="0"/>
              </w:rPr>
            </w:pPr>
            <w:r>
              <w:rPr>
                <w:rFonts w:hint="eastAsia" w:ascii="宋体" w:hAnsi="宋体"/>
                <w:kern w:val="0"/>
              </w:rPr>
              <w:t>2.债权人为非银行机构的，应在担保履约后15个工作日内到所在地外汇局办理对外债权登记，并按规定办理与对外债权相关的变更、注销手续。</w:t>
            </w:r>
          </w:p>
          <w:p>
            <w:pPr>
              <w:widowControl/>
              <w:snapToGrid w:val="0"/>
              <w:jc w:val="left"/>
              <w:rPr>
                <w:rFonts w:hint="eastAsia" w:ascii="宋体" w:hAnsi="宋体"/>
                <w:kern w:val="0"/>
              </w:rPr>
            </w:pPr>
          </w:p>
          <w:p>
            <w:pPr>
              <w:widowControl/>
              <w:snapToGrid w:val="0"/>
              <w:jc w:val="left"/>
              <w:rPr>
                <w:rFonts w:hint="default"/>
                <w:kern w:val="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jc w:val="center"/>
        </w:trPr>
        <w:tc>
          <w:tcPr>
            <w:tcW w:w="1093" w:type="dxa"/>
            <w:tcBorders>
              <w:top w:val="single" w:color="000000" w:sz="4" w:space="0"/>
              <w:left w:val="single" w:color="000000" w:sz="4" w:space="0"/>
              <w:bottom w:val="single" w:color="000000" w:sz="4" w:space="0"/>
              <w:right w:val="single" w:color="000000" w:sz="4" w:space="0"/>
            </w:tcBorders>
            <w:vAlign w:val="center"/>
          </w:tcPr>
          <w:p>
            <w:pPr>
              <w:widowControl/>
              <w:snapToGrid w:val="0"/>
              <w:jc w:val="left"/>
              <w:rPr>
                <w:rFonts w:hint="default"/>
                <w:kern w:val="0"/>
                <w:sz w:val="20"/>
              </w:rPr>
            </w:pPr>
            <w:r>
              <w:rPr>
                <w:rFonts w:ascii="宋体" w:hAnsi="宋体"/>
                <w:kern w:val="0"/>
              </w:rPr>
              <w:t>办理材料</w:t>
            </w:r>
          </w:p>
        </w:tc>
        <w:tc>
          <w:tcPr>
            <w:tcW w:w="7492" w:type="dxa"/>
            <w:tcBorders>
              <w:top w:val="single" w:color="000000" w:sz="4" w:space="0"/>
              <w:left w:val="nil"/>
              <w:bottom w:val="single" w:color="000000" w:sz="4" w:space="0"/>
              <w:right w:val="single" w:color="000000" w:sz="4" w:space="0"/>
            </w:tcBorders>
            <w:vAlign w:val="center"/>
          </w:tcPr>
          <w:p>
            <w:pPr>
              <w:widowControl/>
              <w:snapToGrid w:val="0"/>
              <w:jc w:val="left"/>
              <w:rPr>
                <w:rFonts w:hint="eastAsia" w:ascii="宋体" w:hAnsi="宋体"/>
                <w:kern w:val="0"/>
              </w:rPr>
            </w:pPr>
            <w:r>
              <w:rPr>
                <w:rFonts w:hint="eastAsia" w:ascii="宋体" w:hAnsi="宋体"/>
                <w:kern w:val="0"/>
              </w:rPr>
              <w:t>1.申请书（内容包括但不限于担保履约的原因、履约资金来源、境外债务人还款计划及未来还款资金来源等）。</w:t>
            </w:r>
          </w:p>
          <w:p>
            <w:pPr>
              <w:widowControl/>
              <w:snapToGrid w:val="0"/>
              <w:jc w:val="left"/>
              <w:rPr>
                <w:rFonts w:hint="eastAsia" w:ascii="宋体" w:hAnsi="宋体"/>
                <w:kern w:val="0"/>
              </w:rPr>
            </w:pPr>
            <w:r>
              <w:rPr>
                <w:rFonts w:hint="eastAsia" w:ascii="宋体" w:hAnsi="宋体"/>
                <w:kern w:val="0"/>
              </w:rPr>
              <w:t>2.担保履约的证明材料。</w:t>
            </w:r>
          </w:p>
          <w:p>
            <w:pPr>
              <w:widowControl/>
              <w:snapToGrid w:val="0"/>
              <w:jc w:val="left"/>
              <w:rPr>
                <w:rFonts w:hint="eastAsia" w:ascii="宋体" w:hAnsi="宋体"/>
                <w:kern w:val="0"/>
              </w:rPr>
            </w:pPr>
            <w:r>
              <w:rPr>
                <w:rFonts w:hint="eastAsia" w:ascii="宋体" w:hAnsi="宋体"/>
                <w:kern w:val="0"/>
              </w:rPr>
              <w:t>3.内保外贷签约登记凭证。</w:t>
            </w:r>
          </w:p>
          <w:p>
            <w:pPr>
              <w:widowControl/>
              <w:snapToGrid w:val="0"/>
              <w:jc w:val="left"/>
              <w:rPr>
                <w:rFonts w:hint="eastAsia" w:ascii="宋体" w:hAnsi="宋体"/>
                <w:kern w:val="0"/>
              </w:rPr>
            </w:pPr>
            <w:r>
              <w:rPr>
                <w:rFonts w:hint="eastAsia" w:ascii="宋体" w:hAnsi="宋体"/>
                <w:kern w:val="0"/>
              </w:rPr>
              <w:t>4.外汇局要求提供的其他材料。</w:t>
            </w:r>
          </w:p>
          <w:p>
            <w:pPr>
              <w:widowControl/>
              <w:snapToGrid w:val="0"/>
              <w:jc w:val="left"/>
              <w:rPr>
                <w:rFonts w:hint="default"/>
                <w:kern w:val="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1" w:hRule="atLeast"/>
          <w:jc w:val="center"/>
        </w:trPr>
        <w:tc>
          <w:tcPr>
            <w:tcW w:w="1093" w:type="dxa"/>
            <w:tcBorders>
              <w:top w:val="single" w:color="000000" w:sz="4" w:space="0"/>
              <w:left w:val="single" w:color="000000" w:sz="4" w:space="0"/>
              <w:bottom w:val="single" w:color="000000" w:sz="4" w:space="0"/>
              <w:right w:val="single" w:color="000000" w:sz="4" w:space="0"/>
            </w:tcBorders>
            <w:vAlign w:val="center"/>
          </w:tcPr>
          <w:p>
            <w:pPr>
              <w:widowControl/>
              <w:snapToGrid w:val="0"/>
              <w:jc w:val="left"/>
              <w:rPr>
                <w:rFonts w:hint="default"/>
                <w:kern w:val="0"/>
                <w:sz w:val="20"/>
              </w:rPr>
            </w:pPr>
            <w:r>
              <w:rPr>
                <w:rFonts w:ascii="宋体" w:hAnsi="宋体"/>
                <w:kern w:val="0"/>
              </w:rPr>
              <w:t>办理地点</w:t>
            </w:r>
          </w:p>
        </w:tc>
        <w:tc>
          <w:tcPr>
            <w:tcW w:w="7492" w:type="dxa"/>
            <w:tcBorders>
              <w:top w:val="single" w:color="000000" w:sz="4" w:space="0"/>
              <w:left w:val="nil"/>
              <w:bottom w:val="single" w:color="000000" w:sz="4" w:space="0"/>
              <w:right w:val="single" w:color="000000" w:sz="4" w:space="0"/>
            </w:tcBorders>
            <w:vAlign w:val="top"/>
          </w:tcPr>
          <w:p>
            <w:pPr>
              <w:widowControl/>
              <w:snapToGrid w:val="0"/>
              <w:jc w:val="left"/>
              <w:rPr>
                <w:rFonts w:hint="default"/>
                <w:kern w:val="0"/>
              </w:rPr>
            </w:pPr>
            <w:r>
              <w:rPr>
                <w:rFonts w:ascii="宋体" w:hAnsi="宋体"/>
                <w:kern w:val="0"/>
              </w:rPr>
              <w:t>国家外汇管理局青海省分局外汇管理处资本科（西宁市昆仑路3号人民银行政务大厅）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jc w:val="center"/>
        </w:trPr>
        <w:tc>
          <w:tcPr>
            <w:tcW w:w="1093" w:type="dxa"/>
            <w:tcBorders>
              <w:top w:val="single" w:color="000000" w:sz="4" w:space="0"/>
              <w:left w:val="single" w:color="000000" w:sz="4" w:space="0"/>
              <w:bottom w:val="single" w:color="000000" w:sz="4" w:space="0"/>
              <w:right w:val="single" w:color="000000" w:sz="4" w:space="0"/>
            </w:tcBorders>
            <w:vAlign w:val="center"/>
          </w:tcPr>
          <w:p>
            <w:pPr>
              <w:widowControl/>
              <w:snapToGrid w:val="0"/>
              <w:jc w:val="left"/>
              <w:rPr>
                <w:rFonts w:hint="default"/>
                <w:kern w:val="0"/>
                <w:sz w:val="20"/>
              </w:rPr>
            </w:pPr>
            <w:r>
              <w:rPr>
                <w:rFonts w:ascii="宋体" w:hAnsi="宋体"/>
                <w:kern w:val="0"/>
              </w:rPr>
              <w:t>办理时间</w:t>
            </w:r>
          </w:p>
          <w:p>
            <w:pPr>
              <w:widowControl/>
              <w:spacing w:line="271" w:lineRule="auto"/>
              <w:jc w:val="center"/>
              <w:rPr>
                <w:rFonts w:hint="default" w:ascii="Times New Roman" w:eastAsia="Times New Roman"/>
                <w:b/>
                <w:kern w:val="0"/>
              </w:rPr>
            </w:pPr>
          </w:p>
        </w:tc>
        <w:tc>
          <w:tcPr>
            <w:tcW w:w="7492" w:type="dxa"/>
            <w:tcBorders>
              <w:top w:val="single" w:color="000000" w:sz="4" w:space="0"/>
              <w:left w:val="nil"/>
              <w:bottom w:val="single" w:color="000000" w:sz="4" w:space="0"/>
              <w:right w:val="single" w:color="000000" w:sz="4" w:space="0"/>
            </w:tcBorders>
            <w:vAlign w:val="top"/>
          </w:tcPr>
          <w:p>
            <w:pPr>
              <w:widowControl/>
              <w:snapToGrid w:val="0"/>
              <w:jc w:val="left"/>
              <w:rPr>
                <w:rFonts w:hint="default"/>
                <w:kern w:val="0"/>
              </w:rPr>
            </w:pPr>
            <w:r>
              <w:rPr>
                <w:rFonts w:ascii="宋体" w:hAnsi="宋体"/>
                <w:kern w:val="0"/>
              </w:rPr>
              <w:t>周一至周五（法定节假日除外）</w:t>
            </w:r>
          </w:p>
          <w:p>
            <w:pPr>
              <w:widowControl/>
              <w:snapToGrid w:val="0"/>
              <w:jc w:val="left"/>
              <w:rPr>
                <w:rFonts w:hint="default"/>
                <w:kern w:val="0"/>
                <w:sz w:val="20"/>
              </w:rPr>
            </w:pPr>
            <w:r>
              <w:rPr>
                <w:rFonts w:ascii="宋体" w:hAnsi="宋体"/>
                <w:kern w:val="0"/>
              </w:rPr>
              <w:t>上午8：30-11：30，下午2：00-5：30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jc w:val="center"/>
        </w:trPr>
        <w:tc>
          <w:tcPr>
            <w:tcW w:w="1093" w:type="dxa"/>
            <w:tcBorders>
              <w:top w:val="single" w:color="000000" w:sz="4" w:space="0"/>
              <w:left w:val="single" w:color="000000" w:sz="4" w:space="0"/>
              <w:bottom w:val="single" w:color="000000" w:sz="4" w:space="0"/>
              <w:right w:val="single" w:color="000000" w:sz="4" w:space="0"/>
            </w:tcBorders>
            <w:vAlign w:val="center"/>
          </w:tcPr>
          <w:p>
            <w:pPr>
              <w:widowControl/>
              <w:snapToGrid w:val="0"/>
              <w:jc w:val="left"/>
              <w:rPr>
                <w:rFonts w:hint="default"/>
                <w:kern w:val="0"/>
                <w:sz w:val="20"/>
              </w:rPr>
            </w:pPr>
            <w:r>
              <w:rPr>
                <w:rFonts w:ascii="宋体" w:hAnsi="宋体"/>
                <w:kern w:val="0"/>
              </w:rPr>
              <w:t>联系电话</w:t>
            </w:r>
          </w:p>
        </w:tc>
        <w:tc>
          <w:tcPr>
            <w:tcW w:w="7492" w:type="dxa"/>
            <w:tcBorders>
              <w:top w:val="single" w:color="000000" w:sz="4" w:space="0"/>
              <w:left w:val="nil"/>
              <w:bottom w:val="single" w:color="000000" w:sz="4" w:space="0"/>
              <w:right w:val="single" w:color="000000" w:sz="4" w:space="0"/>
            </w:tcBorders>
            <w:vAlign w:val="top"/>
          </w:tcPr>
          <w:p>
            <w:pPr>
              <w:widowControl/>
              <w:snapToGrid w:val="0"/>
              <w:jc w:val="left"/>
              <w:rPr>
                <w:rFonts w:hint="default"/>
                <w:kern w:val="0"/>
              </w:rPr>
            </w:pPr>
            <w:r>
              <w:rPr>
                <w:rFonts w:ascii="宋体" w:hAnsi="宋体"/>
                <w:kern w:val="0"/>
              </w:rPr>
              <w:t>0971-6126143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jc w:val="center"/>
        </w:trPr>
        <w:tc>
          <w:tcPr>
            <w:tcW w:w="1093" w:type="dxa"/>
            <w:tcBorders>
              <w:top w:val="single" w:color="000000" w:sz="4" w:space="0"/>
              <w:left w:val="single" w:color="000000" w:sz="4" w:space="0"/>
              <w:bottom w:val="single" w:color="000000" w:sz="4" w:space="0"/>
              <w:right w:val="single" w:color="000000" w:sz="4" w:space="0"/>
            </w:tcBorders>
            <w:vAlign w:val="center"/>
          </w:tcPr>
          <w:p>
            <w:pPr>
              <w:widowControl/>
              <w:snapToGrid w:val="0"/>
              <w:jc w:val="left"/>
              <w:rPr>
                <w:rFonts w:hint="default"/>
                <w:kern w:val="0"/>
                <w:sz w:val="20"/>
              </w:rPr>
            </w:pPr>
            <w:r>
              <w:rPr>
                <w:rFonts w:ascii="宋体" w:hAnsi="宋体"/>
                <w:kern w:val="0"/>
              </w:rPr>
              <w:t>办理流程</w:t>
            </w:r>
          </w:p>
        </w:tc>
        <w:tc>
          <w:tcPr>
            <w:tcW w:w="7492" w:type="dxa"/>
            <w:tcBorders>
              <w:top w:val="single" w:color="000000" w:sz="4" w:space="0"/>
              <w:left w:val="nil"/>
              <w:bottom w:val="single" w:color="000000" w:sz="4" w:space="0"/>
              <w:right w:val="single" w:color="000000" w:sz="4" w:space="0"/>
            </w:tcBorders>
            <w:vAlign w:val="top"/>
          </w:tcPr>
          <w:p>
            <w:pPr>
              <w:widowControl/>
              <w:snapToGrid w:val="0"/>
              <w:jc w:val="left"/>
              <w:rPr>
                <w:rFonts w:hint="default"/>
                <w:kern w:val="0"/>
              </w:rPr>
            </w:pPr>
            <w:r>
              <w:rPr>
                <w:rFonts w:ascii="宋体" w:hAnsi="宋体"/>
                <w:kern w:val="0"/>
              </w:rPr>
              <w:t>1.企业提交材料；</w:t>
            </w:r>
          </w:p>
          <w:p>
            <w:pPr>
              <w:widowControl/>
              <w:snapToGrid w:val="0"/>
              <w:jc w:val="left"/>
              <w:rPr>
                <w:rFonts w:hint="default"/>
                <w:kern w:val="0"/>
              </w:rPr>
            </w:pPr>
            <w:r>
              <w:rPr>
                <w:rFonts w:ascii="宋体" w:hAnsi="宋体"/>
                <w:kern w:val="0"/>
              </w:rPr>
              <w:t>2.材料齐全当日办结，特殊情况15个工作日办结；</w:t>
            </w:r>
          </w:p>
          <w:p>
            <w:pPr>
              <w:widowControl/>
              <w:snapToGrid w:val="0"/>
              <w:jc w:val="left"/>
              <w:rPr>
                <w:rFonts w:hint="default"/>
                <w:kern w:val="0"/>
              </w:rPr>
            </w:pPr>
            <w:r>
              <w:rPr>
                <w:rFonts w:ascii="宋体" w:hAnsi="宋体"/>
                <w:kern w:val="0"/>
              </w:rPr>
              <w:t>3.发放业务登记凭证；</w:t>
            </w:r>
          </w:p>
          <w:p>
            <w:pPr>
              <w:widowControl/>
              <w:snapToGrid w:val="0"/>
              <w:jc w:val="left"/>
              <w:rPr>
                <w:rFonts w:hint="default"/>
                <w:kern w:val="0"/>
                <w:sz w:val="20"/>
              </w:rPr>
            </w:pPr>
            <w:r>
              <w:rPr>
                <w:rFonts w:ascii="宋体" w:hAnsi="宋体"/>
                <w:kern w:val="0"/>
              </w:rPr>
              <w:t>4.企业凭业务登记凭证直接到银行办理后续</w:t>
            </w:r>
            <w:r>
              <w:rPr>
                <w:rFonts w:hint="eastAsia" w:ascii="宋体" w:hAnsi="宋体"/>
                <w:kern w:val="0"/>
                <w:lang w:val="en-US" w:eastAsia="zh-CN"/>
              </w:rPr>
              <w:t>业务。</w:t>
            </w:r>
          </w:p>
        </w:tc>
      </w:tr>
    </w:tbl>
    <w:p>
      <w:pPr>
        <w:widowControl/>
        <w:rPr>
          <w:rFonts w:hint="default"/>
          <w:kern w:val="0"/>
        </w:rPr>
      </w:pPr>
    </w:p>
    <w:p>
      <w:pPr>
        <w:widowControl/>
        <w:rPr>
          <w:rFonts w:hint="default"/>
          <w:kern w:val="0"/>
        </w:rPr>
      </w:pPr>
    </w:p>
    <w:p>
      <w:pPr>
        <w:widowControl/>
        <w:rPr>
          <w:rFonts w:hint="default"/>
          <w:kern w:val="0"/>
        </w:rPr>
      </w:pPr>
    </w:p>
    <w:p>
      <w:pPr>
        <w:widowControl/>
        <w:rPr>
          <w:rFonts w:hint="default"/>
          <w:kern w:val="0"/>
        </w:rPr>
      </w:pPr>
    </w:p>
    <w:p>
      <w:pPr>
        <w:widowControl/>
        <w:rPr>
          <w:rFonts w:hint="default"/>
          <w:kern w:val="0"/>
        </w:rPr>
      </w:pPr>
    </w:p>
    <w:p>
      <w:pPr>
        <w:widowControl/>
        <w:rPr>
          <w:rFonts w:hint="default"/>
          <w:kern w:val="0"/>
        </w:rPr>
      </w:pPr>
    </w:p>
    <w:p>
      <w:pPr>
        <w:widowControl/>
        <w:rPr>
          <w:rFonts w:hint="default"/>
          <w:kern w:val="0"/>
        </w:rPr>
      </w:pPr>
    </w:p>
    <w:p>
      <w:pPr>
        <w:widowControl/>
        <w:rPr>
          <w:rFonts w:hint="default"/>
          <w:kern w:val="0"/>
        </w:rPr>
      </w:pPr>
    </w:p>
    <w:p>
      <w:pPr>
        <w:widowControl/>
        <w:rPr>
          <w:rFonts w:hint="default"/>
          <w:kern w:val="0"/>
        </w:rPr>
      </w:pPr>
    </w:p>
    <w:p>
      <w:pPr>
        <w:widowControl/>
        <w:rPr>
          <w:rFonts w:hint="default"/>
          <w:kern w:val="0"/>
        </w:rPr>
      </w:pPr>
    </w:p>
    <w:p>
      <w:pPr>
        <w:widowControl/>
        <w:rPr>
          <w:rFonts w:hint="default"/>
          <w:kern w:val="0"/>
        </w:rPr>
      </w:pPr>
    </w:p>
    <w:p>
      <w:pPr>
        <w:widowControl/>
        <w:rPr>
          <w:rFonts w:hint="default"/>
          <w:kern w:val="0"/>
        </w:rPr>
      </w:pPr>
    </w:p>
    <w:p>
      <w:pPr>
        <w:widowControl/>
        <w:rPr>
          <w:rFonts w:hint="default"/>
          <w:kern w:val="0"/>
        </w:rPr>
      </w:pPr>
    </w:p>
    <w:p>
      <w:pPr>
        <w:widowControl/>
        <w:rPr>
          <w:rFonts w:hint="default"/>
          <w:kern w:val="0"/>
        </w:rPr>
      </w:pPr>
    </w:p>
    <w:p>
      <w:pPr>
        <w:widowControl/>
        <w:rPr>
          <w:rFonts w:hint="default"/>
          <w:kern w:val="0"/>
        </w:rPr>
      </w:pPr>
    </w:p>
    <w:tbl>
      <w:tblPr>
        <w:tblStyle w:val="16"/>
        <w:tblW w:w="850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093"/>
        <w:gridCol w:w="741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jc w:val="center"/>
        </w:trPr>
        <w:tc>
          <w:tcPr>
            <w:tcW w:w="1093" w:type="dxa"/>
            <w:tcBorders>
              <w:top w:val="single" w:color="000000" w:sz="4" w:space="0"/>
              <w:left w:val="single" w:color="000000" w:sz="4" w:space="0"/>
              <w:bottom w:val="single" w:color="000000" w:sz="4" w:space="0"/>
              <w:right w:val="single" w:color="000000" w:sz="4" w:space="0"/>
            </w:tcBorders>
            <w:vAlign w:val="center"/>
          </w:tcPr>
          <w:p>
            <w:pPr>
              <w:widowControl/>
              <w:snapToGrid w:val="0"/>
              <w:jc w:val="left"/>
              <w:rPr>
                <w:rFonts w:hint="default"/>
                <w:kern w:val="0"/>
                <w:sz w:val="20"/>
              </w:rPr>
            </w:pPr>
            <w:r>
              <w:rPr>
                <w:rFonts w:ascii="宋体" w:hAnsi="宋体"/>
                <w:kern w:val="0"/>
              </w:rPr>
              <w:t>业务名称</w:t>
            </w:r>
          </w:p>
        </w:tc>
        <w:tc>
          <w:tcPr>
            <w:tcW w:w="7412" w:type="dxa"/>
            <w:tcBorders>
              <w:top w:val="single" w:color="000000" w:sz="4" w:space="0"/>
              <w:left w:val="nil"/>
              <w:bottom w:val="single" w:color="000000" w:sz="4" w:space="0"/>
              <w:right w:val="single" w:color="000000" w:sz="4" w:space="0"/>
            </w:tcBorders>
            <w:vAlign w:val="center"/>
          </w:tcPr>
          <w:p>
            <w:pPr>
              <w:widowControl/>
              <w:snapToGrid w:val="0"/>
              <w:jc w:val="left"/>
              <w:rPr>
                <w:rFonts w:hint="default"/>
                <w:b/>
                <w:kern w:val="0"/>
                <w:sz w:val="20"/>
              </w:rPr>
            </w:pPr>
            <w:r>
              <w:rPr>
                <w:rFonts w:ascii="宋体" w:hAnsi="宋体"/>
                <w:b/>
                <w:kern w:val="0"/>
              </w:rPr>
              <w:t>（</w:t>
            </w:r>
            <w:r>
              <w:rPr>
                <w:rFonts w:hint="eastAsia" w:ascii="宋体" w:hAnsi="宋体"/>
                <w:b/>
                <w:kern w:val="0"/>
                <w:lang w:eastAsia="zh-CN"/>
              </w:rPr>
              <w:t>十三</w:t>
            </w:r>
            <w:r>
              <w:rPr>
                <w:rFonts w:ascii="宋体" w:hAnsi="宋体"/>
                <w:b/>
                <w:kern w:val="0"/>
              </w:rPr>
              <w:t>）</w:t>
            </w:r>
            <w:r>
              <w:rPr>
                <w:rFonts w:hint="eastAsia" w:ascii="宋体" w:hAnsi="宋体"/>
                <w:b/>
                <w:kern w:val="0"/>
              </w:rPr>
              <w:t>境内机构境外放款额度登记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jc w:val="center"/>
        </w:trPr>
        <w:tc>
          <w:tcPr>
            <w:tcW w:w="1093" w:type="dxa"/>
            <w:tcBorders>
              <w:top w:val="single" w:color="000000" w:sz="4" w:space="0"/>
              <w:left w:val="single" w:color="000000" w:sz="4" w:space="0"/>
              <w:bottom w:val="single" w:color="000000" w:sz="4" w:space="0"/>
              <w:right w:val="single" w:color="000000" w:sz="4" w:space="0"/>
            </w:tcBorders>
            <w:vAlign w:val="center"/>
          </w:tcPr>
          <w:p>
            <w:pPr>
              <w:widowControl/>
              <w:snapToGrid w:val="0"/>
              <w:jc w:val="left"/>
              <w:rPr>
                <w:rFonts w:hint="default"/>
                <w:kern w:val="0"/>
                <w:sz w:val="20"/>
              </w:rPr>
            </w:pPr>
            <w:r>
              <w:rPr>
                <w:rFonts w:ascii="宋体" w:hAnsi="宋体"/>
                <w:kern w:val="0"/>
              </w:rPr>
              <w:t>设定依据</w:t>
            </w:r>
          </w:p>
          <w:p>
            <w:pPr>
              <w:widowControl/>
              <w:spacing w:line="271" w:lineRule="auto"/>
              <w:jc w:val="center"/>
              <w:rPr>
                <w:rFonts w:hint="default" w:ascii="Times New Roman" w:eastAsia="Times New Roman"/>
                <w:b/>
                <w:kern w:val="0"/>
              </w:rPr>
            </w:pPr>
          </w:p>
        </w:tc>
        <w:tc>
          <w:tcPr>
            <w:tcW w:w="7412" w:type="dxa"/>
            <w:tcBorders>
              <w:top w:val="single" w:color="000000" w:sz="4" w:space="0"/>
              <w:left w:val="nil"/>
              <w:bottom w:val="single" w:color="000000" w:sz="4" w:space="0"/>
              <w:right w:val="single" w:color="000000" w:sz="4" w:space="0"/>
            </w:tcBorders>
            <w:vAlign w:val="center"/>
          </w:tcPr>
          <w:p>
            <w:pPr>
              <w:widowControl/>
              <w:snapToGrid w:val="0"/>
              <w:jc w:val="left"/>
              <w:rPr>
                <w:rFonts w:ascii="宋体" w:hAnsi="宋体"/>
                <w:kern w:val="0"/>
              </w:rPr>
            </w:pPr>
            <w:r>
              <w:rPr>
                <w:rFonts w:ascii="宋体" w:hAnsi="宋体"/>
                <w:kern w:val="0"/>
              </w:rPr>
              <w:t>1.</w:t>
            </w:r>
            <w:r>
              <w:rPr>
                <w:rFonts w:hint="eastAsia" w:ascii="宋体" w:hAnsi="宋体"/>
                <w:kern w:val="0"/>
              </w:rPr>
              <w:t>《中华人民共和国外汇管理条例》（国务院令第</w:t>
            </w:r>
            <w:r>
              <w:rPr>
                <w:rFonts w:ascii="宋体" w:hAnsi="宋体"/>
                <w:kern w:val="0"/>
              </w:rPr>
              <w:t>532</w:t>
            </w:r>
            <w:r>
              <w:rPr>
                <w:rFonts w:hint="eastAsia" w:ascii="宋体" w:hAnsi="宋体"/>
                <w:kern w:val="0"/>
              </w:rPr>
              <w:t>号）。</w:t>
            </w:r>
          </w:p>
          <w:p>
            <w:pPr>
              <w:widowControl/>
              <w:snapToGrid w:val="0"/>
              <w:jc w:val="left"/>
              <w:rPr>
                <w:rFonts w:ascii="宋体" w:hAnsi="宋体"/>
                <w:kern w:val="0"/>
              </w:rPr>
            </w:pPr>
            <w:r>
              <w:rPr>
                <w:rFonts w:ascii="宋体" w:hAnsi="宋体"/>
                <w:kern w:val="0"/>
              </w:rPr>
              <w:t>2.</w:t>
            </w:r>
            <w:r>
              <w:rPr>
                <w:rFonts w:hint="eastAsia" w:ascii="宋体" w:hAnsi="宋体"/>
                <w:kern w:val="0"/>
              </w:rPr>
              <w:t>《境内外汇账户管理规定》</w:t>
            </w:r>
            <w:r>
              <w:rPr>
                <w:rFonts w:ascii="宋体" w:hAnsi="宋体"/>
                <w:kern w:val="0"/>
              </w:rPr>
              <w:t>（</w:t>
            </w:r>
            <w:r>
              <w:rPr>
                <w:rFonts w:hint="eastAsia" w:ascii="宋体" w:hAnsi="宋体"/>
                <w:kern w:val="0"/>
              </w:rPr>
              <w:t>银发</w:t>
            </w:r>
            <w:r>
              <w:rPr>
                <w:rFonts w:ascii="宋体" w:hAnsi="宋体"/>
                <w:kern w:val="0"/>
              </w:rPr>
              <w:t>〔1997〕416</w:t>
            </w:r>
            <w:r>
              <w:rPr>
                <w:rFonts w:hint="eastAsia" w:ascii="宋体" w:hAnsi="宋体"/>
                <w:kern w:val="0"/>
              </w:rPr>
              <w:t>号</w:t>
            </w:r>
            <w:r>
              <w:rPr>
                <w:rFonts w:ascii="宋体" w:hAnsi="宋体"/>
                <w:kern w:val="0"/>
              </w:rPr>
              <w:t>）</w:t>
            </w:r>
            <w:r>
              <w:rPr>
                <w:rFonts w:hint="eastAsia" w:ascii="宋体" w:hAnsi="宋体"/>
                <w:kern w:val="0"/>
              </w:rPr>
              <w:t>。</w:t>
            </w:r>
          </w:p>
          <w:p>
            <w:pPr>
              <w:widowControl/>
              <w:snapToGrid w:val="0"/>
              <w:jc w:val="left"/>
              <w:rPr>
                <w:rFonts w:ascii="宋体" w:hAnsi="宋体"/>
                <w:kern w:val="0"/>
              </w:rPr>
            </w:pPr>
            <w:r>
              <w:rPr>
                <w:rFonts w:ascii="宋体" w:hAnsi="宋体"/>
                <w:kern w:val="0"/>
              </w:rPr>
              <w:t>3.</w:t>
            </w:r>
            <w:r>
              <w:rPr>
                <w:rFonts w:hint="eastAsia" w:ascii="宋体" w:hAnsi="宋体"/>
                <w:kern w:val="0"/>
              </w:rPr>
              <w:t>《国家外汇管理局关于境内企业境外放款外汇管理有关问题的通知》（汇发</w:t>
            </w:r>
            <w:r>
              <w:rPr>
                <w:rFonts w:ascii="宋体" w:hAnsi="宋体"/>
                <w:kern w:val="0"/>
              </w:rPr>
              <w:t>〔2009〕24</w:t>
            </w:r>
            <w:r>
              <w:rPr>
                <w:rFonts w:hint="eastAsia" w:ascii="宋体" w:hAnsi="宋体"/>
                <w:kern w:val="0"/>
              </w:rPr>
              <w:t>号）。</w:t>
            </w:r>
          </w:p>
          <w:p>
            <w:pPr>
              <w:widowControl/>
              <w:snapToGrid w:val="0"/>
              <w:jc w:val="left"/>
              <w:rPr>
                <w:rFonts w:ascii="宋体" w:hAnsi="宋体"/>
                <w:kern w:val="0"/>
              </w:rPr>
            </w:pPr>
            <w:r>
              <w:rPr>
                <w:rFonts w:ascii="宋体" w:hAnsi="宋体"/>
                <w:kern w:val="0"/>
              </w:rPr>
              <w:t>4.</w:t>
            </w:r>
            <w:r>
              <w:rPr>
                <w:rFonts w:hint="eastAsia" w:ascii="宋体" w:hAnsi="宋体"/>
                <w:kern w:val="0"/>
              </w:rPr>
              <w:t>《国家外汇管理局关于鼓励和引导民间投资健康发展有关外汇管理问题的通知》（汇发</w:t>
            </w:r>
            <w:r>
              <w:rPr>
                <w:rFonts w:ascii="宋体" w:hAnsi="宋体"/>
                <w:kern w:val="0"/>
              </w:rPr>
              <w:t>〔2012〕33</w:t>
            </w:r>
            <w:r>
              <w:rPr>
                <w:rFonts w:hint="eastAsia" w:ascii="宋体" w:hAnsi="宋体"/>
                <w:kern w:val="0"/>
              </w:rPr>
              <w:t>号）。</w:t>
            </w:r>
          </w:p>
          <w:p>
            <w:pPr>
              <w:widowControl/>
              <w:snapToGrid w:val="0"/>
              <w:jc w:val="left"/>
              <w:rPr>
                <w:rFonts w:ascii="宋体" w:hAnsi="宋体"/>
                <w:kern w:val="0"/>
              </w:rPr>
            </w:pPr>
            <w:r>
              <w:rPr>
                <w:rFonts w:ascii="宋体" w:hAnsi="宋体"/>
                <w:kern w:val="0"/>
              </w:rPr>
              <w:t>5.</w:t>
            </w:r>
            <w:r>
              <w:rPr>
                <w:rFonts w:hint="eastAsia" w:ascii="宋体" w:hAnsi="宋体"/>
                <w:kern w:val="0"/>
              </w:rPr>
              <w:t>《国家外汇管理局关于进一步改进和调整直接投资外汇管理政策的通知》（汇发</w:t>
            </w:r>
            <w:r>
              <w:rPr>
                <w:rFonts w:ascii="宋体" w:hAnsi="宋体"/>
                <w:kern w:val="0"/>
              </w:rPr>
              <w:t>〔2012〕59</w:t>
            </w:r>
            <w:r>
              <w:rPr>
                <w:rFonts w:hint="eastAsia" w:ascii="宋体" w:hAnsi="宋体"/>
                <w:kern w:val="0"/>
              </w:rPr>
              <w:t>号）。</w:t>
            </w:r>
          </w:p>
          <w:p>
            <w:pPr>
              <w:widowControl/>
              <w:snapToGrid w:val="0"/>
              <w:jc w:val="left"/>
              <w:rPr>
                <w:rFonts w:ascii="宋体" w:hAnsi="宋体"/>
                <w:kern w:val="0"/>
              </w:rPr>
            </w:pPr>
            <w:r>
              <w:rPr>
                <w:rFonts w:ascii="宋体" w:hAnsi="宋体"/>
                <w:kern w:val="0"/>
              </w:rPr>
              <w:t>6.</w:t>
            </w:r>
            <w:r>
              <w:rPr>
                <w:rFonts w:hint="eastAsia" w:ascii="宋体" w:hAnsi="宋体"/>
                <w:kern w:val="0"/>
              </w:rPr>
              <w:t>《国家外汇管理局关于进一步改进和调整资本项目外汇管理政策的通知》（汇发</w:t>
            </w:r>
            <w:r>
              <w:rPr>
                <w:rFonts w:ascii="宋体" w:hAnsi="宋体"/>
                <w:kern w:val="0"/>
              </w:rPr>
              <w:t>〔2014〕2</w:t>
            </w:r>
            <w:r>
              <w:rPr>
                <w:rFonts w:hint="eastAsia" w:ascii="宋体" w:hAnsi="宋体"/>
                <w:kern w:val="0"/>
              </w:rPr>
              <w:t>号）。</w:t>
            </w:r>
          </w:p>
          <w:p>
            <w:pPr>
              <w:widowControl/>
              <w:snapToGrid w:val="0"/>
              <w:jc w:val="left"/>
              <w:rPr>
                <w:rFonts w:ascii="宋体" w:hAnsi="宋体"/>
                <w:kern w:val="0"/>
              </w:rPr>
            </w:pPr>
            <w:r>
              <w:rPr>
                <w:rFonts w:ascii="宋体" w:hAnsi="宋体"/>
                <w:kern w:val="0"/>
              </w:rPr>
              <w:t>7.</w:t>
            </w:r>
            <w:r>
              <w:rPr>
                <w:rFonts w:hint="eastAsia" w:ascii="宋体" w:hAnsi="宋体"/>
                <w:kern w:val="0"/>
              </w:rPr>
              <w:t>《国家外汇管理局关于境内居民通过特殊目的公司境外投融资及返程投资外汇管理有关问题的通知》（汇发</w:t>
            </w:r>
            <w:r>
              <w:rPr>
                <w:rFonts w:ascii="宋体" w:hAnsi="宋体"/>
                <w:kern w:val="0"/>
              </w:rPr>
              <w:t>〔2014〕37</w:t>
            </w:r>
            <w:r>
              <w:rPr>
                <w:rFonts w:hint="eastAsia" w:ascii="宋体" w:hAnsi="宋体"/>
                <w:kern w:val="0"/>
              </w:rPr>
              <w:t>号）。</w:t>
            </w:r>
          </w:p>
          <w:p>
            <w:pPr>
              <w:widowControl/>
              <w:snapToGrid w:val="0"/>
              <w:jc w:val="left"/>
              <w:rPr>
                <w:rFonts w:ascii="宋体" w:hAnsi="宋体"/>
                <w:kern w:val="0"/>
              </w:rPr>
            </w:pPr>
            <w:r>
              <w:rPr>
                <w:rFonts w:hint="eastAsia" w:ascii="宋体" w:hAnsi="宋体"/>
                <w:kern w:val="0"/>
              </w:rPr>
              <w:t>8.《国家外汇管理局关于废止和修订涉及注册资本登记制度改革相关规范性文件的通知》（汇发</w:t>
            </w:r>
            <w:r>
              <w:rPr>
                <w:rFonts w:ascii="宋体" w:hAnsi="宋体"/>
                <w:kern w:val="0"/>
              </w:rPr>
              <w:t>〔201</w:t>
            </w:r>
            <w:r>
              <w:rPr>
                <w:rFonts w:hint="eastAsia" w:ascii="宋体" w:hAnsi="宋体"/>
                <w:kern w:val="0"/>
              </w:rPr>
              <w:t>5</w:t>
            </w:r>
            <w:r>
              <w:rPr>
                <w:rFonts w:ascii="宋体" w:hAnsi="宋体"/>
                <w:kern w:val="0"/>
              </w:rPr>
              <w:t>〕</w:t>
            </w:r>
            <w:r>
              <w:rPr>
                <w:rFonts w:hint="eastAsia" w:ascii="宋体" w:hAnsi="宋体"/>
                <w:kern w:val="0"/>
              </w:rPr>
              <w:t>20号）。</w:t>
            </w:r>
          </w:p>
          <w:p>
            <w:pPr>
              <w:widowControl/>
              <w:snapToGrid w:val="0"/>
              <w:jc w:val="left"/>
              <w:rPr>
                <w:rFonts w:ascii="宋体" w:hAnsi="宋体"/>
                <w:kern w:val="0"/>
              </w:rPr>
            </w:pPr>
            <w:r>
              <w:rPr>
                <w:rFonts w:hint="eastAsia" w:ascii="宋体" w:hAnsi="宋体"/>
                <w:kern w:val="0"/>
              </w:rPr>
              <w:t>9.《中国人民银行关于进一步明确境内企业人民币境外放款业务有关事项的通知》（银发〔2016〕306号）。</w:t>
            </w:r>
          </w:p>
          <w:p>
            <w:pPr>
              <w:widowControl/>
              <w:snapToGrid w:val="0"/>
              <w:jc w:val="left"/>
              <w:rPr>
                <w:rFonts w:ascii="宋体" w:hAnsi="宋体"/>
                <w:kern w:val="0"/>
              </w:rPr>
            </w:pPr>
            <w:r>
              <w:rPr>
                <w:rFonts w:hint="eastAsia" w:ascii="宋体" w:hAnsi="宋体"/>
                <w:kern w:val="0"/>
              </w:rPr>
              <w:t>10.《国家外汇管理局关于进一步推进外汇管理改革完善真实合规性审核的通知》（汇发〔2017〕3号）。</w:t>
            </w:r>
          </w:p>
          <w:p>
            <w:pPr>
              <w:widowControl/>
              <w:snapToGrid w:val="0"/>
              <w:jc w:val="left"/>
              <w:rPr>
                <w:rFonts w:hint="default"/>
                <w:kern w:val="0"/>
                <w:sz w:val="20"/>
              </w:rPr>
            </w:pPr>
            <w:r>
              <w:rPr>
                <w:rFonts w:hint="eastAsia" w:ascii="宋体" w:hAnsi="宋体"/>
                <w:kern w:val="0"/>
              </w:rPr>
              <w:t>11.其他相关法规。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jc w:val="center"/>
        </w:trPr>
        <w:tc>
          <w:tcPr>
            <w:tcW w:w="1093"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rFonts w:ascii="宋体" w:hAnsi="宋体"/>
                <w:kern w:val="0"/>
              </w:rPr>
            </w:pPr>
            <w:r>
              <w:rPr>
                <w:rFonts w:ascii="宋体" w:hAnsi="宋体"/>
                <w:kern w:val="0"/>
              </w:rPr>
              <w:t>申请条件</w:t>
            </w:r>
          </w:p>
          <w:p>
            <w:pPr>
              <w:widowControl/>
              <w:snapToGrid w:val="0"/>
              <w:jc w:val="center"/>
              <w:rPr>
                <w:rFonts w:hint="eastAsia" w:ascii="宋体" w:hAnsi="宋体"/>
                <w:kern w:val="0"/>
                <w:lang w:val="en-US" w:eastAsia="zh-CN"/>
              </w:rPr>
            </w:pPr>
            <w:r>
              <w:rPr>
                <w:rFonts w:hint="eastAsia" w:ascii="宋体" w:hAnsi="宋体"/>
                <w:kern w:val="0"/>
                <w:lang w:val="en-US" w:eastAsia="zh-CN"/>
              </w:rPr>
              <w:t>及</w:t>
            </w:r>
          </w:p>
          <w:p>
            <w:pPr>
              <w:widowControl/>
              <w:snapToGrid w:val="0"/>
              <w:jc w:val="center"/>
              <w:rPr>
                <w:rFonts w:hint="eastAsia" w:ascii="宋体" w:hAnsi="宋体"/>
                <w:kern w:val="0"/>
                <w:lang w:val="en-US" w:eastAsia="zh-CN"/>
              </w:rPr>
            </w:pPr>
            <w:r>
              <w:rPr>
                <w:rFonts w:hint="eastAsia" w:ascii="宋体" w:hAnsi="宋体"/>
                <w:kern w:val="0"/>
                <w:lang w:val="en-US" w:eastAsia="zh-CN"/>
              </w:rPr>
              <w:t>注意事项</w:t>
            </w:r>
          </w:p>
        </w:tc>
        <w:tc>
          <w:tcPr>
            <w:tcW w:w="7412" w:type="dxa"/>
            <w:tcBorders>
              <w:top w:val="single" w:color="000000" w:sz="4" w:space="0"/>
              <w:left w:val="nil"/>
              <w:bottom w:val="single" w:color="000000" w:sz="4" w:space="0"/>
              <w:right w:val="single" w:color="000000" w:sz="4" w:space="0"/>
            </w:tcBorders>
            <w:vAlign w:val="center"/>
          </w:tcPr>
          <w:p>
            <w:pPr>
              <w:widowControl/>
              <w:snapToGrid w:val="0"/>
              <w:jc w:val="left"/>
              <w:rPr>
                <w:rFonts w:hint="default" w:ascii="宋体" w:hAnsi="宋体"/>
                <w:kern w:val="0"/>
              </w:rPr>
            </w:pPr>
            <w:r>
              <w:rPr>
                <w:rFonts w:hint="default" w:ascii="宋体" w:hAnsi="宋体"/>
                <w:kern w:val="0"/>
              </w:rPr>
              <w:t>1.放款人和借款人均依法注册成立且未违反直接投资存量权益登记等相关规定。</w:t>
            </w:r>
          </w:p>
          <w:p>
            <w:pPr>
              <w:widowControl/>
              <w:snapToGrid w:val="0"/>
              <w:jc w:val="left"/>
              <w:rPr>
                <w:rFonts w:hint="default" w:ascii="宋体" w:hAnsi="宋体"/>
                <w:kern w:val="0"/>
              </w:rPr>
            </w:pPr>
            <w:r>
              <w:rPr>
                <w:rFonts w:hint="default" w:ascii="宋体" w:hAnsi="宋体"/>
                <w:kern w:val="0"/>
              </w:rPr>
              <w:t>2.允许境内企业向境外与其具有股权关联关系的企业放款。</w:t>
            </w:r>
          </w:p>
          <w:p>
            <w:pPr>
              <w:widowControl/>
              <w:snapToGrid w:val="0"/>
              <w:jc w:val="left"/>
              <w:rPr>
                <w:rFonts w:hint="default" w:ascii="宋体" w:hAnsi="宋体"/>
                <w:kern w:val="0"/>
              </w:rPr>
            </w:pPr>
            <w:r>
              <w:rPr>
                <w:rFonts w:hint="default" w:ascii="宋体" w:hAnsi="宋体"/>
                <w:kern w:val="0"/>
              </w:rPr>
              <w:t>3.境内企业累计境外放款额度</w:t>
            </w:r>
            <w:r>
              <w:rPr>
                <w:rFonts w:hint="eastAsia" w:ascii="宋体" w:hAnsi="宋体"/>
                <w:kern w:val="0"/>
                <w:lang w:val="en-US" w:eastAsia="zh-CN"/>
              </w:rPr>
              <w:t>原则上</w:t>
            </w:r>
            <w:r>
              <w:rPr>
                <w:rFonts w:hint="default" w:ascii="宋体" w:hAnsi="宋体"/>
                <w:kern w:val="0"/>
              </w:rPr>
              <w:t>不得超过其所有者权益的30％，如确有需要，超过上述比例的，由境内企业所在地国家外汇管理局分局（外汇管理部）按个案集体审议方式办理。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jc w:val="center"/>
        </w:trPr>
        <w:tc>
          <w:tcPr>
            <w:tcW w:w="1093" w:type="dxa"/>
            <w:tcBorders>
              <w:top w:val="single" w:color="000000" w:sz="4" w:space="0"/>
              <w:left w:val="single" w:color="000000" w:sz="4" w:space="0"/>
              <w:bottom w:val="single" w:color="000000" w:sz="4" w:space="0"/>
              <w:right w:val="single" w:color="000000" w:sz="4" w:space="0"/>
            </w:tcBorders>
            <w:vAlign w:val="center"/>
          </w:tcPr>
          <w:p>
            <w:pPr>
              <w:widowControl/>
              <w:snapToGrid w:val="0"/>
              <w:jc w:val="left"/>
              <w:rPr>
                <w:rFonts w:hint="default"/>
                <w:kern w:val="0"/>
                <w:sz w:val="20"/>
              </w:rPr>
            </w:pPr>
            <w:r>
              <w:rPr>
                <w:rFonts w:ascii="宋体" w:hAnsi="宋体"/>
                <w:kern w:val="0"/>
              </w:rPr>
              <w:t>办理材料</w:t>
            </w:r>
          </w:p>
        </w:tc>
        <w:tc>
          <w:tcPr>
            <w:tcW w:w="7412" w:type="dxa"/>
            <w:tcBorders>
              <w:top w:val="single" w:color="000000" w:sz="4" w:space="0"/>
              <w:left w:val="nil"/>
              <w:bottom w:val="single" w:color="000000" w:sz="4" w:space="0"/>
              <w:right w:val="single" w:color="000000" w:sz="4" w:space="0"/>
            </w:tcBorders>
            <w:vAlign w:val="center"/>
          </w:tcPr>
          <w:p>
            <w:pPr>
              <w:widowControl/>
              <w:snapToGrid w:val="0"/>
              <w:jc w:val="left"/>
              <w:rPr>
                <w:rFonts w:hint="default" w:ascii="宋体" w:hAnsi="宋体"/>
                <w:kern w:val="0"/>
              </w:rPr>
            </w:pPr>
            <w:r>
              <w:rPr>
                <w:rFonts w:hint="default" w:ascii="宋体" w:hAnsi="宋体"/>
                <w:kern w:val="0"/>
              </w:rPr>
              <w:t>1.</w:t>
            </w:r>
            <w:r>
              <w:rPr>
                <w:rFonts w:hint="eastAsia" w:ascii="宋体" w:hAnsi="宋体"/>
                <w:kern w:val="0"/>
              </w:rPr>
              <w:t>《境外放款登记业务申请表》。</w:t>
            </w:r>
          </w:p>
          <w:p>
            <w:pPr>
              <w:widowControl/>
              <w:snapToGrid w:val="0"/>
              <w:jc w:val="left"/>
              <w:rPr>
                <w:rFonts w:hint="default" w:ascii="宋体" w:hAnsi="宋体"/>
                <w:kern w:val="0"/>
              </w:rPr>
            </w:pPr>
            <w:r>
              <w:rPr>
                <w:rFonts w:hint="eastAsia" w:ascii="宋体" w:hAnsi="宋体"/>
                <w:kern w:val="0"/>
              </w:rPr>
              <w:t>2.境外放款协议。</w:t>
            </w:r>
          </w:p>
          <w:p>
            <w:pPr>
              <w:widowControl/>
              <w:snapToGrid w:val="0"/>
              <w:jc w:val="left"/>
              <w:rPr>
                <w:rFonts w:hint="default" w:ascii="宋体" w:hAnsi="宋体"/>
                <w:kern w:val="0"/>
              </w:rPr>
            </w:pPr>
            <w:r>
              <w:rPr>
                <w:rFonts w:hint="eastAsia" w:ascii="宋体" w:hAnsi="宋体"/>
                <w:kern w:val="0"/>
              </w:rPr>
              <w:t>3.放款人最近一期财务审计报告。</w:t>
            </w:r>
          </w:p>
          <w:p>
            <w:pPr>
              <w:widowControl/>
              <w:snapToGrid w:val="0"/>
              <w:jc w:val="left"/>
              <w:rPr>
                <w:rFonts w:hint="default" w:ascii="宋体" w:hAnsi="宋体"/>
                <w:kern w:val="0"/>
              </w:rPr>
            </w:pPr>
            <w:r>
              <w:rPr>
                <w:rFonts w:hint="eastAsia" w:ascii="宋体" w:hAnsi="宋体"/>
                <w:kern w:val="0"/>
              </w:rPr>
              <w:t>4.《人民币境外放款存量情况表》（内容包括：人民币境外放款余额及逐笔明细信息等）。</w:t>
            </w:r>
          </w:p>
          <w:p>
            <w:pPr>
              <w:widowControl/>
              <w:snapToGrid w:val="0"/>
              <w:jc w:val="left"/>
              <w:rPr>
                <w:rFonts w:hint="default" w:ascii="宋体" w:hAnsi="宋体"/>
                <w:kern w:val="0"/>
              </w:rPr>
            </w:pPr>
            <w:r>
              <w:rPr>
                <w:rFonts w:hint="eastAsia" w:ascii="宋体" w:hAnsi="宋体"/>
                <w:kern w:val="0"/>
              </w:rPr>
              <w:t>5.放款人与境外借款人股权关联关系的证明文件。</w:t>
            </w:r>
          </w:p>
          <w:p>
            <w:pPr>
              <w:widowControl/>
              <w:snapToGrid w:val="0"/>
              <w:jc w:val="left"/>
              <w:rPr>
                <w:rFonts w:hint="default" w:ascii="宋体" w:hAnsi="宋体"/>
                <w:kern w:val="0"/>
              </w:rPr>
            </w:pPr>
            <w:r>
              <w:rPr>
                <w:rFonts w:hint="eastAsia" w:ascii="宋体" w:hAnsi="宋体"/>
                <w:kern w:val="0"/>
              </w:rPr>
              <w:t>6.人民银行有关部门、外汇局要求补充的其他材料。</w:t>
            </w:r>
          </w:p>
          <w:p>
            <w:pPr>
              <w:widowControl/>
              <w:snapToGrid w:val="0"/>
              <w:jc w:val="left"/>
              <w:rPr>
                <w:rFonts w:hint="default"/>
                <w:kern w:val="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1" w:hRule="atLeast"/>
          <w:jc w:val="center"/>
        </w:trPr>
        <w:tc>
          <w:tcPr>
            <w:tcW w:w="1093" w:type="dxa"/>
            <w:tcBorders>
              <w:top w:val="single" w:color="000000" w:sz="4" w:space="0"/>
              <w:left w:val="single" w:color="000000" w:sz="4" w:space="0"/>
              <w:bottom w:val="single" w:color="000000" w:sz="4" w:space="0"/>
              <w:right w:val="single" w:color="000000" w:sz="4" w:space="0"/>
            </w:tcBorders>
            <w:vAlign w:val="center"/>
          </w:tcPr>
          <w:p>
            <w:pPr>
              <w:widowControl/>
              <w:snapToGrid w:val="0"/>
              <w:jc w:val="left"/>
              <w:rPr>
                <w:rFonts w:hint="default"/>
                <w:kern w:val="0"/>
                <w:sz w:val="20"/>
              </w:rPr>
            </w:pPr>
            <w:r>
              <w:rPr>
                <w:rFonts w:ascii="宋体" w:hAnsi="宋体"/>
                <w:kern w:val="0"/>
              </w:rPr>
              <w:t>办理地点</w:t>
            </w:r>
          </w:p>
        </w:tc>
        <w:tc>
          <w:tcPr>
            <w:tcW w:w="7412" w:type="dxa"/>
            <w:tcBorders>
              <w:top w:val="single" w:color="000000" w:sz="4" w:space="0"/>
              <w:left w:val="nil"/>
              <w:bottom w:val="single" w:color="000000" w:sz="4" w:space="0"/>
              <w:right w:val="single" w:color="000000" w:sz="4" w:space="0"/>
            </w:tcBorders>
            <w:vAlign w:val="top"/>
          </w:tcPr>
          <w:p>
            <w:pPr>
              <w:widowControl/>
              <w:snapToGrid w:val="0"/>
              <w:jc w:val="left"/>
              <w:rPr>
                <w:rFonts w:hint="default"/>
                <w:kern w:val="0"/>
              </w:rPr>
            </w:pPr>
            <w:r>
              <w:rPr>
                <w:rFonts w:ascii="宋体" w:hAnsi="宋体"/>
                <w:kern w:val="0"/>
              </w:rPr>
              <w:t>国家外汇管理局青海省分局外汇管理处资本科（西宁市昆仑路3号人民银行政务大厅）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jc w:val="center"/>
        </w:trPr>
        <w:tc>
          <w:tcPr>
            <w:tcW w:w="1093" w:type="dxa"/>
            <w:tcBorders>
              <w:top w:val="single" w:color="000000" w:sz="4" w:space="0"/>
              <w:left w:val="single" w:color="000000" w:sz="4" w:space="0"/>
              <w:bottom w:val="single" w:color="000000" w:sz="4" w:space="0"/>
              <w:right w:val="single" w:color="000000" w:sz="4" w:space="0"/>
            </w:tcBorders>
            <w:vAlign w:val="center"/>
          </w:tcPr>
          <w:p>
            <w:pPr>
              <w:widowControl/>
              <w:snapToGrid w:val="0"/>
              <w:jc w:val="left"/>
              <w:rPr>
                <w:rFonts w:hint="default"/>
                <w:kern w:val="0"/>
                <w:sz w:val="20"/>
              </w:rPr>
            </w:pPr>
            <w:r>
              <w:rPr>
                <w:rFonts w:ascii="宋体" w:hAnsi="宋体"/>
                <w:kern w:val="0"/>
              </w:rPr>
              <w:t>办理时间</w:t>
            </w:r>
          </w:p>
          <w:p>
            <w:pPr>
              <w:widowControl/>
              <w:spacing w:line="271" w:lineRule="auto"/>
              <w:jc w:val="center"/>
              <w:rPr>
                <w:rFonts w:hint="default" w:ascii="Times New Roman" w:eastAsia="Times New Roman"/>
                <w:b/>
                <w:kern w:val="0"/>
              </w:rPr>
            </w:pPr>
          </w:p>
        </w:tc>
        <w:tc>
          <w:tcPr>
            <w:tcW w:w="7412" w:type="dxa"/>
            <w:tcBorders>
              <w:top w:val="single" w:color="000000" w:sz="4" w:space="0"/>
              <w:left w:val="nil"/>
              <w:bottom w:val="single" w:color="000000" w:sz="4" w:space="0"/>
              <w:right w:val="single" w:color="000000" w:sz="4" w:space="0"/>
            </w:tcBorders>
            <w:vAlign w:val="top"/>
          </w:tcPr>
          <w:p>
            <w:pPr>
              <w:widowControl/>
              <w:snapToGrid w:val="0"/>
              <w:jc w:val="left"/>
              <w:rPr>
                <w:rFonts w:hint="default"/>
                <w:kern w:val="0"/>
              </w:rPr>
            </w:pPr>
            <w:r>
              <w:rPr>
                <w:rFonts w:ascii="宋体" w:hAnsi="宋体"/>
                <w:kern w:val="0"/>
              </w:rPr>
              <w:t>周一至周五（法定节假日除外）</w:t>
            </w:r>
          </w:p>
          <w:p>
            <w:pPr>
              <w:widowControl/>
              <w:snapToGrid w:val="0"/>
              <w:jc w:val="left"/>
              <w:rPr>
                <w:rFonts w:hint="default"/>
                <w:kern w:val="0"/>
                <w:sz w:val="20"/>
              </w:rPr>
            </w:pPr>
            <w:r>
              <w:rPr>
                <w:rFonts w:ascii="宋体" w:hAnsi="宋体"/>
                <w:kern w:val="0"/>
              </w:rPr>
              <w:t>上午8：30-11：30，下午2：00-5：30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jc w:val="center"/>
        </w:trPr>
        <w:tc>
          <w:tcPr>
            <w:tcW w:w="1093" w:type="dxa"/>
            <w:tcBorders>
              <w:top w:val="single" w:color="000000" w:sz="4" w:space="0"/>
              <w:left w:val="single" w:color="000000" w:sz="4" w:space="0"/>
              <w:bottom w:val="single" w:color="000000" w:sz="4" w:space="0"/>
              <w:right w:val="single" w:color="000000" w:sz="4" w:space="0"/>
            </w:tcBorders>
            <w:vAlign w:val="center"/>
          </w:tcPr>
          <w:p>
            <w:pPr>
              <w:widowControl/>
              <w:snapToGrid w:val="0"/>
              <w:jc w:val="left"/>
              <w:rPr>
                <w:rFonts w:hint="default"/>
                <w:kern w:val="0"/>
                <w:sz w:val="20"/>
              </w:rPr>
            </w:pPr>
            <w:r>
              <w:rPr>
                <w:rFonts w:ascii="宋体" w:hAnsi="宋体"/>
                <w:kern w:val="0"/>
              </w:rPr>
              <w:t>联系电话</w:t>
            </w:r>
          </w:p>
        </w:tc>
        <w:tc>
          <w:tcPr>
            <w:tcW w:w="7412" w:type="dxa"/>
            <w:tcBorders>
              <w:top w:val="single" w:color="000000" w:sz="4" w:space="0"/>
              <w:left w:val="nil"/>
              <w:bottom w:val="single" w:color="000000" w:sz="4" w:space="0"/>
              <w:right w:val="single" w:color="000000" w:sz="4" w:space="0"/>
            </w:tcBorders>
            <w:vAlign w:val="top"/>
          </w:tcPr>
          <w:p>
            <w:pPr>
              <w:widowControl/>
              <w:snapToGrid w:val="0"/>
              <w:jc w:val="left"/>
              <w:rPr>
                <w:rFonts w:hint="default"/>
                <w:kern w:val="0"/>
              </w:rPr>
            </w:pPr>
            <w:r>
              <w:rPr>
                <w:rFonts w:ascii="宋体" w:hAnsi="宋体"/>
                <w:kern w:val="0"/>
              </w:rPr>
              <w:t>0971-6126143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jc w:val="center"/>
        </w:trPr>
        <w:tc>
          <w:tcPr>
            <w:tcW w:w="1093" w:type="dxa"/>
            <w:tcBorders>
              <w:top w:val="single" w:color="000000" w:sz="4" w:space="0"/>
              <w:left w:val="single" w:color="000000" w:sz="4" w:space="0"/>
              <w:bottom w:val="single" w:color="000000" w:sz="4" w:space="0"/>
              <w:right w:val="single" w:color="000000" w:sz="4" w:space="0"/>
            </w:tcBorders>
            <w:vAlign w:val="center"/>
          </w:tcPr>
          <w:p>
            <w:pPr>
              <w:widowControl/>
              <w:snapToGrid w:val="0"/>
              <w:jc w:val="left"/>
              <w:rPr>
                <w:rFonts w:hint="default"/>
                <w:kern w:val="0"/>
                <w:sz w:val="20"/>
              </w:rPr>
            </w:pPr>
            <w:r>
              <w:rPr>
                <w:rFonts w:ascii="宋体" w:hAnsi="宋体"/>
                <w:kern w:val="0"/>
              </w:rPr>
              <w:t>办理流程</w:t>
            </w:r>
          </w:p>
        </w:tc>
        <w:tc>
          <w:tcPr>
            <w:tcW w:w="7412" w:type="dxa"/>
            <w:tcBorders>
              <w:top w:val="single" w:color="000000" w:sz="4" w:space="0"/>
              <w:left w:val="nil"/>
              <w:bottom w:val="single" w:color="000000" w:sz="4" w:space="0"/>
              <w:right w:val="single" w:color="000000" w:sz="4" w:space="0"/>
            </w:tcBorders>
            <w:vAlign w:val="top"/>
          </w:tcPr>
          <w:p>
            <w:pPr>
              <w:widowControl/>
              <w:snapToGrid w:val="0"/>
              <w:jc w:val="left"/>
              <w:rPr>
                <w:rFonts w:hint="default"/>
                <w:kern w:val="0"/>
              </w:rPr>
            </w:pPr>
            <w:r>
              <w:rPr>
                <w:rFonts w:ascii="宋体" w:hAnsi="宋体"/>
                <w:kern w:val="0"/>
              </w:rPr>
              <w:t>1.企业提交材料；</w:t>
            </w:r>
          </w:p>
          <w:p>
            <w:pPr>
              <w:widowControl/>
              <w:snapToGrid w:val="0"/>
              <w:jc w:val="left"/>
              <w:rPr>
                <w:rFonts w:hint="default"/>
                <w:kern w:val="0"/>
              </w:rPr>
            </w:pPr>
            <w:r>
              <w:rPr>
                <w:rFonts w:ascii="宋体" w:hAnsi="宋体"/>
                <w:kern w:val="0"/>
              </w:rPr>
              <w:t>2.</w:t>
            </w:r>
            <w:r>
              <w:rPr>
                <w:rFonts w:hint="eastAsia" w:ascii="宋体" w:hAnsi="宋体"/>
                <w:kern w:val="0"/>
                <w:lang w:eastAsia="zh-CN"/>
              </w:rPr>
              <w:t>办理时限</w:t>
            </w:r>
            <w:r>
              <w:rPr>
                <w:rFonts w:hint="eastAsia" w:ascii="宋体" w:hAnsi="宋体"/>
                <w:kern w:val="0"/>
              </w:rPr>
              <w:t>10个工作日。需要集体审议处理的，应于20个工作日内处理完毕。</w:t>
            </w:r>
          </w:p>
          <w:p>
            <w:pPr>
              <w:widowControl/>
              <w:snapToGrid w:val="0"/>
              <w:jc w:val="left"/>
              <w:rPr>
                <w:rFonts w:hint="default"/>
                <w:kern w:val="0"/>
              </w:rPr>
            </w:pPr>
            <w:r>
              <w:rPr>
                <w:rFonts w:ascii="宋体" w:hAnsi="宋体"/>
                <w:kern w:val="0"/>
              </w:rPr>
              <w:t>3.发放业务登记凭证；</w:t>
            </w:r>
          </w:p>
          <w:p>
            <w:pPr>
              <w:widowControl/>
              <w:snapToGrid w:val="0"/>
              <w:jc w:val="left"/>
              <w:rPr>
                <w:rFonts w:hint="default"/>
                <w:kern w:val="0"/>
                <w:sz w:val="20"/>
              </w:rPr>
            </w:pPr>
            <w:r>
              <w:rPr>
                <w:rFonts w:ascii="宋体" w:hAnsi="宋体"/>
                <w:kern w:val="0"/>
              </w:rPr>
              <w:t>4.企业凭业务登记凭证直接到银行办理后续资金购付汇手续。</w:t>
            </w:r>
          </w:p>
        </w:tc>
      </w:tr>
    </w:tbl>
    <w:p>
      <w:pPr>
        <w:widowControl/>
        <w:rPr>
          <w:rFonts w:hint="default"/>
          <w:kern w:val="0"/>
        </w:rPr>
      </w:pPr>
    </w:p>
    <w:tbl>
      <w:tblPr>
        <w:tblStyle w:val="16"/>
        <w:tblW w:w="850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093"/>
        <w:gridCol w:w="741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jc w:val="center"/>
        </w:trPr>
        <w:tc>
          <w:tcPr>
            <w:tcW w:w="1093" w:type="dxa"/>
            <w:tcBorders>
              <w:top w:val="single" w:color="000000" w:sz="4" w:space="0"/>
              <w:left w:val="single" w:color="000000" w:sz="4" w:space="0"/>
              <w:bottom w:val="single" w:color="000000" w:sz="4" w:space="0"/>
              <w:right w:val="single" w:color="000000" w:sz="4" w:space="0"/>
            </w:tcBorders>
            <w:vAlign w:val="center"/>
          </w:tcPr>
          <w:p>
            <w:pPr>
              <w:widowControl/>
              <w:snapToGrid w:val="0"/>
              <w:jc w:val="left"/>
              <w:rPr>
                <w:rFonts w:hint="default"/>
                <w:kern w:val="0"/>
                <w:sz w:val="20"/>
              </w:rPr>
            </w:pPr>
            <w:r>
              <w:rPr>
                <w:rFonts w:ascii="宋体" w:hAnsi="宋体"/>
                <w:kern w:val="0"/>
              </w:rPr>
              <w:t>业务名称</w:t>
            </w:r>
          </w:p>
        </w:tc>
        <w:tc>
          <w:tcPr>
            <w:tcW w:w="7412" w:type="dxa"/>
            <w:tcBorders>
              <w:top w:val="single" w:color="000000" w:sz="4" w:space="0"/>
              <w:left w:val="nil"/>
              <w:bottom w:val="single" w:color="000000" w:sz="4" w:space="0"/>
              <w:right w:val="single" w:color="000000" w:sz="4" w:space="0"/>
            </w:tcBorders>
            <w:vAlign w:val="center"/>
          </w:tcPr>
          <w:p>
            <w:pPr>
              <w:widowControl/>
              <w:snapToGrid w:val="0"/>
              <w:jc w:val="left"/>
              <w:rPr>
                <w:rFonts w:hint="default"/>
                <w:b/>
                <w:kern w:val="0"/>
                <w:sz w:val="20"/>
              </w:rPr>
            </w:pPr>
            <w:r>
              <w:rPr>
                <w:rFonts w:ascii="宋体" w:hAnsi="宋体"/>
                <w:b/>
                <w:kern w:val="0"/>
              </w:rPr>
              <w:t>（十</w:t>
            </w:r>
            <w:r>
              <w:rPr>
                <w:rFonts w:hint="eastAsia" w:ascii="宋体" w:hAnsi="宋体"/>
                <w:b/>
                <w:kern w:val="0"/>
                <w:lang w:eastAsia="zh-CN"/>
              </w:rPr>
              <w:t>四</w:t>
            </w:r>
            <w:r>
              <w:rPr>
                <w:rFonts w:ascii="宋体" w:hAnsi="宋体"/>
                <w:b/>
                <w:kern w:val="0"/>
              </w:rPr>
              <w:t>）</w:t>
            </w:r>
            <w:r>
              <w:rPr>
                <w:rFonts w:hint="eastAsia" w:ascii="宋体" w:hAnsi="宋体"/>
                <w:b/>
                <w:kern w:val="0"/>
              </w:rPr>
              <w:t>境内机构境外放款额度变更与注销登记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45" w:hRule="atLeast"/>
          <w:jc w:val="center"/>
        </w:trPr>
        <w:tc>
          <w:tcPr>
            <w:tcW w:w="1093" w:type="dxa"/>
            <w:tcBorders>
              <w:top w:val="single" w:color="000000" w:sz="4" w:space="0"/>
              <w:left w:val="single" w:color="000000" w:sz="4" w:space="0"/>
              <w:bottom w:val="single" w:color="000000" w:sz="4" w:space="0"/>
              <w:right w:val="single" w:color="000000" w:sz="4" w:space="0"/>
            </w:tcBorders>
            <w:vAlign w:val="center"/>
          </w:tcPr>
          <w:p>
            <w:pPr>
              <w:widowControl/>
              <w:snapToGrid w:val="0"/>
              <w:jc w:val="left"/>
              <w:rPr>
                <w:rFonts w:hint="default"/>
                <w:kern w:val="0"/>
                <w:sz w:val="20"/>
              </w:rPr>
            </w:pPr>
            <w:r>
              <w:rPr>
                <w:rFonts w:ascii="宋体" w:hAnsi="宋体"/>
                <w:kern w:val="0"/>
              </w:rPr>
              <w:t>设定依据</w:t>
            </w:r>
          </w:p>
          <w:p>
            <w:pPr>
              <w:widowControl/>
              <w:spacing w:line="271" w:lineRule="auto"/>
              <w:jc w:val="center"/>
              <w:rPr>
                <w:rFonts w:hint="default" w:ascii="Times New Roman" w:eastAsia="Times New Roman"/>
                <w:b/>
                <w:kern w:val="0"/>
              </w:rPr>
            </w:pPr>
          </w:p>
        </w:tc>
        <w:tc>
          <w:tcPr>
            <w:tcW w:w="7412" w:type="dxa"/>
            <w:tcBorders>
              <w:top w:val="single" w:color="000000" w:sz="4" w:space="0"/>
              <w:left w:val="nil"/>
              <w:bottom w:val="single" w:color="000000" w:sz="4" w:space="0"/>
              <w:right w:val="single" w:color="000000" w:sz="4" w:space="0"/>
            </w:tcBorders>
            <w:vAlign w:val="center"/>
          </w:tcPr>
          <w:p>
            <w:pPr>
              <w:widowControl/>
              <w:snapToGrid w:val="0"/>
              <w:jc w:val="left"/>
              <w:rPr>
                <w:rFonts w:hint="eastAsia" w:ascii="宋体" w:hAnsi="宋体"/>
                <w:kern w:val="0"/>
              </w:rPr>
            </w:pPr>
            <w:r>
              <w:rPr>
                <w:rFonts w:hint="eastAsia" w:ascii="宋体" w:hAnsi="宋体"/>
                <w:kern w:val="0"/>
              </w:rPr>
              <w:t>1.《中华人民共和国外汇管理条例》（国务院令第532号）。</w:t>
            </w:r>
          </w:p>
          <w:p>
            <w:pPr>
              <w:widowControl/>
              <w:snapToGrid w:val="0"/>
              <w:jc w:val="left"/>
              <w:rPr>
                <w:rFonts w:hint="eastAsia" w:ascii="宋体" w:hAnsi="宋体"/>
                <w:kern w:val="0"/>
              </w:rPr>
            </w:pPr>
            <w:r>
              <w:rPr>
                <w:rFonts w:hint="eastAsia" w:ascii="宋体" w:hAnsi="宋体"/>
                <w:kern w:val="0"/>
              </w:rPr>
              <w:t>2.《境内外汇账户管理规定》（银发〔1997〕416号）。</w:t>
            </w:r>
          </w:p>
          <w:p>
            <w:pPr>
              <w:widowControl/>
              <w:snapToGrid w:val="0"/>
              <w:jc w:val="left"/>
              <w:rPr>
                <w:rFonts w:hint="eastAsia" w:ascii="宋体" w:hAnsi="宋体"/>
                <w:kern w:val="0"/>
              </w:rPr>
            </w:pPr>
            <w:r>
              <w:rPr>
                <w:rFonts w:hint="eastAsia" w:ascii="宋体" w:hAnsi="宋体"/>
                <w:kern w:val="0"/>
              </w:rPr>
              <w:t>3.《国家外汇管理局关于境内企业境外放款外汇管理有关问题的通知》（汇发〔2009〕24号）。</w:t>
            </w:r>
          </w:p>
          <w:p>
            <w:pPr>
              <w:widowControl/>
              <w:snapToGrid w:val="0"/>
              <w:jc w:val="left"/>
              <w:rPr>
                <w:rFonts w:hint="eastAsia" w:ascii="宋体" w:hAnsi="宋体"/>
                <w:kern w:val="0"/>
              </w:rPr>
            </w:pPr>
            <w:r>
              <w:rPr>
                <w:rFonts w:hint="eastAsia" w:ascii="宋体" w:hAnsi="宋体"/>
                <w:kern w:val="0"/>
              </w:rPr>
              <w:t>4.《国家外汇管理局关于进一步改进和调整直接投资外汇管理政策的通知》（汇发〔2012〕59号）。</w:t>
            </w:r>
          </w:p>
          <w:p>
            <w:pPr>
              <w:widowControl/>
              <w:snapToGrid w:val="0"/>
              <w:jc w:val="left"/>
              <w:rPr>
                <w:rFonts w:hint="eastAsia" w:ascii="宋体" w:hAnsi="宋体"/>
                <w:kern w:val="0"/>
              </w:rPr>
            </w:pPr>
            <w:r>
              <w:rPr>
                <w:rFonts w:hint="eastAsia" w:ascii="宋体" w:hAnsi="宋体"/>
                <w:kern w:val="0"/>
              </w:rPr>
              <w:t>5.《国家外汇管理局关于进一步改进和调整资本项目外汇管理政策的通知》（汇发〔2014〕2号）。</w:t>
            </w:r>
          </w:p>
          <w:p>
            <w:pPr>
              <w:widowControl/>
              <w:snapToGrid w:val="0"/>
              <w:jc w:val="left"/>
              <w:rPr>
                <w:rFonts w:hint="eastAsia" w:ascii="宋体" w:hAnsi="宋体"/>
                <w:kern w:val="0"/>
              </w:rPr>
            </w:pPr>
            <w:r>
              <w:rPr>
                <w:rFonts w:hint="eastAsia" w:ascii="宋体" w:hAnsi="宋体"/>
                <w:kern w:val="0"/>
              </w:rPr>
              <w:t>6.《国家外汇管理局关于境内居民通过特殊目的公司境外投融资及返程投资外汇管理有关问题的通知》（汇发〔2014〕37号）。</w:t>
            </w:r>
          </w:p>
          <w:p>
            <w:pPr>
              <w:widowControl/>
              <w:snapToGrid w:val="0"/>
              <w:jc w:val="left"/>
              <w:rPr>
                <w:rFonts w:hint="eastAsia" w:ascii="宋体" w:hAnsi="宋体"/>
                <w:kern w:val="0"/>
              </w:rPr>
            </w:pPr>
            <w:r>
              <w:rPr>
                <w:rFonts w:hint="eastAsia" w:ascii="宋体" w:hAnsi="宋体"/>
                <w:kern w:val="0"/>
              </w:rPr>
              <w:t>7.《中国人民银行关于进一步明确境内企业人民币境外放款业务有关事项的通知》（银发〔2016〕306号）。</w:t>
            </w:r>
          </w:p>
          <w:p>
            <w:pPr>
              <w:widowControl/>
              <w:snapToGrid w:val="0"/>
              <w:jc w:val="left"/>
              <w:rPr>
                <w:rFonts w:hint="eastAsia" w:ascii="宋体" w:hAnsi="宋体"/>
                <w:kern w:val="0"/>
              </w:rPr>
            </w:pPr>
            <w:r>
              <w:rPr>
                <w:rFonts w:hint="eastAsia" w:ascii="宋体" w:hAnsi="宋体"/>
                <w:kern w:val="0"/>
              </w:rPr>
              <w:t>8.《国家外汇管理局关于进一步推进外汇管理改革完善真实合规性审核的通知》（汇发〔2017〕3号）</w:t>
            </w:r>
          </w:p>
          <w:p>
            <w:pPr>
              <w:widowControl/>
              <w:snapToGrid w:val="0"/>
              <w:jc w:val="left"/>
              <w:rPr>
                <w:rFonts w:hint="default"/>
                <w:kern w:val="0"/>
                <w:sz w:val="20"/>
              </w:rPr>
            </w:pPr>
            <w:r>
              <w:rPr>
                <w:rFonts w:hint="eastAsia" w:ascii="宋体" w:hAnsi="宋体"/>
                <w:kern w:val="0"/>
              </w:rPr>
              <w:t>9.其他相关法规。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10" w:hRule="atLeast"/>
          <w:jc w:val="center"/>
        </w:trPr>
        <w:tc>
          <w:tcPr>
            <w:tcW w:w="1093"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rFonts w:ascii="宋体" w:hAnsi="宋体"/>
                <w:kern w:val="0"/>
              </w:rPr>
            </w:pPr>
            <w:r>
              <w:rPr>
                <w:rFonts w:ascii="宋体" w:hAnsi="宋体"/>
                <w:kern w:val="0"/>
              </w:rPr>
              <w:t>申请条件</w:t>
            </w:r>
          </w:p>
          <w:p>
            <w:pPr>
              <w:widowControl/>
              <w:snapToGrid w:val="0"/>
              <w:jc w:val="center"/>
              <w:rPr>
                <w:rFonts w:hint="eastAsia" w:ascii="宋体" w:hAnsi="宋体"/>
                <w:kern w:val="0"/>
                <w:lang w:val="en-US" w:eastAsia="zh-CN"/>
              </w:rPr>
            </w:pPr>
            <w:r>
              <w:rPr>
                <w:rFonts w:hint="eastAsia" w:ascii="宋体" w:hAnsi="宋体"/>
                <w:kern w:val="0"/>
                <w:lang w:val="en-US" w:eastAsia="zh-CN"/>
              </w:rPr>
              <w:t>及</w:t>
            </w:r>
          </w:p>
          <w:p>
            <w:pPr>
              <w:widowControl/>
              <w:snapToGrid w:val="0"/>
              <w:jc w:val="center"/>
              <w:rPr>
                <w:rFonts w:hint="eastAsia" w:ascii="宋体" w:hAnsi="宋体"/>
                <w:kern w:val="0"/>
                <w:lang w:val="en-US" w:eastAsia="zh-CN"/>
              </w:rPr>
            </w:pPr>
            <w:r>
              <w:rPr>
                <w:rFonts w:hint="eastAsia" w:ascii="宋体" w:hAnsi="宋体"/>
                <w:kern w:val="0"/>
                <w:lang w:val="en-US" w:eastAsia="zh-CN"/>
              </w:rPr>
              <w:t>注意事项</w:t>
            </w:r>
          </w:p>
        </w:tc>
        <w:tc>
          <w:tcPr>
            <w:tcW w:w="7412" w:type="dxa"/>
            <w:tcBorders>
              <w:top w:val="single" w:color="000000" w:sz="4" w:space="0"/>
              <w:left w:val="nil"/>
              <w:bottom w:val="single" w:color="000000" w:sz="4" w:space="0"/>
              <w:right w:val="single" w:color="000000" w:sz="4" w:space="0"/>
            </w:tcBorders>
            <w:vAlign w:val="center"/>
          </w:tcPr>
          <w:p>
            <w:pPr>
              <w:widowControl/>
              <w:snapToGrid w:val="0"/>
              <w:jc w:val="left"/>
              <w:rPr>
                <w:rFonts w:hint="eastAsia" w:ascii="宋体" w:hAnsi="宋体"/>
                <w:kern w:val="0"/>
              </w:rPr>
            </w:pPr>
            <w:r>
              <w:rPr>
                <w:rFonts w:hint="eastAsia" w:ascii="宋体" w:hAnsi="宋体"/>
                <w:kern w:val="0"/>
                <w:lang w:val="en-US" w:eastAsia="zh-CN"/>
              </w:rPr>
              <w:t>1.</w:t>
            </w:r>
            <w:r>
              <w:rPr>
                <w:rFonts w:hint="eastAsia" w:ascii="宋体" w:hAnsi="宋体"/>
                <w:kern w:val="0"/>
              </w:rPr>
              <w:t>增加境外放款额度或原放款协议发生变化（如利率调整、期限变更等）的，需办理变更登记。</w:t>
            </w:r>
          </w:p>
          <w:p>
            <w:pPr>
              <w:widowControl/>
              <w:snapToGrid w:val="0"/>
              <w:jc w:val="left"/>
              <w:rPr>
                <w:rFonts w:hint="eastAsia" w:ascii="宋体" w:hAnsi="宋体"/>
                <w:kern w:val="0"/>
              </w:rPr>
            </w:pPr>
            <w:r>
              <w:rPr>
                <w:rFonts w:hint="eastAsia" w:ascii="宋体" w:hAnsi="宋体"/>
                <w:kern w:val="0"/>
              </w:rPr>
              <w:t>2.境外放款期限届满后如需继续使用，应在期限届满前1个月内，由放款人向所在地外汇局提出展期申请。</w:t>
            </w:r>
          </w:p>
          <w:p>
            <w:pPr>
              <w:widowControl/>
              <w:snapToGrid w:val="0"/>
              <w:jc w:val="left"/>
              <w:rPr>
                <w:rFonts w:hint="eastAsia" w:ascii="宋体" w:hAnsi="宋体"/>
                <w:kern w:val="0"/>
              </w:rPr>
            </w:pPr>
            <w:r>
              <w:rPr>
                <w:rFonts w:hint="eastAsia" w:ascii="宋体" w:hAnsi="宋体"/>
                <w:kern w:val="0"/>
              </w:rPr>
              <w:t>3.境外放款到期并收回本息的或虽未到期但本息回收完毕（含债转股、债务豁免或担保履约）后不再进行境外放款的，需办理境外放款额度注销登记。</w:t>
            </w:r>
          </w:p>
          <w:p>
            <w:pPr>
              <w:widowControl/>
              <w:snapToGrid w:val="0"/>
              <w:jc w:val="left"/>
              <w:rPr>
                <w:rFonts w:hint="default" w:ascii="宋体" w:hAnsi="宋体"/>
                <w:kern w:val="0"/>
              </w:rPr>
            </w:pPr>
            <w:r>
              <w:rPr>
                <w:rFonts w:hint="eastAsia" w:ascii="宋体" w:hAnsi="宋体"/>
                <w:kern w:val="0"/>
                <w:lang w:val="en-US" w:eastAsia="zh-CN"/>
              </w:rPr>
              <w:t>4</w:t>
            </w:r>
            <w:r>
              <w:rPr>
                <w:rFonts w:hint="eastAsia" w:ascii="宋体" w:hAnsi="宋体"/>
                <w:kern w:val="0"/>
              </w:rPr>
              <w:t>.境外放款债转股的，境内放款人须先到外汇局办理境外放款额度注销，再到银行办理“境内机构境外直接投资外汇变更登记”。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jc w:val="center"/>
        </w:trPr>
        <w:tc>
          <w:tcPr>
            <w:tcW w:w="1093" w:type="dxa"/>
            <w:tcBorders>
              <w:top w:val="single" w:color="000000" w:sz="4" w:space="0"/>
              <w:left w:val="single" w:color="000000" w:sz="4" w:space="0"/>
              <w:bottom w:val="single" w:color="000000" w:sz="4" w:space="0"/>
              <w:right w:val="single" w:color="000000" w:sz="4" w:space="0"/>
            </w:tcBorders>
            <w:vAlign w:val="center"/>
          </w:tcPr>
          <w:p>
            <w:pPr>
              <w:widowControl/>
              <w:snapToGrid w:val="0"/>
              <w:jc w:val="left"/>
              <w:rPr>
                <w:rFonts w:hint="default"/>
                <w:kern w:val="0"/>
                <w:sz w:val="20"/>
              </w:rPr>
            </w:pPr>
            <w:r>
              <w:rPr>
                <w:rFonts w:ascii="宋体" w:hAnsi="宋体"/>
                <w:kern w:val="0"/>
              </w:rPr>
              <w:t>办理材料</w:t>
            </w:r>
          </w:p>
        </w:tc>
        <w:tc>
          <w:tcPr>
            <w:tcW w:w="7412" w:type="dxa"/>
            <w:tcBorders>
              <w:top w:val="single" w:color="000000" w:sz="4" w:space="0"/>
              <w:left w:val="nil"/>
              <w:bottom w:val="single" w:color="000000" w:sz="4" w:space="0"/>
              <w:right w:val="single" w:color="000000" w:sz="4" w:space="0"/>
            </w:tcBorders>
            <w:vAlign w:val="center"/>
          </w:tcPr>
          <w:p>
            <w:pPr>
              <w:widowControl/>
              <w:snapToGrid w:val="0"/>
              <w:jc w:val="left"/>
              <w:rPr>
                <w:rFonts w:hint="default" w:ascii="宋体" w:hAnsi="宋体"/>
                <w:kern w:val="0"/>
              </w:rPr>
            </w:pPr>
            <w:r>
              <w:rPr>
                <w:rFonts w:hint="eastAsia" w:ascii="宋体" w:hAnsi="宋体"/>
                <w:kern w:val="0"/>
              </w:rPr>
              <w:t>一、变更登记</w:t>
            </w:r>
          </w:p>
          <w:p>
            <w:pPr>
              <w:widowControl/>
              <w:snapToGrid w:val="0"/>
              <w:jc w:val="left"/>
              <w:rPr>
                <w:rFonts w:hint="default" w:ascii="宋体" w:hAnsi="宋体"/>
                <w:kern w:val="0"/>
              </w:rPr>
            </w:pPr>
            <w:r>
              <w:rPr>
                <w:rFonts w:hint="eastAsia" w:ascii="宋体" w:hAnsi="宋体"/>
                <w:kern w:val="0"/>
              </w:rPr>
              <w:t>1.《境外放款登记业务申请表》。</w:t>
            </w:r>
          </w:p>
          <w:p>
            <w:pPr>
              <w:widowControl/>
              <w:snapToGrid w:val="0"/>
              <w:jc w:val="left"/>
              <w:rPr>
                <w:rFonts w:hint="default" w:ascii="宋体" w:hAnsi="宋体"/>
                <w:kern w:val="0"/>
              </w:rPr>
            </w:pPr>
            <w:r>
              <w:rPr>
                <w:rFonts w:hint="eastAsia" w:ascii="宋体" w:hAnsi="宋体"/>
                <w:kern w:val="0"/>
              </w:rPr>
              <w:t>2.变更后的境外放款协议。</w:t>
            </w:r>
          </w:p>
          <w:p>
            <w:pPr>
              <w:widowControl/>
              <w:snapToGrid w:val="0"/>
              <w:jc w:val="left"/>
              <w:rPr>
                <w:rFonts w:hint="default" w:ascii="宋体" w:hAnsi="宋体"/>
                <w:kern w:val="0"/>
              </w:rPr>
            </w:pPr>
            <w:r>
              <w:rPr>
                <w:rFonts w:hint="eastAsia" w:ascii="宋体" w:hAnsi="宋体"/>
                <w:kern w:val="0"/>
              </w:rPr>
              <w:t>3.放款人最近一期财务审计报告。</w:t>
            </w:r>
          </w:p>
          <w:p>
            <w:pPr>
              <w:widowControl/>
              <w:snapToGrid w:val="0"/>
              <w:jc w:val="left"/>
              <w:rPr>
                <w:rFonts w:hint="default" w:ascii="宋体" w:hAnsi="宋体"/>
                <w:kern w:val="0"/>
              </w:rPr>
            </w:pPr>
            <w:r>
              <w:rPr>
                <w:rFonts w:hint="eastAsia" w:ascii="宋体" w:hAnsi="宋体"/>
                <w:kern w:val="0"/>
              </w:rPr>
              <w:t>4.《人民币境外放款存量情况表》（内容包括：人民币境外放款余额及逐笔明细信息等）。</w:t>
            </w:r>
          </w:p>
          <w:p>
            <w:pPr>
              <w:widowControl/>
              <w:snapToGrid w:val="0"/>
              <w:jc w:val="left"/>
              <w:rPr>
                <w:rFonts w:hint="default" w:ascii="宋体" w:hAnsi="宋体"/>
                <w:kern w:val="0"/>
              </w:rPr>
            </w:pPr>
            <w:r>
              <w:rPr>
                <w:rFonts w:hint="eastAsia" w:ascii="宋体" w:hAnsi="宋体"/>
                <w:kern w:val="0"/>
              </w:rPr>
              <w:t>5.人民银行有关部门、外汇局要求补充的其他材料。</w:t>
            </w:r>
          </w:p>
          <w:p>
            <w:pPr>
              <w:widowControl/>
              <w:snapToGrid w:val="0"/>
              <w:jc w:val="left"/>
              <w:rPr>
                <w:rFonts w:hint="default" w:ascii="宋体" w:hAnsi="宋体"/>
                <w:kern w:val="0"/>
              </w:rPr>
            </w:pPr>
            <w:r>
              <w:rPr>
                <w:rFonts w:hint="eastAsia" w:ascii="宋体" w:hAnsi="宋体"/>
                <w:kern w:val="0"/>
              </w:rPr>
              <w:t>二、注销登记</w:t>
            </w:r>
          </w:p>
          <w:p>
            <w:pPr>
              <w:widowControl/>
              <w:snapToGrid w:val="0"/>
              <w:jc w:val="left"/>
              <w:rPr>
                <w:rFonts w:hint="default" w:ascii="宋体" w:hAnsi="宋体"/>
                <w:kern w:val="0"/>
              </w:rPr>
            </w:pPr>
            <w:r>
              <w:rPr>
                <w:rFonts w:hint="eastAsia" w:ascii="宋体" w:hAnsi="宋体"/>
                <w:kern w:val="0"/>
              </w:rPr>
              <w:t>1.《境外放款登记业务申请表》。</w:t>
            </w:r>
          </w:p>
          <w:p>
            <w:pPr>
              <w:widowControl/>
              <w:snapToGrid w:val="0"/>
              <w:jc w:val="left"/>
              <w:rPr>
                <w:rFonts w:hint="default" w:ascii="宋体" w:hAnsi="宋体"/>
                <w:kern w:val="0"/>
              </w:rPr>
            </w:pPr>
            <w:r>
              <w:rPr>
                <w:rFonts w:hint="eastAsia" w:ascii="宋体" w:hAnsi="宋体"/>
                <w:kern w:val="0"/>
              </w:rPr>
              <w:t>2.如确有客观原因无法收回境外放款本息的，需提交相关证明材料。</w:t>
            </w:r>
          </w:p>
          <w:p>
            <w:pPr>
              <w:widowControl/>
              <w:snapToGrid w:val="0"/>
              <w:jc w:val="left"/>
              <w:rPr>
                <w:rFonts w:hint="default" w:ascii="宋体" w:hAnsi="宋体"/>
                <w:kern w:val="0"/>
              </w:rPr>
            </w:pPr>
            <w:r>
              <w:rPr>
                <w:rFonts w:hint="eastAsia" w:ascii="宋体" w:hAnsi="宋体"/>
                <w:kern w:val="0"/>
              </w:rPr>
              <w:t>3.注销人民币境外放款的需要提交相关跨境部门的确认材料。</w:t>
            </w:r>
          </w:p>
          <w:p>
            <w:pPr>
              <w:widowControl/>
              <w:snapToGrid w:val="0"/>
              <w:jc w:val="left"/>
              <w:rPr>
                <w:rFonts w:hint="default"/>
                <w:kern w:val="0"/>
                <w:sz w:val="20"/>
              </w:rPr>
            </w:pPr>
            <w:r>
              <w:rPr>
                <w:rFonts w:hint="eastAsia" w:ascii="宋体" w:hAnsi="宋体"/>
                <w:kern w:val="0"/>
              </w:rPr>
              <w:t>4.人民银行有关部门、外汇局要求补充的其他材料。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46" w:hRule="atLeast"/>
          <w:jc w:val="center"/>
        </w:trPr>
        <w:tc>
          <w:tcPr>
            <w:tcW w:w="1093" w:type="dxa"/>
            <w:tcBorders>
              <w:top w:val="single" w:color="000000" w:sz="4" w:space="0"/>
              <w:left w:val="single" w:color="000000" w:sz="4" w:space="0"/>
              <w:bottom w:val="single" w:color="000000" w:sz="4" w:space="0"/>
              <w:right w:val="single" w:color="000000" w:sz="4" w:space="0"/>
            </w:tcBorders>
            <w:vAlign w:val="center"/>
          </w:tcPr>
          <w:p>
            <w:pPr>
              <w:widowControl/>
              <w:snapToGrid w:val="0"/>
              <w:jc w:val="left"/>
              <w:rPr>
                <w:rFonts w:hint="default"/>
                <w:kern w:val="0"/>
                <w:sz w:val="20"/>
              </w:rPr>
            </w:pPr>
            <w:r>
              <w:rPr>
                <w:rFonts w:ascii="宋体" w:hAnsi="宋体"/>
                <w:kern w:val="0"/>
              </w:rPr>
              <w:t>办理地点</w:t>
            </w:r>
          </w:p>
        </w:tc>
        <w:tc>
          <w:tcPr>
            <w:tcW w:w="7412" w:type="dxa"/>
            <w:tcBorders>
              <w:top w:val="single" w:color="000000" w:sz="4" w:space="0"/>
              <w:left w:val="nil"/>
              <w:bottom w:val="single" w:color="000000" w:sz="4" w:space="0"/>
              <w:right w:val="single" w:color="000000" w:sz="4" w:space="0"/>
            </w:tcBorders>
            <w:vAlign w:val="top"/>
          </w:tcPr>
          <w:p>
            <w:pPr>
              <w:widowControl/>
              <w:snapToGrid w:val="0"/>
              <w:jc w:val="left"/>
              <w:rPr>
                <w:rFonts w:hint="default"/>
                <w:kern w:val="0"/>
              </w:rPr>
            </w:pPr>
            <w:r>
              <w:rPr>
                <w:rFonts w:ascii="宋体" w:hAnsi="宋体"/>
                <w:kern w:val="0"/>
              </w:rPr>
              <w:t>国家外汇管理局青海省分局外汇管理处资本科（西宁市昆仑路3号人民银行政务大厅）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jc w:val="center"/>
        </w:trPr>
        <w:tc>
          <w:tcPr>
            <w:tcW w:w="1093" w:type="dxa"/>
            <w:tcBorders>
              <w:top w:val="single" w:color="000000" w:sz="4" w:space="0"/>
              <w:left w:val="single" w:color="000000" w:sz="4" w:space="0"/>
              <w:bottom w:val="single" w:color="000000" w:sz="4" w:space="0"/>
              <w:right w:val="single" w:color="000000" w:sz="4" w:space="0"/>
            </w:tcBorders>
            <w:vAlign w:val="center"/>
          </w:tcPr>
          <w:p>
            <w:pPr>
              <w:widowControl/>
              <w:snapToGrid w:val="0"/>
              <w:jc w:val="left"/>
              <w:rPr>
                <w:rFonts w:hint="default"/>
                <w:kern w:val="0"/>
                <w:sz w:val="20"/>
              </w:rPr>
            </w:pPr>
            <w:r>
              <w:rPr>
                <w:rFonts w:ascii="宋体" w:hAnsi="宋体"/>
                <w:kern w:val="0"/>
              </w:rPr>
              <w:t>办理时间</w:t>
            </w:r>
          </w:p>
          <w:p>
            <w:pPr>
              <w:widowControl/>
              <w:spacing w:line="271" w:lineRule="auto"/>
              <w:jc w:val="center"/>
              <w:rPr>
                <w:rFonts w:hint="default" w:ascii="Times New Roman" w:eastAsia="Times New Roman"/>
                <w:b/>
                <w:kern w:val="0"/>
              </w:rPr>
            </w:pPr>
          </w:p>
        </w:tc>
        <w:tc>
          <w:tcPr>
            <w:tcW w:w="7412" w:type="dxa"/>
            <w:tcBorders>
              <w:top w:val="single" w:color="000000" w:sz="4" w:space="0"/>
              <w:left w:val="nil"/>
              <w:bottom w:val="single" w:color="000000" w:sz="4" w:space="0"/>
              <w:right w:val="single" w:color="000000" w:sz="4" w:space="0"/>
            </w:tcBorders>
            <w:vAlign w:val="top"/>
          </w:tcPr>
          <w:p>
            <w:pPr>
              <w:widowControl/>
              <w:snapToGrid w:val="0"/>
              <w:jc w:val="left"/>
              <w:rPr>
                <w:rFonts w:hint="default"/>
                <w:kern w:val="0"/>
              </w:rPr>
            </w:pPr>
            <w:r>
              <w:rPr>
                <w:rFonts w:ascii="宋体" w:hAnsi="宋体"/>
                <w:kern w:val="0"/>
              </w:rPr>
              <w:t>周一至周五（法定节假日除外）</w:t>
            </w:r>
          </w:p>
          <w:p>
            <w:pPr>
              <w:widowControl/>
              <w:snapToGrid w:val="0"/>
              <w:jc w:val="left"/>
              <w:rPr>
                <w:rFonts w:hint="default"/>
                <w:kern w:val="0"/>
                <w:sz w:val="20"/>
              </w:rPr>
            </w:pPr>
            <w:r>
              <w:rPr>
                <w:rFonts w:ascii="宋体" w:hAnsi="宋体"/>
                <w:kern w:val="0"/>
              </w:rPr>
              <w:t>上午8：30-11：30，下午2：00-5：30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jc w:val="center"/>
        </w:trPr>
        <w:tc>
          <w:tcPr>
            <w:tcW w:w="1093" w:type="dxa"/>
            <w:tcBorders>
              <w:top w:val="single" w:color="000000" w:sz="4" w:space="0"/>
              <w:left w:val="single" w:color="000000" w:sz="4" w:space="0"/>
              <w:bottom w:val="single" w:color="000000" w:sz="4" w:space="0"/>
              <w:right w:val="single" w:color="000000" w:sz="4" w:space="0"/>
            </w:tcBorders>
            <w:vAlign w:val="center"/>
          </w:tcPr>
          <w:p>
            <w:pPr>
              <w:widowControl/>
              <w:snapToGrid w:val="0"/>
              <w:jc w:val="left"/>
              <w:rPr>
                <w:rFonts w:hint="default"/>
                <w:kern w:val="0"/>
                <w:sz w:val="20"/>
              </w:rPr>
            </w:pPr>
            <w:r>
              <w:rPr>
                <w:rFonts w:ascii="宋体" w:hAnsi="宋体"/>
                <w:kern w:val="0"/>
              </w:rPr>
              <w:t>联系电话</w:t>
            </w:r>
          </w:p>
        </w:tc>
        <w:tc>
          <w:tcPr>
            <w:tcW w:w="7412" w:type="dxa"/>
            <w:tcBorders>
              <w:top w:val="single" w:color="000000" w:sz="4" w:space="0"/>
              <w:left w:val="nil"/>
              <w:bottom w:val="single" w:color="000000" w:sz="4" w:space="0"/>
              <w:right w:val="single" w:color="000000" w:sz="4" w:space="0"/>
            </w:tcBorders>
            <w:vAlign w:val="top"/>
          </w:tcPr>
          <w:p>
            <w:pPr>
              <w:widowControl/>
              <w:snapToGrid w:val="0"/>
              <w:jc w:val="left"/>
              <w:rPr>
                <w:rFonts w:hint="default"/>
                <w:kern w:val="0"/>
              </w:rPr>
            </w:pPr>
            <w:r>
              <w:rPr>
                <w:rFonts w:ascii="宋体" w:hAnsi="宋体"/>
                <w:kern w:val="0"/>
              </w:rPr>
              <w:t>0971-6126143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jc w:val="center"/>
        </w:trPr>
        <w:tc>
          <w:tcPr>
            <w:tcW w:w="1093" w:type="dxa"/>
            <w:tcBorders>
              <w:top w:val="single" w:color="000000" w:sz="4" w:space="0"/>
              <w:left w:val="single" w:color="000000" w:sz="4" w:space="0"/>
              <w:bottom w:val="single" w:color="000000" w:sz="4" w:space="0"/>
              <w:right w:val="single" w:color="000000" w:sz="4" w:space="0"/>
            </w:tcBorders>
            <w:vAlign w:val="center"/>
          </w:tcPr>
          <w:p>
            <w:pPr>
              <w:widowControl/>
              <w:snapToGrid w:val="0"/>
              <w:jc w:val="left"/>
              <w:rPr>
                <w:rFonts w:hint="default"/>
                <w:kern w:val="0"/>
                <w:sz w:val="20"/>
              </w:rPr>
            </w:pPr>
            <w:r>
              <w:rPr>
                <w:rFonts w:ascii="宋体" w:hAnsi="宋体"/>
                <w:kern w:val="0"/>
              </w:rPr>
              <w:t>办理流程</w:t>
            </w:r>
          </w:p>
        </w:tc>
        <w:tc>
          <w:tcPr>
            <w:tcW w:w="7412" w:type="dxa"/>
            <w:tcBorders>
              <w:top w:val="single" w:color="000000" w:sz="4" w:space="0"/>
              <w:left w:val="nil"/>
              <w:bottom w:val="single" w:color="000000" w:sz="4" w:space="0"/>
              <w:right w:val="single" w:color="000000" w:sz="4" w:space="0"/>
            </w:tcBorders>
            <w:vAlign w:val="top"/>
          </w:tcPr>
          <w:p>
            <w:pPr>
              <w:widowControl/>
              <w:snapToGrid w:val="0"/>
              <w:jc w:val="left"/>
              <w:rPr>
                <w:rFonts w:hint="default"/>
                <w:kern w:val="0"/>
              </w:rPr>
            </w:pPr>
            <w:r>
              <w:rPr>
                <w:rFonts w:ascii="宋体" w:hAnsi="宋体"/>
                <w:kern w:val="0"/>
              </w:rPr>
              <w:t>1.企业提交材料；</w:t>
            </w:r>
          </w:p>
          <w:p>
            <w:pPr>
              <w:widowControl/>
              <w:snapToGrid w:val="0"/>
              <w:jc w:val="left"/>
              <w:rPr>
                <w:rFonts w:hint="default"/>
                <w:kern w:val="0"/>
                <w:sz w:val="20"/>
              </w:rPr>
            </w:pPr>
            <w:r>
              <w:rPr>
                <w:rFonts w:ascii="宋体" w:hAnsi="宋体"/>
                <w:kern w:val="0"/>
              </w:rPr>
              <w:t>2.材料齐全当日办结，特殊情况</w:t>
            </w:r>
            <w:r>
              <w:rPr>
                <w:rFonts w:hint="eastAsia" w:ascii="宋体" w:hAnsi="宋体"/>
                <w:kern w:val="0"/>
              </w:rPr>
              <w:t>10个工作日。</w:t>
            </w:r>
          </w:p>
        </w:tc>
      </w:tr>
    </w:tbl>
    <w:p>
      <w:pPr>
        <w:widowControl/>
        <w:rPr>
          <w:rFonts w:hint="default"/>
          <w:kern w:val="0"/>
        </w:rPr>
      </w:pPr>
    </w:p>
    <w:p>
      <w:pPr>
        <w:widowControl/>
        <w:rPr>
          <w:rFonts w:hint="default"/>
          <w:kern w:val="0"/>
        </w:rPr>
      </w:pPr>
    </w:p>
    <w:p>
      <w:pPr>
        <w:widowControl/>
        <w:rPr>
          <w:rFonts w:hint="default"/>
          <w:kern w:val="0"/>
        </w:rPr>
      </w:pPr>
    </w:p>
    <w:p>
      <w:pPr>
        <w:widowControl/>
        <w:rPr>
          <w:rFonts w:hint="default"/>
          <w:kern w:val="0"/>
        </w:rPr>
      </w:pPr>
    </w:p>
    <w:p>
      <w:pPr>
        <w:widowControl/>
        <w:rPr>
          <w:rFonts w:hint="default"/>
          <w:kern w:val="0"/>
        </w:rPr>
      </w:pPr>
    </w:p>
    <w:p>
      <w:pPr>
        <w:widowControl/>
        <w:rPr>
          <w:rFonts w:hint="default"/>
          <w:kern w:val="0"/>
        </w:rPr>
      </w:pPr>
    </w:p>
    <w:p>
      <w:pPr>
        <w:widowControl/>
        <w:rPr>
          <w:rFonts w:hint="default"/>
          <w:kern w:val="0"/>
        </w:rPr>
      </w:pPr>
    </w:p>
    <w:p>
      <w:pPr>
        <w:widowControl/>
        <w:rPr>
          <w:rFonts w:hint="default"/>
          <w:kern w:val="0"/>
        </w:rPr>
      </w:pPr>
    </w:p>
    <w:p>
      <w:pPr>
        <w:widowControl/>
        <w:rPr>
          <w:rFonts w:hint="default"/>
          <w:kern w:val="0"/>
        </w:rPr>
      </w:pPr>
    </w:p>
    <w:p>
      <w:pPr>
        <w:widowControl/>
        <w:rPr>
          <w:rFonts w:hint="default"/>
          <w:kern w:val="0"/>
        </w:rPr>
      </w:pPr>
    </w:p>
    <w:p>
      <w:pPr>
        <w:widowControl/>
        <w:rPr>
          <w:rFonts w:hint="default"/>
          <w:kern w:val="0"/>
        </w:rPr>
      </w:pPr>
    </w:p>
    <w:p>
      <w:pPr>
        <w:widowControl/>
        <w:rPr>
          <w:rFonts w:hint="default"/>
          <w:kern w:val="0"/>
        </w:rPr>
      </w:pPr>
    </w:p>
    <w:p>
      <w:pPr>
        <w:widowControl/>
        <w:rPr>
          <w:rFonts w:hint="default"/>
          <w:kern w:val="0"/>
        </w:rPr>
      </w:pPr>
    </w:p>
    <w:p>
      <w:pPr>
        <w:widowControl/>
        <w:rPr>
          <w:rFonts w:hint="default"/>
          <w:kern w:val="0"/>
        </w:rPr>
      </w:pPr>
    </w:p>
    <w:p>
      <w:pPr>
        <w:widowControl/>
        <w:rPr>
          <w:rFonts w:hint="default"/>
          <w:kern w:val="0"/>
        </w:rPr>
      </w:pPr>
    </w:p>
    <w:p>
      <w:pPr>
        <w:widowControl/>
        <w:rPr>
          <w:rFonts w:hint="default"/>
          <w:kern w:val="0"/>
        </w:rPr>
      </w:pPr>
    </w:p>
    <w:p>
      <w:pPr>
        <w:widowControl/>
        <w:rPr>
          <w:rFonts w:hint="default"/>
          <w:kern w:val="0"/>
        </w:rPr>
      </w:pPr>
    </w:p>
    <w:p>
      <w:pPr>
        <w:widowControl/>
        <w:rPr>
          <w:rFonts w:hint="default"/>
          <w:kern w:val="0"/>
        </w:rPr>
      </w:pPr>
    </w:p>
    <w:p>
      <w:pPr>
        <w:widowControl/>
        <w:rPr>
          <w:rFonts w:hint="default"/>
          <w:kern w:val="0"/>
        </w:rPr>
      </w:pPr>
    </w:p>
    <w:p>
      <w:pPr>
        <w:widowControl/>
        <w:rPr>
          <w:rFonts w:hint="default"/>
          <w:kern w:val="0"/>
        </w:rPr>
      </w:pPr>
    </w:p>
    <w:p>
      <w:pPr>
        <w:widowControl/>
        <w:rPr>
          <w:rFonts w:hint="default"/>
          <w:kern w:val="0"/>
        </w:rPr>
      </w:pPr>
    </w:p>
    <w:p>
      <w:pPr>
        <w:widowControl/>
        <w:rPr>
          <w:rFonts w:hint="default"/>
          <w:kern w:val="0"/>
        </w:rPr>
      </w:pPr>
    </w:p>
    <w:p>
      <w:pPr>
        <w:widowControl/>
        <w:rPr>
          <w:rFonts w:hint="default"/>
          <w:kern w:val="0"/>
        </w:rPr>
      </w:pPr>
    </w:p>
    <w:p>
      <w:pPr>
        <w:widowControl/>
        <w:rPr>
          <w:rFonts w:hint="default"/>
          <w:kern w:val="0"/>
        </w:rPr>
      </w:pPr>
    </w:p>
    <w:p>
      <w:pPr>
        <w:widowControl/>
        <w:rPr>
          <w:rFonts w:hint="default"/>
          <w:kern w:val="0"/>
        </w:rPr>
      </w:pPr>
    </w:p>
    <w:p>
      <w:pPr>
        <w:widowControl/>
        <w:rPr>
          <w:rFonts w:hint="default"/>
          <w:kern w:val="0"/>
        </w:rPr>
      </w:pPr>
    </w:p>
    <w:p>
      <w:pPr>
        <w:widowControl/>
        <w:rPr>
          <w:rFonts w:hint="default"/>
          <w:kern w:val="0"/>
        </w:rPr>
      </w:pPr>
    </w:p>
    <w:p>
      <w:pPr>
        <w:widowControl/>
        <w:rPr>
          <w:rFonts w:hint="default"/>
          <w:kern w:val="0"/>
        </w:rPr>
      </w:pPr>
    </w:p>
    <w:p>
      <w:pPr>
        <w:widowControl/>
        <w:rPr>
          <w:rFonts w:hint="default"/>
          <w:kern w:val="0"/>
        </w:rPr>
      </w:pPr>
    </w:p>
    <w:p>
      <w:pPr>
        <w:widowControl/>
        <w:rPr>
          <w:rFonts w:hint="default"/>
          <w:kern w:val="0"/>
        </w:rPr>
      </w:pPr>
    </w:p>
    <w:p>
      <w:pPr>
        <w:widowControl/>
        <w:rPr>
          <w:rFonts w:hint="default"/>
          <w:kern w:val="0"/>
        </w:rPr>
      </w:pPr>
    </w:p>
    <w:p>
      <w:pPr>
        <w:widowControl/>
        <w:rPr>
          <w:rFonts w:hint="default"/>
          <w:kern w:val="0"/>
        </w:rPr>
      </w:pPr>
    </w:p>
    <w:p>
      <w:pPr>
        <w:widowControl/>
        <w:rPr>
          <w:rFonts w:hint="default"/>
          <w:kern w:val="0"/>
        </w:rPr>
      </w:pPr>
    </w:p>
    <w:p>
      <w:pPr>
        <w:widowControl/>
        <w:rPr>
          <w:rFonts w:hint="default"/>
          <w:kern w:val="0"/>
        </w:rPr>
      </w:pPr>
    </w:p>
    <w:p>
      <w:pPr>
        <w:widowControl/>
        <w:rPr>
          <w:rFonts w:hint="default"/>
          <w:kern w:val="0"/>
        </w:rPr>
      </w:pPr>
    </w:p>
    <w:p>
      <w:pPr>
        <w:widowControl/>
        <w:rPr>
          <w:rFonts w:hint="default"/>
          <w:kern w:val="0"/>
        </w:rPr>
      </w:pPr>
    </w:p>
    <w:p>
      <w:pPr>
        <w:widowControl/>
        <w:rPr>
          <w:rFonts w:hint="default"/>
          <w:kern w:val="0"/>
        </w:rPr>
      </w:pPr>
    </w:p>
    <w:p>
      <w:pPr>
        <w:widowControl/>
        <w:rPr>
          <w:rFonts w:hint="default"/>
          <w:kern w:val="0"/>
        </w:rPr>
      </w:pPr>
    </w:p>
    <w:p>
      <w:pPr>
        <w:widowControl/>
        <w:rPr>
          <w:rFonts w:hint="default"/>
          <w:kern w:val="0"/>
        </w:rPr>
      </w:pPr>
    </w:p>
    <w:p>
      <w:pPr>
        <w:widowControl/>
        <w:rPr>
          <w:rFonts w:hint="default"/>
          <w:kern w:val="0"/>
        </w:rPr>
      </w:pPr>
    </w:p>
    <w:p>
      <w:pPr>
        <w:widowControl/>
        <w:rPr>
          <w:rFonts w:hint="default"/>
          <w:kern w:val="0"/>
        </w:rPr>
      </w:pPr>
    </w:p>
    <w:p>
      <w:pPr>
        <w:widowControl/>
        <w:rPr>
          <w:rFonts w:hint="default"/>
          <w:kern w:val="0"/>
        </w:rPr>
      </w:pPr>
    </w:p>
    <w:p>
      <w:pPr>
        <w:widowControl/>
        <w:rPr>
          <w:rFonts w:hint="default"/>
          <w:kern w:val="0"/>
        </w:rPr>
      </w:pPr>
    </w:p>
    <w:p>
      <w:pPr>
        <w:widowControl/>
        <w:rPr>
          <w:rFonts w:hint="default"/>
          <w:kern w:val="0"/>
        </w:rPr>
      </w:pPr>
    </w:p>
    <w:p>
      <w:pPr>
        <w:widowControl/>
        <w:rPr>
          <w:rFonts w:hint="default"/>
          <w:kern w:val="0"/>
        </w:rPr>
      </w:pPr>
    </w:p>
    <w:p>
      <w:pPr>
        <w:widowControl/>
        <w:rPr>
          <w:rFonts w:hint="default"/>
          <w:kern w:val="0"/>
        </w:rPr>
      </w:pPr>
    </w:p>
    <w:p>
      <w:pPr>
        <w:widowControl/>
        <w:rPr>
          <w:rFonts w:hint="default"/>
          <w:kern w:val="0"/>
        </w:rPr>
      </w:pPr>
    </w:p>
    <w:p>
      <w:pPr>
        <w:widowControl/>
        <w:rPr>
          <w:rFonts w:hint="default"/>
          <w:kern w:val="0"/>
        </w:rPr>
      </w:pPr>
    </w:p>
    <w:p>
      <w:pPr>
        <w:widowControl/>
        <w:rPr>
          <w:rFonts w:hint="default"/>
          <w:kern w:val="0"/>
        </w:rPr>
      </w:pPr>
    </w:p>
    <w:tbl>
      <w:tblPr>
        <w:tblStyle w:val="16"/>
        <w:tblW w:w="850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093"/>
        <w:gridCol w:w="741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jc w:val="center"/>
        </w:trPr>
        <w:tc>
          <w:tcPr>
            <w:tcW w:w="1093" w:type="dxa"/>
            <w:tcBorders>
              <w:top w:val="single" w:color="000000" w:sz="4" w:space="0"/>
              <w:left w:val="single" w:color="000000" w:sz="4" w:space="0"/>
              <w:bottom w:val="single" w:color="000000" w:sz="4" w:space="0"/>
              <w:right w:val="single" w:color="000000" w:sz="4" w:space="0"/>
            </w:tcBorders>
            <w:vAlign w:val="center"/>
          </w:tcPr>
          <w:p>
            <w:pPr>
              <w:widowControl/>
              <w:snapToGrid w:val="0"/>
              <w:jc w:val="left"/>
              <w:rPr>
                <w:rFonts w:hint="default"/>
                <w:kern w:val="0"/>
                <w:sz w:val="20"/>
              </w:rPr>
            </w:pPr>
            <w:r>
              <w:rPr>
                <w:rFonts w:ascii="宋体" w:hAnsi="宋体"/>
                <w:kern w:val="0"/>
              </w:rPr>
              <w:t>业务名称</w:t>
            </w:r>
          </w:p>
        </w:tc>
        <w:tc>
          <w:tcPr>
            <w:tcW w:w="7412" w:type="dxa"/>
            <w:tcBorders>
              <w:top w:val="single" w:color="000000" w:sz="4" w:space="0"/>
              <w:left w:val="nil"/>
              <w:bottom w:val="single" w:color="000000" w:sz="4" w:space="0"/>
              <w:right w:val="single" w:color="000000" w:sz="4" w:space="0"/>
            </w:tcBorders>
            <w:vAlign w:val="center"/>
          </w:tcPr>
          <w:p>
            <w:pPr>
              <w:widowControl/>
              <w:snapToGrid w:val="0"/>
              <w:jc w:val="left"/>
              <w:rPr>
                <w:rFonts w:hint="default"/>
                <w:b/>
                <w:kern w:val="0"/>
                <w:sz w:val="20"/>
              </w:rPr>
            </w:pPr>
            <w:r>
              <w:rPr>
                <w:rFonts w:ascii="宋体" w:hAnsi="宋体"/>
                <w:b/>
                <w:kern w:val="0"/>
              </w:rPr>
              <w:t>（十</w:t>
            </w:r>
            <w:r>
              <w:rPr>
                <w:rFonts w:hint="eastAsia" w:ascii="宋体" w:hAnsi="宋体"/>
                <w:b/>
                <w:kern w:val="0"/>
                <w:lang w:eastAsia="zh-CN"/>
              </w:rPr>
              <w:t>五</w:t>
            </w:r>
            <w:r>
              <w:rPr>
                <w:rFonts w:ascii="宋体" w:hAnsi="宋体"/>
                <w:b/>
                <w:kern w:val="0"/>
              </w:rPr>
              <w:t>）</w:t>
            </w:r>
            <w:r>
              <w:rPr>
                <w:rFonts w:hint="eastAsia" w:ascii="宋体" w:hAnsi="宋体"/>
                <w:b/>
                <w:kern w:val="0"/>
              </w:rPr>
              <w:t>境内公司境外上市登记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600" w:hRule="atLeast"/>
          <w:jc w:val="center"/>
        </w:trPr>
        <w:tc>
          <w:tcPr>
            <w:tcW w:w="1093" w:type="dxa"/>
            <w:tcBorders>
              <w:top w:val="single" w:color="000000" w:sz="4" w:space="0"/>
              <w:left w:val="single" w:color="000000" w:sz="4" w:space="0"/>
              <w:bottom w:val="single" w:color="000000" w:sz="4" w:space="0"/>
              <w:right w:val="single" w:color="000000" w:sz="4" w:space="0"/>
            </w:tcBorders>
            <w:vAlign w:val="center"/>
          </w:tcPr>
          <w:p>
            <w:pPr>
              <w:widowControl/>
              <w:snapToGrid w:val="0"/>
              <w:jc w:val="left"/>
              <w:rPr>
                <w:rFonts w:hint="default"/>
                <w:kern w:val="0"/>
                <w:sz w:val="20"/>
              </w:rPr>
            </w:pPr>
            <w:r>
              <w:rPr>
                <w:rFonts w:ascii="宋体" w:hAnsi="宋体"/>
                <w:kern w:val="0"/>
              </w:rPr>
              <w:t>设定依据</w:t>
            </w:r>
          </w:p>
          <w:p>
            <w:pPr>
              <w:widowControl/>
              <w:spacing w:line="271" w:lineRule="auto"/>
              <w:jc w:val="center"/>
              <w:rPr>
                <w:rFonts w:hint="default" w:ascii="Times New Roman" w:eastAsia="Times New Roman"/>
                <w:b/>
                <w:kern w:val="0"/>
              </w:rPr>
            </w:pPr>
          </w:p>
        </w:tc>
        <w:tc>
          <w:tcPr>
            <w:tcW w:w="7412" w:type="dxa"/>
            <w:tcBorders>
              <w:top w:val="single" w:color="000000" w:sz="4" w:space="0"/>
              <w:left w:val="nil"/>
              <w:bottom w:val="single" w:color="000000" w:sz="4" w:space="0"/>
              <w:right w:val="single" w:color="000000" w:sz="4" w:space="0"/>
            </w:tcBorders>
            <w:vAlign w:val="center"/>
          </w:tcPr>
          <w:p>
            <w:pPr>
              <w:widowControl/>
              <w:snapToGrid w:val="0"/>
              <w:jc w:val="left"/>
              <w:rPr>
                <w:rFonts w:hint="eastAsia" w:ascii="宋体" w:hAnsi="宋体"/>
                <w:kern w:val="0"/>
              </w:rPr>
            </w:pPr>
            <w:r>
              <w:rPr>
                <w:rFonts w:hint="eastAsia" w:ascii="宋体" w:hAnsi="宋体"/>
                <w:kern w:val="0"/>
              </w:rPr>
              <w:t>1.《中华人民共和国外汇管理条例》（国务院令第532号）。</w:t>
            </w:r>
          </w:p>
          <w:p>
            <w:pPr>
              <w:widowControl/>
              <w:snapToGrid w:val="0"/>
              <w:jc w:val="left"/>
              <w:rPr>
                <w:rFonts w:hint="eastAsia" w:ascii="宋体" w:hAnsi="宋体"/>
                <w:kern w:val="0"/>
              </w:rPr>
            </w:pPr>
            <w:r>
              <w:rPr>
                <w:rFonts w:hint="eastAsia" w:ascii="宋体" w:hAnsi="宋体"/>
                <w:kern w:val="0"/>
              </w:rPr>
              <w:t>2.《减持国有股筹集社会保障资金管理暂行办法》（国发〔2001〕22号）。</w:t>
            </w:r>
          </w:p>
          <w:p>
            <w:pPr>
              <w:widowControl/>
              <w:snapToGrid w:val="0"/>
              <w:jc w:val="left"/>
              <w:rPr>
                <w:rFonts w:hint="eastAsia" w:ascii="宋体" w:hAnsi="宋体"/>
                <w:kern w:val="0"/>
              </w:rPr>
            </w:pPr>
            <w:r>
              <w:rPr>
                <w:rFonts w:hint="eastAsia" w:ascii="宋体" w:hAnsi="宋体"/>
                <w:kern w:val="0"/>
              </w:rPr>
              <w:t>3.《国家外汇管理局关于境外上市外汇管理有关问题的通知》（汇发〔2014〕54号）。</w:t>
            </w:r>
          </w:p>
          <w:p>
            <w:pPr>
              <w:widowControl/>
              <w:snapToGrid w:val="0"/>
              <w:jc w:val="left"/>
              <w:rPr>
                <w:rFonts w:hint="default"/>
                <w:kern w:val="0"/>
                <w:sz w:val="20"/>
              </w:rPr>
            </w:pPr>
            <w:r>
              <w:rPr>
                <w:rFonts w:hint="eastAsia" w:ascii="宋体" w:hAnsi="宋体"/>
                <w:kern w:val="0"/>
              </w:rPr>
              <w:t>4.其他相关法规。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jc w:val="center"/>
        </w:trPr>
        <w:tc>
          <w:tcPr>
            <w:tcW w:w="1093"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rFonts w:ascii="宋体" w:hAnsi="宋体"/>
                <w:kern w:val="0"/>
              </w:rPr>
            </w:pPr>
            <w:r>
              <w:rPr>
                <w:rFonts w:ascii="宋体" w:hAnsi="宋体"/>
                <w:kern w:val="0"/>
              </w:rPr>
              <w:t>申请条件</w:t>
            </w:r>
          </w:p>
          <w:p>
            <w:pPr>
              <w:widowControl/>
              <w:snapToGrid w:val="0"/>
              <w:jc w:val="center"/>
              <w:rPr>
                <w:rFonts w:hint="eastAsia" w:ascii="宋体" w:hAnsi="宋体"/>
                <w:kern w:val="0"/>
                <w:lang w:val="en-US" w:eastAsia="zh-CN"/>
              </w:rPr>
            </w:pPr>
            <w:r>
              <w:rPr>
                <w:rFonts w:hint="eastAsia" w:ascii="宋体" w:hAnsi="宋体"/>
                <w:kern w:val="0"/>
                <w:lang w:val="en-US" w:eastAsia="zh-CN"/>
              </w:rPr>
              <w:t>及</w:t>
            </w:r>
          </w:p>
          <w:p>
            <w:pPr>
              <w:widowControl/>
              <w:snapToGrid w:val="0"/>
              <w:jc w:val="center"/>
              <w:rPr>
                <w:rFonts w:hint="eastAsia" w:ascii="宋体" w:hAnsi="宋体" w:eastAsia="宋体"/>
                <w:kern w:val="0"/>
                <w:lang w:val="en-US" w:eastAsia="zh-CN"/>
              </w:rPr>
            </w:pPr>
            <w:r>
              <w:rPr>
                <w:rFonts w:hint="eastAsia" w:ascii="宋体" w:hAnsi="宋体"/>
                <w:kern w:val="0"/>
                <w:lang w:val="en-US" w:eastAsia="zh-CN"/>
              </w:rPr>
              <w:t>注意事项</w:t>
            </w:r>
          </w:p>
        </w:tc>
        <w:tc>
          <w:tcPr>
            <w:tcW w:w="7412" w:type="dxa"/>
            <w:tcBorders>
              <w:top w:val="single" w:color="000000" w:sz="4" w:space="0"/>
              <w:left w:val="nil"/>
              <w:bottom w:val="single" w:color="000000" w:sz="4" w:space="0"/>
              <w:right w:val="single" w:color="000000" w:sz="4" w:space="0"/>
            </w:tcBorders>
            <w:vAlign w:val="center"/>
          </w:tcPr>
          <w:p>
            <w:pPr>
              <w:widowControl/>
              <w:snapToGrid w:val="0"/>
              <w:jc w:val="left"/>
              <w:rPr>
                <w:rFonts w:ascii="宋体" w:hAnsi="宋体"/>
                <w:kern w:val="0"/>
              </w:rPr>
            </w:pPr>
            <w:r>
              <w:rPr>
                <w:rFonts w:hint="eastAsia" w:ascii="宋体" w:hAnsi="宋体"/>
                <w:kern w:val="0"/>
              </w:rPr>
              <w:t>1.境内公司回购其境外股份的，应在拟回购前20个工作日内办理回购相关信息登记，取得相应《业务登记凭证》。</w:t>
            </w:r>
          </w:p>
          <w:p>
            <w:pPr>
              <w:widowControl/>
              <w:snapToGrid w:val="0"/>
              <w:jc w:val="left"/>
              <w:rPr>
                <w:rFonts w:ascii="宋体" w:hAnsi="宋体"/>
                <w:kern w:val="0"/>
              </w:rPr>
            </w:pPr>
            <w:r>
              <w:rPr>
                <w:rFonts w:hint="eastAsia" w:ascii="宋体" w:hAnsi="宋体"/>
                <w:kern w:val="0"/>
              </w:rPr>
              <w:t>2.境内公司将募集资金调回境内或回购上市公司股票需汇出资金的，持《业务登记凭证》到银行开立境内公司境外上市专用外汇账户（账户性质代码为2404），办理相关业务的资金汇兑及划转。</w:t>
            </w:r>
          </w:p>
          <w:p>
            <w:pPr>
              <w:widowControl/>
              <w:snapToGrid w:val="0"/>
              <w:jc w:val="left"/>
              <w:rPr>
                <w:rFonts w:ascii="宋体" w:hAnsi="宋体"/>
                <w:kern w:val="0"/>
              </w:rPr>
            </w:pPr>
            <w:r>
              <w:rPr>
                <w:rFonts w:hint="eastAsia" w:ascii="宋体" w:hAnsi="宋体"/>
                <w:kern w:val="0"/>
              </w:rPr>
              <w:t>3.境内公司原则上应在其境外上市专用外汇账户开户银行开立一一对应的资本项目-结汇待支付账户（账户性质代码为2113，以下简称结汇待支付账户），用于存放境外上市专户资金结汇所得的人民币资金、以人民币形式调回的境外上市募集资金、以人民币形式汇出的回购境外股份资金和调回回购剩余资金。境内公司境外上市专用外汇账户可与在同一银行网点开立的同名资本金账户、境内资产变现账户、境内再投资账户、外债专用账户等共用一个结汇待支付账户。</w:t>
            </w:r>
          </w:p>
          <w:p>
            <w:pPr>
              <w:widowControl/>
              <w:snapToGrid w:val="0"/>
              <w:jc w:val="left"/>
              <w:rPr>
                <w:rFonts w:ascii="宋体" w:hAnsi="宋体"/>
                <w:kern w:val="0"/>
              </w:rPr>
            </w:pPr>
            <w:r>
              <w:rPr>
                <w:rFonts w:hint="eastAsia" w:ascii="宋体" w:hAnsi="宋体"/>
                <w:kern w:val="0"/>
              </w:rPr>
              <w:t>4.境内公司发行可转换为股票的公司债券以及发行非参与型优先股所募集的资金拟调回境内的，应汇入其境内外债专用账户并按外债管理有关规定办理相关手续；发行其他形式证券所募集资金拟调回境内的，应汇入其境内上市外汇专户或结汇待支付账户。</w:t>
            </w:r>
          </w:p>
          <w:p>
            <w:pPr>
              <w:widowControl/>
              <w:snapToGrid w:val="0"/>
              <w:jc w:val="left"/>
              <w:rPr>
                <w:rFonts w:hint="default"/>
                <w:kern w:val="0"/>
                <w:sz w:val="20"/>
              </w:rPr>
            </w:pPr>
            <w:r>
              <w:rPr>
                <w:rFonts w:hint="eastAsia" w:ascii="宋体" w:hAnsi="宋体"/>
                <w:kern w:val="0"/>
              </w:rPr>
              <w:t>5.境内公司因办理境外上市相关业务需要，可在境外开立相应的专用账户，境外专用账户的收支范围应符合相关要求。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jc w:val="center"/>
        </w:trPr>
        <w:tc>
          <w:tcPr>
            <w:tcW w:w="1093" w:type="dxa"/>
            <w:tcBorders>
              <w:top w:val="single" w:color="000000" w:sz="4" w:space="0"/>
              <w:left w:val="single" w:color="000000" w:sz="4" w:space="0"/>
              <w:bottom w:val="single" w:color="000000" w:sz="4" w:space="0"/>
              <w:right w:val="single" w:color="000000" w:sz="4" w:space="0"/>
            </w:tcBorders>
            <w:vAlign w:val="center"/>
          </w:tcPr>
          <w:p>
            <w:pPr>
              <w:widowControl/>
              <w:snapToGrid w:val="0"/>
              <w:jc w:val="left"/>
              <w:rPr>
                <w:rFonts w:hint="default"/>
                <w:kern w:val="0"/>
                <w:sz w:val="20"/>
              </w:rPr>
            </w:pPr>
            <w:r>
              <w:rPr>
                <w:rFonts w:ascii="宋体" w:hAnsi="宋体"/>
                <w:kern w:val="0"/>
              </w:rPr>
              <w:t>办理材料</w:t>
            </w:r>
          </w:p>
        </w:tc>
        <w:tc>
          <w:tcPr>
            <w:tcW w:w="7412" w:type="dxa"/>
            <w:tcBorders>
              <w:top w:val="single" w:color="000000" w:sz="4" w:space="0"/>
              <w:left w:val="nil"/>
              <w:bottom w:val="single" w:color="000000" w:sz="4" w:space="0"/>
              <w:right w:val="single" w:color="000000" w:sz="4" w:space="0"/>
            </w:tcBorders>
            <w:vAlign w:val="center"/>
          </w:tcPr>
          <w:p>
            <w:pPr>
              <w:widowControl/>
              <w:snapToGrid w:val="0"/>
              <w:jc w:val="left"/>
              <w:rPr>
                <w:rFonts w:ascii="宋体" w:hAnsi="宋体"/>
                <w:kern w:val="0"/>
              </w:rPr>
            </w:pPr>
            <w:r>
              <w:rPr>
                <w:rFonts w:hint="eastAsia" w:ascii="宋体" w:hAnsi="宋体"/>
                <w:kern w:val="0"/>
              </w:rPr>
              <w:t>1.书面申请，并附《境外上市登记表》。</w:t>
            </w:r>
          </w:p>
          <w:p>
            <w:pPr>
              <w:widowControl/>
              <w:snapToGrid w:val="0"/>
              <w:jc w:val="left"/>
              <w:rPr>
                <w:rFonts w:ascii="宋体" w:hAnsi="宋体"/>
                <w:kern w:val="0"/>
              </w:rPr>
            </w:pPr>
            <w:r>
              <w:rPr>
                <w:rFonts w:hint="eastAsia" w:ascii="宋体" w:hAnsi="宋体"/>
                <w:kern w:val="0"/>
              </w:rPr>
              <w:t>2.中国证监会许可境内公司境外上市的证明文件。</w:t>
            </w:r>
          </w:p>
          <w:p>
            <w:pPr>
              <w:widowControl/>
              <w:snapToGrid w:val="0"/>
              <w:jc w:val="left"/>
              <w:rPr>
                <w:rFonts w:ascii="宋体" w:hAnsi="宋体"/>
                <w:kern w:val="0"/>
              </w:rPr>
            </w:pPr>
            <w:r>
              <w:rPr>
                <w:rFonts w:hint="eastAsia" w:ascii="宋体" w:hAnsi="宋体"/>
                <w:kern w:val="0"/>
              </w:rPr>
              <w:t>3.境外发行结束的公告文件。</w:t>
            </w:r>
          </w:p>
          <w:p>
            <w:pPr>
              <w:widowControl/>
              <w:snapToGrid w:val="0"/>
              <w:jc w:val="left"/>
              <w:rPr>
                <w:rFonts w:hint="default"/>
                <w:kern w:val="0"/>
                <w:sz w:val="20"/>
              </w:rPr>
            </w:pPr>
            <w:r>
              <w:rPr>
                <w:rFonts w:hint="eastAsia" w:ascii="宋体" w:hAnsi="宋体"/>
                <w:kern w:val="0"/>
              </w:rPr>
              <w:t>4.前述材料内容不一致或不能说明交易真实性时，要求提供的补充材料。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1" w:hRule="atLeast"/>
          <w:jc w:val="center"/>
        </w:trPr>
        <w:tc>
          <w:tcPr>
            <w:tcW w:w="1093" w:type="dxa"/>
            <w:tcBorders>
              <w:top w:val="single" w:color="000000" w:sz="4" w:space="0"/>
              <w:left w:val="single" w:color="000000" w:sz="4" w:space="0"/>
              <w:bottom w:val="single" w:color="000000" w:sz="4" w:space="0"/>
              <w:right w:val="single" w:color="000000" w:sz="4" w:space="0"/>
            </w:tcBorders>
            <w:vAlign w:val="center"/>
          </w:tcPr>
          <w:p>
            <w:pPr>
              <w:widowControl/>
              <w:snapToGrid w:val="0"/>
              <w:jc w:val="left"/>
              <w:rPr>
                <w:rFonts w:hint="default"/>
                <w:kern w:val="0"/>
                <w:sz w:val="20"/>
              </w:rPr>
            </w:pPr>
            <w:r>
              <w:rPr>
                <w:rFonts w:ascii="宋体" w:hAnsi="宋体"/>
                <w:kern w:val="0"/>
              </w:rPr>
              <w:t>办理地点</w:t>
            </w:r>
          </w:p>
        </w:tc>
        <w:tc>
          <w:tcPr>
            <w:tcW w:w="7412" w:type="dxa"/>
            <w:tcBorders>
              <w:top w:val="single" w:color="000000" w:sz="4" w:space="0"/>
              <w:left w:val="nil"/>
              <w:bottom w:val="single" w:color="000000" w:sz="4" w:space="0"/>
              <w:right w:val="single" w:color="000000" w:sz="4" w:space="0"/>
            </w:tcBorders>
            <w:vAlign w:val="top"/>
          </w:tcPr>
          <w:p>
            <w:pPr>
              <w:widowControl/>
              <w:snapToGrid w:val="0"/>
              <w:jc w:val="left"/>
              <w:rPr>
                <w:rFonts w:hint="default"/>
                <w:kern w:val="0"/>
              </w:rPr>
            </w:pPr>
            <w:r>
              <w:rPr>
                <w:rFonts w:ascii="宋体" w:hAnsi="宋体"/>
                <w:kern w:val="0"/>
              </w:rPr>
              <w:t>国家外汇管理局青海省分局外汇管理处资本科（西宁市昆仑路3号人民银行政务大厅）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jc w:val="center"/>
        </w:trPr>
        <w:tc>
          <w:tcPr>
            <w:tcW w:w="1093" w:type="dxa"/>
            <w:tcBorders>
              <w:top w:val="single" w:color="000000" w:sz="4" w:space="0"/>
              <w:left w:val="single" w:color="000000" w:sz="4" w:space="0"/>
              <w:bottom w:val="single" w:color="000000" w:sz="4" w:space="0"/>
              <w:right w:val="single" w:color="000000" w:sz="4" w:space="0"/>
            </w:tcBorders>
            <w:vAlign w:val="center"/>
          </w:tcPr>
          <w:p>
            <w:pPr>
              <w:widowControl/>
              <w:snapToGrid w:val="0"/>
              <w:jc w:val="left"/>
              <w:rPr>
                <w:rFonts w:hint="default"/>
                <w:kern w:val="0"/>
                <w:sz w:val="20"/>
              </w:rPr>
            </w:pPr>
            <w:r>
              <w:rPr>
                <w:rFonts w:ascii="宋体" w:hAnsi="宋体"/>
                <w:kern w:val="0"/>
              </w:rPr>
              <w:t>办理时间</w:t>
            </w:r>
          </w:p>
          <w:p>
            <w:pPr>
              <w:widowControl/>
              <w:spacing w:line="271" w:lineRule="auto"/>
              <w:jc w:val="center"/>
              <w:rPr>
                <w:rFonts w:hint="default" w:ascii="Times New Roman" w:eastAsia="Times New Roman"/>
                <w:b/>
                <w:kern w:val="0"/>
              </w:rPr>
            </w:pPr>
          </w:p>
        </w:tc>
        <w:tc>
          <w:tcPr>
            <w:tcW w:w="7412" w:type="dxa"/>
            <w:tcBorders>
              <w:top w:val="single" w:color="000000" w:sz="4" w:space="0"/>
              <w:left w:val="nil"/>
              <w:bottom w:val="single" w:color="000000" w:sz="4" w:space="0"/>
              <w:right w:val="single" w:color="000000" w:sz="4" w:space="0"/>
            </w:tcBorders>
            <w:vAlign w:val="top"/>
          </w:tcPr>
          <w:p>
            <w:pPr>
              <w:widowControl/>
              <w:snapToGrid w:val="0"/>
              <w:jc w:val="left"/>
              <w:rPr>
                <w:rFonts w:hint="default"/>
                <w:kern w:val="0"/>
              </w:rPr>
            </w:pPr>
            <w:r>
              <w:rPr>
                <w:rFonts w:ascii="宋体" w:hAnsi="宋体"/>
                <w:kern w:val="0"/>
              </w:rPr>
              <w:t>周一至周五（法定节假日除外）</w:t>
            </w:r>
          </w:p>
          <w:p>
            <w:pPr>
              <w:widowControl/>
              <w:snapToGrid w:val="0"/>
              <w:jc w:val="left"/>
              <w:rPr>
                <w:rFonts w:hint="default"/>
                <w:kern w:val="0"/>
                <w:sz w:val="20"/>
              </w:rPr>
            </w:pPr>
            <w:r>
              <w:rPr>
                <w:rFonts w:ascii="宋体" w:hAnsi="宋体"/>
                <w:kern w:val="0"/>
              </w:rPr>
              <w:t>上午8：30-11：30，下午2：00-5：30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jc w:val="center"/>
        </w:trPr>
        <w:tc>
          <w:tcPr>
            <w:tcW w:w="1093" w:type="dxa"/>
            <w:tcBorders>
              <w:top w:val="single" w:color="000000" w:sz="4" w:space="0"/>
              <w:left w:val="single" w:color="000000" w:sz="4" w:space="0"/>
              <w:bottom w:val="single" w:color="000000" w:sz="4" w:space="0"/>
              <w:right w:val="single" w:color="000000" w:sz="4" w:space="0"/>
            </w:tcBorders>
            <w:vAlign w:val="center"/>
          </w:tcPr>
          <w:p>
            <w:pPr>
              <w:widowControl/>
              <w:snapToGrid w:val="0"/>
              <w:jc w:val="left"/>
              <w:rPr>
                <w:rFonts w:hint="default"/>
                <w:kern w:val="0"/>
                <w:sz w:val="20"/>
              </w:rPr>
            </w:pPr>
            <w:r>
              <w:rPr>
                <w:rFonts w:ascii="宋体" w:hAnsi="宋体"/>
                <w:kern w:val="0"/>
              </w:rPr>
              <w:t>联系电话</w:t>
            </w:r>
          </w:p>
        </w:tc>
        <w:tc>
          <w:tcPr>
            <w:tcW w:w="7412" w:type="dxa"/>
            <w:tcBorders>
              <w:top w:val="single" w:color="000000" w:sz="4" w:space="0"/>
              <w:left w:val="nil"/>
              <w:bottom w:val="single" w:color="000000" w:sz="4" w:space="0"/>
              <w:right w:val="single" w:color="000000" w:sz="4" w:space="0"/>
            </w:tcBorders>
            <w:vAlign w:val="top"/>
          </w:tcPr>
          <w:p>
            <w:pPr>
              <w:widowControl/>
              <w:snapToGrid w:val="0"/>
              <w:jc w:val="left"/>
              <w:rPr>
                <w:rFonts w:hint="default"/>
                <w:kern w:val="0"/>
              </w:rPr>
            </w:pPr>
            <w:r>
              <w:rPr>
                <w:rFonts w:ascii="宋体" w:hAnsi="宋体"/>
                <w:kern w:val="0"/>
              </w:rPr>
              <w:t>0971-6126143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jc w:val="center"/>
        </w:trPr>
        <w:tc>
          <w:tcPr>
            <w:tcW w:w="1093" w:type="dxa"/>
            <w:tcBorders>
              <w:top w:val="single" w:color="000000" w:sz="4" w:space="0"/>
              <w:left w:val="single" w:color="000000" w:sz="4" w:space="0"/>
              <w:bottom w:val="single" w:color="000000" w:sz="4" w:space="0"/>
              <w:right w:val="single" w:color="000000" w:sz="4" w:space="0"/>
            </w:tcBorders>
            <w:vAlign w:val="center"/>
          </w:tcPr>
          <w:p>
            <w:pPr>
              <w:widowControl/>
              <w:snapToGrid w:val="0"/>
              <w:jc w:val="left"/>
              <w:rPr>
                <w:rFonts w:hint="default"/>
                <w:kern w:val="0"/>
                <w:sz w:val="20"/>
              </w:rPr>
            </w:pPr>
            <w:r>
              <w:rPr>
                <w:rFonts w:ascii="宋体" w:hAnsi="宋体"/>
                <w:kern w:val="0"/>
              </w:rPr>
              <w:t>办理流程</w:t>
            </w:r>
          </w:p>
        </w:tc>
        <w:tc>
          <w:tcPr>
            <w:tcW w:w="7412" w:type="dxa"/>
            <w:tcBorders>
              <w:top w:val="single" w:color="000000" w:sz="4" w:space="0"/>
              <w:left w:val="nil"/>
              <w:bottom w:val="single" w:color="000000" w:sz="4" w:space="0"/>
              <w:right w:val="single" w:color="000000" w:sz="4" w:space="0"/>
            </w:tcBorders>
            <w:vAlign w:val="top"/>
          </w:tcPr>
          <w:p>
            <w:pPr>
              <w:widowControl/>
              <w:snapToGrid w:val="0"/>
              <w:jc w:val="left"/>
              <w:rPr>
                <w:rFonts w:hint="default"/>
                <w:kern w:val="0"/>
              </w:rPr>
            </w:pPr>
            <w:r>
              <w:rPr>
                <w:rFonts w:ascii="宋体" w:hAnsi="宋体"/>
                <w:kern w:val="0"/>
              </w:rPr>
              <w:t>1.企业提交材料；</w:t>
            </w:r>
          </w:p>
          <w:p>
            <w:pPr>
              <w:widowControl/>
              <w:snapToGrid w:val="0"/>
              <w:jc w:val="left"/>
              <w:rPr>
                <w:rFonts w:hint="default"/>
                <w:kern w:val="0"/>
                <w:sz w:val="20"/>
              </w:rPr>
            </w:pPr>
            <w:r>
              <w:rPr>
                <w:rFonts w:ascii="宋体" w:hAnsi="宋体"/>
                <w:kern w:val="0"/>
              </w:rPr>
              <w:t>2.材料齐全当日办结，特殊情况</w:t>
            </w:r>
            <w:r>
              <w:rPr>
                <w:rFonts w:hint="eastAsia" w:ascii="宋体" w:hAnsi="宋体"/>
                <w:kern w:val="0"/>
                <w:lang w:val="en-US" w:eastAsia="zh-CN"/>
              </w:rPr>
              <w:t>20</w:t>
            </w:r>
            <w:r>
              <w:rPr>
                <w:rFonts w:hint="eastAsia" w:ascii="宋体" w:hAnsi="宋体"/>
                <w:kern w:val="0"/>
              </w:rPr>
              <w:t>个工作日。</w:t>
            </w:r>
          </w:p>
        </w:tc>
      </w:tr>
    </w:tbl>
    <w:p>
      <w:pPr>
        <w:widowControl/>
        <w:rPr>
          <w:rFonts w:hint="default"/>
          <w:kern w:val="0"/>
        </w:rPr>
      </w:pPr>
    </w:p>
    <w:p>
      <w:pPr>
        <w:widowControl/>
        <w:rPr>
          <w:rFonts w:hint="default"/>
          <w:kern w:val="0"/>
        </w:rPr>
      </w:pPr>
    </w:p>
    <w:p>
      <w:pPr>
        <w:widowControl/>
        <w:rPr>
          <w:rFonts w:hint="default"/>
          <w:kern w:val="0"/>
        </w:rPr>
      </w:pPr>
    </w:p>
    <w:p>
      <w:pPr>
        <w:widowControl/>
        <w:rPr>
          <w:rFonts w:hint="default"/>
          <w:kern w:val="0"/>
        </w:rPr>
      </w:pPr>
    </w:p>
    <w:p>
      <w:pPr>
        <w:widowControl/>
        <w:rPr>
          <w:rFonts w:hint="default"/>
          <w:kern w:val="0"/>
        </w:rPr>
      </w:pPr>
    </w:p>
    <w:p>
      <w:pPr>
        <w:widowControl/>
        <w:rPr>
          <w:rFonts w:hint="default"/>
          <w:kern w:val="0"/>
        </w:rPr>
      </w:pPr>
    </w:p>
    <w:p>
      <w:pPr>
        <w:widowControl/>
        <w:rPr>
          <w:rFonts w:hint="default"/>
          <w:kern w:val="0"/>
        </w:rPr>
      </w:pPr>
    </w:p>
    <w:p>
      <w:pPr>
        <w:widowControl/>
        <w:rPr>
          <w:rFonts w:hint="default"/>
          <w:kern w:val="0"/>
        </w:rPr>
      </w:pPr>
    </w:p>
    <w:tbl>
      <w:tblPr>
        <w:tblStyle w:val="16"/>
        <w:tblW w:w="850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093"/>
        <w:gridCol w:w="741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jc w:val="center"/>
        </w:trPr>
        <w:tc>
          <w:tcPr>
            <w:tcW w:w="1093" w:type="dxa"/>
            <w:tcBorders>
              <w:top w:val="single" w:color="000000" w:sz="4" w:space="0"/>
              <w:left w:val="single" w:color="000000" w:sz="4" w:space="0"/>
              <w:bottom w:val="single" w:color="000000" w:sz="4" w:space="0"/>
              <w:right w:val="single" w:color="000000" w:sz="4" w:space="0"/>
            </w:tcBorders>
            <w:vAlign w:val="center"/>
          </w:tcPr>
          <w:p>
            <w:pPr>
              <w:widowControl/>
              <w:snapToGrid w:val="0"/>
              <w:jc w:val="left"/>
              <w:rPr>
                <w:rFonts w:hint="default"/>
                <w:kern w:val="0"/>
                <w:sz w:val="20"/>
              </w:rPr>
            </w:pPr>
            <w:r>
              <w:rPr>
                <w:rFonts w:ascii="宋体" w:hAnsi="宋体"/>
                <w:kern w:val="0"/>
              </w:rPr>
              <w:t>业务名称</w:t>
            </w:r>
          </w:p>
        </w:tc>
        <w:tc>
          <w:tcPr>
            <w:tcW w:w="7412" w:type="dxa"/>
            <w:tcBorders>
              <w:top w:val="single" w:color="000000" w:sz="4" w:space="0"/>
              <w:left w:val="nil"/>
              <w:bottom w:val="single" w:color="000000" w:sz="4" w:space="0"/>
              <w:right w:val="single" w:color="000000" w:sz="4" w:space="0"/>
            </w:tcBorders>
            <w:vAlign w:val="center"/>
          </w:tcPr>
          <w:p>
            <w:pPr>
              <w:widowControl/>
              <w:snapToGrid w:val="0"/>
              <w:jc w:val="left"/>
              <w:rPr>
                <w:rFonts w:hint="default"/>
                <w:b/>
                <w:kern w:val="0"/>
                <w:sz w:val="20"/>
              </w:rPr>
            </w:pPr>
            <w:r>
              <w:rPr>
                <w:rFonts w:ascii="宋体" w:hAnsi="宋体"/>
                <w:b/>
                <w:kern w:val="0"/>
              </w:rPr>
              <w:t>（十</w:t>
            </w:r>
            <w:r>
              <w:rPr>
                <w:rFonts w:hint="eastAsia" w:ascii="宋体" w:hAnsi="宋体"/>
                <w:b/>
                <w:kern w:val="0"/>
                <w:lang w:eastAsia="zh-CN"/>
              </w:rPr>
              <w:t>六</w:t>
            </w:r>
            <w:r>
              <w:rPr>
                <w:rFonts w:ascii="宋体" w:hAnsi="宋体"/>
                <w:b/>
                <w:kern w:val="0"/>
              </w:rPr>
              <w:t>）境外上市公司境内股东持股登记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jc w:val="center"/>
        </w:trPr>
        <w:tc>
          <w:tcPr>
            <w:tcW w:w="1093" w:type="dxa"/>
            <w:tcBorders>
              <w:top w:val="single" w:color="000000" w:sz="4" w:space="0"/>
              <w:left w:val="single" w:color="000000" w:sz="4" w:space="0"/>
              <w:bottom w:val="single" w:color="000000" w:sz="4" w:space="0"/>
              <w:right w:val="single" w:color="000000" w:sz="4" w:space="0"/>
            </w:tcBorders>
            <w:vAlign w:val="center"/>
          </w:tcPr>
          <w:p>
            <w:pPr>
              <w:widowControl/>
              <w:snapToGrid w:val="0"/>
              <w:jc w:val="left"/>
              <w:rPr>
                <w:rFonts w:hint="default"/>
                <w:kern w:val="0"/>
                <w:sz w:val="20"/>
              </w:rPr>
            </w:pPr>
            <w:r>
              <w:rPr>
                <w:rFonts w:ascii="宋体" w:hAnsi="宋体"/>
                <w:kern w:val="0"/>
              </w:rPr>
              <w:t>设定依据</w:t>
            </w:r>
          </w:p>
          <w:p>
            <w:pPr>
              <w:widowControl/>
              <w:spacing w:line="271" w:lineRule="auto"/>
              <w:jc w:val="center"/>
              <w:rPr>
                <w:rFonts w:hint="default" w:ascii="Times New Roman" w:eastAsia="Times New Roman"/>
                <w:b/>
                <w:kern w:val="0"/>
              </w:rPr>
            </w:pPr>
          </w:p>
        </w:tc>
        <w:tc>
          <w:tcPr>
            <w:tcW w:w="7412" w:type="dxa"/>
            <w:tcBorders>
              <w:top w:val="single" w:color="000000" w:sz="4" w:space="0"/>
              <w:left w:val="nil"/>
              <w:bottom w:val="single" w:color="000000" w:sz="4" w:space="0"/>
              <w:right w:val="single" w:color="000000" w:sz="4" w:space="0"/>
            </w:tcBorders>
            <w:vAlign w:val="center"/>
          </w:tcPr>
          <w:p>
            <w:pPr>
              <w:widowControl/>
              <w:snapToGrid w:val="0"/>
              <w:jc w:val="left"/>
              <w:rPr>
                <w:rFonts w:ascii="宋体" w:hAnsi="宋体"/>
                <w:kern w:val="0"/>
              </w:rPr>
            </w:pPr>
            <w:r>
              <w:rPr>
                <w:rFonts w:hint="eastAsia" w:ascii="宋体" w:hAnsi="宋体"/>
                <w:kern w:val="0"/>
              </w:rPr>
              <w:t>1.《中华人民共和国外汇管理条例》（国务院令第532号）。</w:t>
            </w:r>
          </w:p>
          <w:p>
            <w:pPr>
              <w:widowControl/>
              <w:snapToGrid w:val="0"/>
              <w:jc w:val="left"/>
              <w:rPr>
                <w:rFonts w:ascii="宋体" w:hAnsi="宋体"/>
                <w:kern w:val="0"/>
              </w:rPr>
            </w:pPr>
            <w:r>
              <w:rPr>
                <w:rFonts w:hint="eastAsia" w:ascii="宋体" w:hAnsi="宋体"/>
                <w:kern w:val="0"/>
              </w:rPr>
              <w:t>2.《减持国有股筹集社会保障资金管理暂行办法》（国发〔2001〕22号）。</w:t>
            </w:r>
          </w:p>
          <w:p>
            <w:pPr>
              <w:widowControl/>
              <w:snapToGrid w:val="0"/>
              <w:jc w:val="left"/>
              <w:rPr>
                <w:rFonts w:ascii="宋体" w:hAnsi="宋体"/>
                <w:kern w:val="0"/>
              </w:rPr>
            </w:pPr>
            <w:r>
              <w:rPr>
                <w:rFonts w:hint="eastAsia" w:ascii="宋体" w:hAnsi="宋体"/>
                <w:kern w:val="0"/>
              </w:rPr>
              <w:t>3.《国家外汇管理局关于境外上市外汇管理有关问题的通知》（汇发〔2014〕54号）。</w:t>
            </w:r>
          </w:p>
          <w:p>
            <w:pPr>
              <w:widowControl/>
              <w:snapToGrid w:val="0"/>
              <w:jc w:val="left"/>
              <w:rPr>
                <w:rFonts w:hint="default"/>
                <w:kern w:val="0"/>
                <w:sz w:val="20"/>
              </w:rPr>
            </w:pPr>
            <w:r>
              <w:rPr>
                <w:rFonts w:hint="eastAsia" w:ascii="宋体" w:hAnsi="宋体"/>
                <w:kern w:val="0"/>
              </w:rPr>
              <w:t>4.其他相关法规。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jc w:val="center"/>
        </w:trPr>
        <w:tc>
          <w:tcPr>
            <w:tcW w:w="1093"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rFonts w:ascii="宋体" w:hAnsi="宋体"/>
                <w:kern w:val="0"/>
              </w:rPr>
            </w:pPr>
            <w:r>
              <w:rPr>
                <w:rFonts w:ascii="宋体" w:hAnsi="宋体"/>
                <w:kern w:val="0"/>
              </w:rPr>
              <w:t>申请条件</w:t>
            </w:r>
          </w:p>
          <w:p>
            <w:pPr>
              <w:widowControl/>
              <w:snapToGrid w:val="0"/>
              <w:jc w:val="center"/>
              <w:rPr>
                <w:rFonts w:hint="eastAsia" w:ascii="宋体" w:hAnsi="宋体"/>
                <w:kern w:val="0"/>
                <w:lang w:val="en-US" w:eastAsia="zh-CN"/>
              </w:rPr>
            </w:pPr>
            <w:r>
              <w:rPr>
                <w:rFonts w:hint="eastAsia" w:ascii="宋体" w:hAnsi="宋体"/>
                <w:kern w:val="0"/>
                <w:lang w:val="en-US" w:eastAsia="zh-CN"/>
              </w:rPr>
              <w:t>及</w:t>
            </w:r>
          </w:p>
          <w:p>
            <w:pPr>
              <w:widowControl/>
              <w:snapToGrid w:val="0"/>
              <w:jc w:val="center"/>
              <w:rPr>
                <w:rFonts w:hint="eastAsia" w:ascii="宋体" w:hAnsi="宋体"/>
                <w:kern w:val="0"/>
                <w:lang w:val="en-US" w:eastAsia="zh-CN"/>
              </w:rPr>
            </w:pPr>
            <w:r>
              <w:rPr>
                <w:rFonts w:hint="eastAsia" w:ascii="宋体" w:hAnsi="宋体"/>
                <w:kern w:val="0"/>
                <w:lang w:val="en-US" w:eastAsia="zh-CN"/>
              </w:rPr>
              <w:t>注意事项</w:t>
            </w:r>
          </w:p>
        </w:tc>
        <w:tc>
          <w:tcPr>
            <w:tcW w:w="7412" w:type="dxa"/>
            <w:tcBorders>
              <w:top w:val="single" w:color="000000" w:sz="4" w:space="0"/>
              <w:left w:val="nil"/>
              <w:bottom w:val="single" w:color="000000" w:sz="4" w:space="0"/>
              <w:right w:val="single" w:color="000000" w:sz="4" w:space="0"/>
            </w:tcBorders>
            <w:vAlign w:val="center"/>
          </w:tcPr>
          <w:p>
            <w:pPr>
              <w:widowControl/>
              <w:rPr>
                <w:rFonts w:hint="default"/>
                <w:kern w:val="0"/>
              </w:rPr>
            </w:pPr>
            <w:r>
              <w:rPr>
                <w:rFonts w:hint="eastAsia"/>
                <w:kern w:val="0"/>
              </w:rPr>
              <w:t>境内公司境外上市后，其境内股东根据有关规定拟增持或减持境外上市公司股份的，应在拟增持或减持前20个工作日内，到境内股东所在地外汇局办理境外持股登记。登记完成后领取《业务登记凭证》。</w:t>
            </w:r>
          </w:p>
          <w:p>
            <w:pPr>
              <w:widowControl/>
              <w:snapToGrid w:val="0"/>
              <w:jc w:val="left"/>
              <w:rPr>
                <w:rFonts w:hint="default"/>
                <w:kern w:val="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jc w:val="center"/>
        </w:trPr>
        <w:tc>
          <w:tcPr>
            <w:tcW w:w="1093" w:type="dxa"/>
            <w:tcBorders>
              <w:top w:val="single" w:color="000000" w:sz="4" w:space="0"/>
              <w:left w:val="single" w:color="000000" w:sz="4" w:space="0"/>
              <w:bottom w:val="single" w:color="000000" w:sz="4" w:space="0"/>
              <w:right w:val="single" w:color="000000" w:sz="4" w:space="0"/>
            </w:tcBorders>
            <w:vAlign w:val="center"/>
          </w:tcPr>
          <w:p>
            <w:pPr>
              <w:widowControl/>
              <w:snapToGrid w:val="0"/>
              <w:jc w:val="left"/>
              <w:rPr>
                <w:rFonts w:hint="default"/>
                <w:kern w:val="0"/>
                <w:sz w:val="20"/>
              </w:rPr>
            </w:pPr>
            <w:r>
              <w:rPr>
                <w:rFonts w:ascii="宋体" w:hAnsi="宋体"/>
                <w:kern w:val="0"/>
              </w:rPr>
              <w:t>办理材料</w:t>
            </w:r>
          </w:p>
        </w:tc>
        <w:tc>
          <w:tcPr>
            <w:tcW w:w="7412" w:type="dxa"/>
            <w:tcBorders>
              <w:top w:val="single" w:color="000000" w:sz="4" w:space="0"/>
              <w:left w:val="nil"/>
              <w:bottom w:val="single" w:color="000000" w:sz="4" w:space="0"/>
              <w:right w:val="single" w:color="000000" w:sz="4" w:space="0"/>
            </w:tcBorders>
            <w:vAlign w:val="center"/>
          </w:tcPr>
          <w:p>
            <w:pPr>
              <w:widowControl/>
              <w:snapToGrid w:val="0"/>
              <w:jc w:val="left"/>
              <w:rPr>
                <w:rFonts w:hint="eastAsia" w:ascii="宋体" w:hAnsi="宋体"/>
                <w:kern w:val="0"/>
              </w:rPr>
            </w:pPr>
            <w:r>
              <w:rPr>
                <w:rFonts w:hint="eastAsia" w:ascii="宋体" w:hAnsi="宋体"/>
                <w:kern w:val="0"/>
              </w:rPr>
              <w:t>1.书面申请，并附《境外持股登记表》。</w:t>
            </w:r>
          </w:p>
          <w:p>
            <w:pPr>
              <w:widowControl/>
              <w:snapToGrid w:val="0"/>
              <w:jc w:val="left"/>
              <w:rPr>
                <w:rFonts w:hint="eastAsia" w:ascii="宋体" w:hAnsi="宋体"/>
                <w:kern w:val="0"/>
              </w:rPr>
            </w:pPr>
            <w:r>
              <w:rPr>
                <w:rFonts w:hint="eastAsia" w:ascii="宋体" w:hAnsi="宋体"/>
                <w:kern w:val="0"/>
              </w:rPr>
              <w:t>2.关于增持或减持事项的董事会或股东大会决议（如有）。</w:t>
            </w:r>
          </w:p>
          <w:p>
            <w:pPr>
              <w:widowControl/>
              <w:snapToGrid w:val="0"/>
              <w:jc w:val="left"/>
              <w:rPr>
                <w:rFonts w:hint="eastAsia" w:ascii="宋体" w:hAnsi="宋体"/>
                <w:kern w:val="0"/>
              </w:rPr>
            </w:pPr>
            <w:r>
              <w:rPr>
                <w:rFonts w:hint="eastAsia" w:ascii="宋体" w:hAnsi="宋体"/>
                <w:kern w:val="0"/>
              </w:rPr>
              <w:t>3.需经财政部门、国有资产管理部门等相关部门批准的，应提供相关部门的批准文件。</w:t>
            </w:r>
          </w:p>
          <w:p>
            <w:pPr>
              <w:widowControl/>
              <w:snapToGrid w:val="0"/>
              <w:jc w:val="left"/>
              <w:rPr>
                <w:rFonts w:hint="eastAsia" w:ascii="宋体" w:hAnsi="宋体"/>
                <w:kern w:val="0"/>
              </w:rPr>
            </w:pPr>
            <w:r>
              <w:rPr>
                <w:rFonts w:hint="eastAsia" w:ascii="宋体" w:hAnsi="宋体"/>
                <w:kern w:val="0"/>
              </w:rPr>
              <w:t>4.前述材料内容不一致或不能说明交易真实性时，要求提供的补充材料。</w:t>
            </w:r>
          </w:p>
          <w:p>
            <w:pPr>
              <w:widowControl/>
              <w:snapToGrid w:val="0"/>
              <w:jc w:val="left"/>
              <w:rPr>
                <w:rFonts w:hint="default"/>
                <w:kern w:val="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1" w:hRule="atLeast"/>
          <w:jc w:val="center"/>
        </w:trPr>
        <w:tc>
          <w:tcPr>
            <w:tcW w:w="1093" w:type="dxa"/>
            <w:tcBorders>
              <w:top w:val="single" w:color="000000" w:sz="4" w:space="0"/>
              <w:left w:val="single" w:color="000000" w:sz="4" w:space="0"/>
              <w:bottom w:val="single" w:color="000000" w:sz="4" w:space="0"/>
              <w:right w:val="single" w:color="000000" w:sz="4" w:space="0"/>
            </w:tcBorders>
            <w:vAlign w:val="center"/>
          </w:tcPr>
          <w:p>
            <w:pPr>
              <w:widowControl/>
              <w:snapToGrid w:val="0"/>
              <w:jc w:val="left"/>
              <w:rPr>
                <w:rFonts w:hint="default"/>
                <w:kern w:val="0"/>
                <w:sz w:val="20"/>
              </w:rPr>
            </w:pPr>
            <w:r>
              <w:rPr>
                <w:rFonts w:ascii="宋体" w:hAnsi="宋体"/>
                <w:kern w:val="0"/>
              </w:rPr>
              <w:t>办理地点</w:t>
            </w:r>
          </w:p>
        </w:tc>
        <w:tc>
          <w:tcPr>
            <w:tcW w:w="7412" w:type="dxa"/>
            <w:tcBorders>
              <w:top w:val="single" w:color="000000" w:sz="4" w:space="0"/>
              <w:left w:val="nil"/>
              <w:bottom w:val="single" w:color="000000" w:sz="4" w:space="0"/>
              <w:right w:val="single" w:color="000000" w:sz="4" w:space="0"/>
            </w:tcBorders>
            <w:vAlign w:val="top"/>
          </w:tcPr>
          <w:p>
            <w:pPr>
              <w:widowControl/>
              <w:snapToGrid w:val="0"/>
              <w:jc w:val="left"/>
              <w:rPr>
                <w:rFonts w:hint="default"/>
                <w:kern w:val="0"/>
              </w:rPr>
            </w:pPr>
            <w:r>
              <w:rPr>
                <w:rFonts w:ascii="宋体" w:hAnsi="宋体"/>
                <w:kern w:val="0"/>
              </w:rPr>
              <w:t>国家外汇管理局青海省分局外汇管理处资本科（西宁市昆仑路3号人民银行政务大厅）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jc w:val="center"/>
        </w:trPr>
        <w:tc>
          <w:tcPr>
            <w:tcW w:w="1093" w:type="dxa"/>
            <w:tcBorders>
              <w:top w:val="single" w:color="000000" w:sz="4" w:space="0"/>
              <w:left w:val="single" w:color="000000" w:sz="4" w:space="0"/>
              <w:bottom w:val="single" w:color="000000" w:sz="4" w:space="0"/>
              <w:right w:val="single" w:color="000000" w:sz="4" w:space="0"/>
            </w:tcBorders>
            <w:vAlign w:val="center"/>
          </w:tcPr>
          <w:p>
            <w:pPr>
              <w:widowControl/>
              <w:snapToGrid w:val="0"/>
              <w:jc w:val="left"/>
              <w:rPr>
                <w:rFonts w:hint="default"/>
                <w:kern w:val="0"/>
                <w:sz w:val="20"/>
              </w:rPr>
            </w:pPr>
            <w:r>
              <w:rPr>
                <w:rFonts w:ascii="宋体" w:hAnsi="宋体"/>
                <w:kern w:val="0"/>
              </w:rPr>
              <w:t>办理时间</w:t>
            </w:r>
          </w:p>
          <w:p>
            <w:pPr>
              <w:widowControl/>
              <w:spacing w:line="271" w:lineRule="auto"/>
              <w:jc w:val="center"/>
              <w:rPr>
                <w:rFonts w:hint="default" w:ascii="Times New Roman" w:eastAsia="Times New Roman"/>
                <w:b/>
                <w:kern w:val="0"/>
              </w:rPr>
            </w:pPr>
          </w:p>
        </w:tc>
        <w:tc>
          <w:tcPr>
            <w:tcW w:w="7412" w:type="dxa"/>
            <w:tcBorders>
              <w:top w:val="single" w:color="000000" w:sz="4" w:space="0"/>
              <w:left w:val="nil"/>
              <w:bottom w:val="single" w:color="000000" w:sz="4" w:space="0"/>
              <w:right w:val="single" w:color="000000" w:sz="4" w:space="0"/>
            </w:tcBorders>
            <w:vAlign w:val="top"/>
          </w:tcPr>
          <w:p>
            <w:pPr>
              <w:widowControl/>
              <w:snapToGrid w:val="0"/>
              <w:jc w:val="left"/>
              <w:rPr>
                <w:rFonts w:hint="default"/>
                <w:kern w:val="0"/>
              </w:rPr>
            </w:pPr>
            <w:r>
              <w:rPr>
                <w:rFonts w:ascii="宋体" w:hAnsi="宋体"/>
                <w:kern w:val="0"/>
              </w:rPr>
              <w:t>周一至周五（法定节假日除外）</w:t>
            </w:r>
          </w:p>
          <w:p>
            <w:pPr>
              <w:widowControl/>
              <w:snapToGrid w:val="0"/>
              <w:jc w:val="left"/>
              <w:rPr>
                <w:rFonts w:hint="default"/>
                <w:kern w:val="0"/>
                <w:sz w:val="20"/>
              </w:rPr>
            </w:pPr>
            <w:r>
              <w:rPr>
                <w:rFonts w:ascii="宋体" w:hAnsi="宋体"/>
                <w:kern w:val="0"/>
              </w:rPr>
              <w:t>上午8：30-11：30，下午2：00-5：30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jc w:val="center"/>
        </w:trPr>
        <w:tc>
          <w:tcPr>
            <w:tcW w:w="1093" w:type="dxa"/>
            <w:tcBorders>
              <w:top w:val="single" w:color="000000" w:sz="4" w:space="0"/>
              <w:left w:val="single" w:color="000000" w:sz="4" w:space="0"/>
              <w:bottom w:val="single" w:color="000000" w:sz="4" w:space="0"/>
              <w:right w:val="single" w:color="000000" w:sz="4" w:space="0"/>
            </w:tcBorders>
            <w:vAlign w:val="center"/>
          </w:tcPr>
          <w:p>
            <w:pPr>
              <w:widowControl/>
              <w:snapToGrid w:val="0"/>
              <w:jc w:val="left"/>
              <w:rPr>
                <w:rFonts w:hint="default"/>
                <w:kern w:val="0"/>
                <w:sz w:val="20"/>
              </w:rPr>
            </w:pPr>
            <w:r>
              <w:rPr>
                <w:rFonts w:ascii="宋体" w:hAnsi="宋体"/>
                <w:kern w:val="0"/>
              </w:rPr>
              <w:t>联系电话</w:t>
            </w:r>
          </w:p>
        </w:tc>
        <w:tc>
          <w:tcPr>
            <w:tcW w:w="7412" w:type="dxa"/>
            <w:tcBorders>
              <w:top w:val="single" w:color="000000" w:sz="4" w:space="0"/>
              <w:left w:val="nil"/>
              <w:bottom w:val="single" w:color="000000" w:sz="4" w:space="0"/>
              <w:right w:val="single" w:color="000000" w:sz="4" w:space="0"/>
            </w:tcBorders>
            <w:vAlign w:val="top"/>
          </w:tcPr>
          <w:p>
            <w:pPr>
              <w:widowControl/>
              <w:snapToGrid w:val="0"/>
              <w:jc w:val="left"/>
              <w:rPr>
                <w:rFonts w:hint="default"/>
                <w:kern w:val="0"/>
              </w:rPr>
            </w:pPr>
            <w:r>
              <w:rPr>
                <w:rFonts w:ascii="宋体" w:hAnsi="宋体"/>
                <w:kern w:val="0"/>
              </w:rPr>
              <w:t>0971-6126143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jc w:val="center"/>
        </w:trPr>
        <w:tc>
          <w:tcPr>
            <w:tcW w:w="1093" w:type="dxa"/>
            <w:tcBorders>
              <w:top w:val="single" w:color="000000" w:sz="4" w:space="0"/>
              <w:left w:val="single" w:color="000000" w:sz="4" w:space="0"/>
              <w:bottom w:val="single" w:color="000000" w:sz="4" w:space="0"/>
              <w:right w:val="single" w:color="000000" w:sz="4" w:space="0"/>
            </w:tcBorders>
            <w:vAlign w:val="center"/>
          </w:tcPr>
          <w:p>
            <w:pPr>
              <w:widowControl/>
              <w:snapToGrid w:val="0"/>
              <w:jc w:val="left"/>
              <w:rPr>
                <w:rFonts w:hint="eastAsia" w:ascii="宋体" w:hAnsi="宋体" w:eastAsia="宋体"/>
                <w:kern w:val="0"/>
                <w:lang w:val="en-US" w:eastAsia="zh-CN"/>
              </w:rPr>
            </w:pPr>
            <w:r>
              <w:rPr>
                <w:rFonts w:hint="eastAsia" w:ascii="宋体" w:hAnsi="宋体"/>
                <w:kern w:val="0"/>
                <w:lang w:val="en-US" w:eastAsia="zh-CN"/>
              </w:rPr>
              <w:t>办理流程</w:t>
            </w:r>
          </w:p>
        </w:tc>
        <w:tc>
          <w:tcPr>
            <w:tcW w:w="7412" w:type="dxa"/>
            <w:tcBorders>
              <w:top w:val="single" w:color="000000" w:sz="4" w:space="0"/>
              <w:left w:val="nil"/>
              <w:bottom w:val="single" w:color="000000" w:sz="4" w:space="0"/>
              <w:right w:val="single" w:color="000000" w:sz="4" w:space="0"/>
            </w:tcBorders>
            <w:vAlign w:val="top"/>
          </w:tcPr>
          <w:p>
            <w:pPr>
              <w:widowControl/>
              <w:numPr>
                <w:ilvl w:val="0"/>
                <w:numId w:val="20"/>
              </w:numPr>
              <w:snapToGrid w:val="0"/>
              <w:jc w:val="left"/>
              <w:rPr>
                <w:rFonts w:hint="eastAsia" w:ascii="宋体" w:hAnsi="宋体"/>
                <w:kern w:val="0"/>
                <w:lang w:val="en-US" w:eastAsia="zh-CN"/>
              </w:rPr>
            </w:pPr>
            <w:r>
              <w:rPr>
                <w:rFonts w:hint="eastAsia" w:ascii="宋体" w:hAnsi="宋体"/>
                <w:kern w:val="0"/>
                <w:lang w:val="en-US" w:eastAsia="zh-CN"/>
              </w:rPr>
              <w:t>申请人申请;</w:t>
            </w:r>
          </w:p>
          <w:p>
            <w:pPr>
              <w:widowControl/>
              <w:numPr>
                <w:ilvl w:val="0"/>
                <w:numId w:val="20"/>
              </w:numPr>
              <w:snapToGrid w:val="0"/>
              <w:jc w:val="left"/>
              <w:rPr>
                <w:rFonts w:hint="eastAsia" w:ascii="宋体" w:hAnsi="宋体"/>
                <w:kern w:val="0"/>
                <w:lang w:val="en-US" w:eastAsia="zh-CN"/>
              </w:rPr>
            </w:pPr>
            <w:r>
              <w:rPr>
                <w:rFonts w:hint="eastAsia" w:ascii="宋体" w:hAnsi="宋体"/>
                <w:kern w:val="0"/>
                <w:lang w:val="en-US" w:eastAsia="zh-CN"/>
              </w:rPr>
              <w:t>外汇局审核;</w:t>
            </w:r>
          </w:p>
          <w:p>
            <w:pPr>
              <w:widowControl/>
              <w:numPr>
                <w:ilvl w:val="0"/>
                <w:numId w:val="20"/>
              </w:numPr>
              <w:snapToGrid w:val="0"/>
              <w:jc w:val="left"/>
              <w:rPr>
                <w:rFonts w:hint="eastAsia" w:ascii="宋体" w:hAnsi="宋体"/>
                <w:kern w:val="0"/>
                <w:lang w:val="en-US" w:eastAsia="zh-CN"/>
              </w:rPr>
            </w:pPr>
            <w:r>
              <w:rPr>
                <w:rFonts w:hint="eastAsia" w:ascii="宋体" w:hAnsi="宋体"/>
                <w:kern w:val="0"/>
                <w:lang w:val="en-US" w:eastAsia="zh-CN"/>
              </w:rPr>
              <w:t>外汇局为申请人办理登记;</w:t>
            </w:r>
          </w:p>
          <w:p>
            <w:pPr>
              <w:widowControl/>
              <w:numPr>
                <w:ilvl w:val="0"/>
                <w:numId w:val="20"/>
              </w:numPr>
              <w:snapToGrid w:val="0"/>
              <w:jc w:val="left"/>
              <w:rPr>
                <w:rFonts w:hint="eastAsia" w:ascii="宋体" w:hAnsi="宋体"/>
                <w:kern w:val="0"/>
                <w:lang w:val="en-US" w:eastAsia="zh-CN"/>
              </w:rPr>
            </w:pPr>
            <w:r>
              <w:rPr>
                <w:rFonts w:hint="eastAsia" w:ascii="宋体" w:hAnsi="宋体"/>
                <w:kern w:val="0"/>
                <w:lang w:val="en-US" w:eastAsia="zh-CN"/>
              </w:rPr>
              <w:t xml:space="preserve">境内股东凭登记凭证在境内银行开立境内股东境外持股专用帐户(账户性质为2406),办理相关业务的资金汇兑划转。 </w:t>
            </w:r>
          </w:p>
        </w:tc>
      </w:tr>
    </w:tbl>
    <w:p>
      <w:pPr>
        <w:widowControl/>
        <w:rPr>
          <w:rFonts w:hint="default"/>
          <w:kern w:val="0"/>
        </w:rPr>
      </w:pPr>
    </w:p>
    <w:p>
      <w:pPr>
        <w:widowControl/>
        <w:rPr>
          <w:rFonts w:hint="default"/>
          <w:kern w:val="0"/>
        </w:rPr>
      </w:pPr>
    </w:p>
    <w:p>
      <w:pPr>
        <w:widowControl/>
        <w:rPr>
          <w:rFonts w:hint="default"/>
          <w:kern w:val="0"/>
        </w:rPr>
      </w:pPr>
    </w:p>
    <w:p>
      <w:pPr>
        <w:widowControl/>
        <w:rPr>
          <w:rFonts w:hint="default"/>
          <w:kern w:val="0"/>
        </w:rPr>
      </w:pPr>
    </w:p>
    <w:p>
      <w:pPr>
        <w:widowControl/>
        <w:rPr>
          <w:rFonts w:hint="default"/>
          <w:kern w:val="0"/>
        </w:rPr>
      </w:pPr>
    </w:p>
    <w:p>
      <w:pPr>
        <w:widowControl/>
        <w:rPr>
          <w:rFonts w:hint="default"/>
          <w:kern w:val="0"/>
        </w:rPr>
      </w:pPr>
    </w:p>
    <w:p>
      <w:pPr>
        <w:widowControl/>
        <w:rPr>
          <w:rFonts w:hint="default"/>
          <w:kern w:val="0"/>
        </w:rPr>
      </w:pPr>
    </w:p>
    <w:p>
      <w:pPr>
        <w:widowControl/>
        <w:rPr>
          <w:rFonts w:hint="default"/>
          <w:kern w:val="0"/>
        </w:rPr>
      </w:pPr>
    </w:p>
    <w:p>
      <w:pPr>
        <w:widowControl/>
        <w:rPr>
          <w:rFonts w:hint="default"/>
          <w:kern w:val="0"/>
        </w:rPr>
      </w:pPr>
    </w:p>
    <w:p>
      <w:pPr>
        <w:widowControl/>
        <w:rPr>
          <w:rFonts w:hint="default"/>
          <w:kern w:val="0"/>
        </w:rPr>
      </w:pPr>
    </w:p>
    <w:p>
      <w:pPr>
        <w:widowControl/>
        <w:rPr>
          <w:rFonts w:hint="default"/>
          <w:kern w:val="0"/>
        </w:rPr>
      </w:pPr>
    </w:p>
    <w:p>
      <w:pPr>
        <w:widowControl/>
        <w:rPr>
          <w:rFonts w:hint="default"/>
          <w:kern w:val="0"/>
        </w:rPr>
      </w:pPr>
    </w:p>
    <w:p>
      <w:pPr>
        <w:widowControl/>
        <w:rPr>
          <w:rFonts w:hint="default"/>
          <w:kern w:val="0"/>
        </w:rPr>
      </w:pPr>
    </w:p>
    <w:p>
      <w:pPr>
        <w:widowControl/>
        <w:rPr>
          <w:rFonts w:hint="default"/>
          <w:kern w:val="0"/>
        </w:rPr>
      </w:pPr>
    </w:p>
    <w:p>
      <w:pPr>
        <w:widowControl/>
        <w:rPr>
          <w:rFonts w:hint="default"/>
          <w:kern w:val="0"/>
        </w:rPr>
      </w:pPr>
    </w:p>
    <w:p>
      <w:pPr>
        <w:widowControl/>
        <w:rPr>
          <w:rFonts w:hint="default"/>
          <w:kern w:val="0"/>
        </w:rPr>
      </w:pPr>
    </w:p>
    <w:p>
      <w:pPr>
        <w:widowControl/>
        <w:rPr>
          <w:rFonts w:hint="default"/>
          <w:kern w:val="0"/>
        </w:rPr>
      </w:pPr>
    </w:p>
    <w:p>
      <w:pPr>
        <w:widowControl/>
        <w:rPr>
          <w:rFonts w:hint="default"/>
          <w:kern w:val="0"/>
        </w:rPr>
      </w:pPr>
    </w:p>
    <w:p>
      <w:pPr>
        <w:widowControl/>
        <w:rPr>
          <w:rFonts w:hint="default"/>
          <w:kern w:val="0"/>
        </w:rPr>
      </w:pPr>
    </w:p>
    <w:p>
      <w:pPr>
        <w:widowControl/>
        <w:rPr>
          <w:rFonts w:hint="default"/>
          <w:kern w:val="0"/>
        </w:rPr>
      </w:pPr>
    </w:p>
    <w:tbl>
      <w:tblPr>
        <w:tblStyle w:val="16"/>
        <w:tblW w:w="850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093"/>
        <w:gridCol w:w="741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jc w:val="center"/>
        </w:trPr>
        <w:tc>
          <w:tcPr>
            <w:tcW w:w="1093" w:type="dxa"/>
            <w:tcBorders>
              <w:top w:val="single" w:color="000000" w:sz="4" w:space="0"/>
              <w:left w:val="single" w:color="000000" w:sz="4" w:space="0"/>
              <w:bottom w:val="single" w:color="000000" w:sz="4" w:space="0"/>
              <w:right w:val="single" w:color="000000" w:sz="4" w:space="0"/>
            </w:tcBorders>
            <w:vAlign w:val="center"/>
          </w:tcPr>
          <w:p>
            <w:pPr>
              <w:widowControl/>
              <w:snapToGrid w:val="0"/>
              <w:jc w:val="left"/>
              <w:rPr>
                <w:rFonts w:hint="default"/>
                <w:kern w:val="0"/>
                <w:sz w:val="20"/>
              </w:rPr>
            </w:pPr>
            <w:r>
              <w:rPr>
                <w:rFonts w:ascii="宋体" w:hAnsi="宋体"/>
                <w:kern w:val="0"/>
              </w:rPr>
              <w:t>业务名称</w:t>
            </w:r>
          </w:p>
        </w:tc>
        <w:tc>
          <w:tcPr>
            <w:tcW w:w="7412" w:type="dxa"/>
            <w:tcBorders>
              <w:top w:val="single" w:color="000000" w:sz="4" w:space="0"/>
              <w:left w:val="nil"/>
              <w:bottom w:val="single" w:color="000000" w:sz="4" w:space="0"/>
              <w:right w:val="single" w:color="000000" w:sz="4" w:space="0"/>
            </w:tcBorders>
            <w:vAlign w:val="center"/>
          </w:tcPr>
          <w:p>
            <w:pPr>
              <w:widowControl/>
              <w:snapToGrid w:val="0"/>
              <w:jc w:val="left"/>
              <w:rPr>
                <w:rFonts w:hint="default"/>
                <w:b/>
                <w:kern w:val="0"/>
                <w:sz w:val="20"/>
              </w:rPr>
            </w:pPr>
            <w:r>
              <w:rPr>
                <w:rFonts w:ascii="宋体" w:hAnsi="宋体"/>
                <w:b/>
                <w:kern w:val="0"/>
              </w:rPr>
              <w:t>（十</w:t>
            </w:r>
            <w:r>
              <w:rPr>
                <w:rFonts w:hint="eastAsia" w:ascii="宋体" w:hAnsi="宋体"/>
                <w:b/>
                <w:kern w:val="0"/>
                <w:lang w:eastAsia="zh-CN"/>
              </w:rPr>
              <w:t>七</w:t>
            </w:r>
            <w:r>
              <w:rPr>
                <w:rFonts w:ascii="宋体" w:hAnsi="宋体"/>
                <w:b/>
                <w:kern w:val="0"/>
              </w:rPr>
              <w:t>）</w:t>
            </w:r>
            <w:r>
              <w:rPr>
                <w:rFonts w:hint="eastAsia" w:ascii="宋体" w:hAnsi="宋体"/>
                <w:b/>
                <w:kern w:val="0"/>
              </w:rPr>
              <w:t>境外上市变更登记、注销登记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600" w:hRule="atLeast"/>
          <w:jc w:val="center"/>
        </w:trPr>
        <w:tc>
          <w:tcPr>
            <w:tcW w:w="1093" w:type="dxa"/>
            <w:tcBorders>
              <w:top w:val="single" w:color="000000" w:sz="4" w:space="0"/>
              <w:left w:val="single" w:color="000000" w:sz="4" w:space="0"/>
              <w:bottom w:val="single" w:color="000000" w:sz="4" w:space="0"/>
              <w:right w:val="single" w:color="000000" w:sz="4" w:space="0"/>
            </w:tcBorders>
            <w:vAlign w:val="center"/>
          </w:tcPr>
          <w:p>
            <w:pPr>
              <w:widowControl/>
              <w:snapToGrid w:val="0"/>
              <w:jc w:val="left"/>
              <w:rPr>
                <w:rFonts w:hint="default"/>
                <w:kern w:val="0"/>
                <w:sz w:val="20"/>
              </w:rPr>
            </w:pPr>
            <w:r>
              <w:rPr>
                <w:rFonts w:ascii="宋体" w:hAnsi="宋体"/>
                <w:kern w:val="0"/>
              </w:rPr>
              <w:t>设定依据</w:t>
            </w:r>
          </w:p>
          <w:p>
            <w:pPr>
              <w:widowControl/>
              <w:spacing w:line="271" w:lineRule="auto"/>
              <w:jc w:val="center"/>
              <w:rPr>
                <w:rFonts w:hint="default" w:ascii="Times New Roman" w:eastAsia="Times New Roman"/>
                <w:b/>
                <w:kern w:val="0"/>
              </w:rPr>
            </w:pPr>
          </w:p>
        </w:tc>
        <w:tc>
          <w:tcPr>
            <w:tcW w:w="7412" w:type="dxa"/>
            <w:tcBorders>
              <w:top w:val="single" w:color="000000" w:sz="4" w:space="0"/>
              <w:left w:val="nil"/>
              <w:bottom w:val="single" w:color="000000" w:sz="4" w:space="0"/>
              <w:right w:val="single" w:color="000000" w:sz="4" w:space="0"/>
            </w:tcBorders>
            <w:vAlign w:val="center"/>
          </w:tcPr>
          <w:p>
            <w:pPr>
              <w:widowControl/>
              <w:snapToGrid w:val="0"/>
              <w:jc w:val="left"/>
              <w:rPr>
                <w:rFonts w:ascii="宋体" w:hAnsi="宋体"/>
                <w:kern w:val="0"/>
              </w:rPr>
            </w:pPr>
            <w:r>
              <w:rPr>
                <w:rFonts w:hint="eastAsia" w:ascii="宋体" w:hAnsi="宋体"/>
                <w:kern w:val="0"/>
              </w:rPr>
              <w:t>1.《中华人民共和国外汇管理条例》（国务院令第532号）。</w:t>
            </w:r>
          </w:p>
          <w:p>
            <w:pPr>
              <w:widowControl/>
              <w:snapToGrid w:val="0"/>
              <w:jc w:val="left"/>
              <w:rPr>
                <w:rFonts w:ascii="宋体" w:hAnsi="宋体"/>
                <w:kern w:val="0"/>
              </w:rPr>
            </w:pPr>
            <w:r>
              <w:rPr>
                <w:rFonts w:hint="eastAsia" w:ascii="宋体" w:hAnsi="宋体"/>
                <w:kern w:val="0"/>
              </w:rPr>
              <w:t>2.《减持国有股筹集社会保障资金管理暂行办法》（国发〔2001〕22号）。</w:t>
            </w:r>
          </w:p>
          <w:p>
            <w:pPr>
              <w:widowControl/>
              <w:snapToGrid w:val="0"/>
              <w:jc w:val="left"/>
              <w:rPr>
                <w:rFonts w:ascii="宋体" w:hAnsi="宋体"/>
                <w:kern w:val="0"/>
              </w:rPr>
            </w:pPr>
            <w:r>
              <w:rPr>
                <w:rFonts w:hint="eastAsia" w:ascii="宋体" w:hAnsi="宋体"/>
                <w:kern w:val="0"/>
              </w:rPr>
              <w:t>3.《国家外汇管理局关于境外上市外汇管理有关问题的通知》（汇发〔2014〕54号）。</w:t>
            </w:r>
          </w:p>
          <w:p>
            <w:pPr>
              <w:widowControl/>
              <w:snapToGrid w:val="0"/>
              <w:jc w:val="left"/>
              <w:rPr>
                <w:rFonts w:ascii="宋体" w:hAnsi="宋体"/>
                <w:kern w:val="0"/>
              </w:rPr>
            </w:pPr>
            <w:r>
              <w:rPr>
                <w:rFonts w:hint="eastAsia" w:ascii="宋体" w:hAnsi="宋体"/>
                <w:kern w:val="0"/>
              </w:rPr>
              <w:t>4.其他相关法规。</w:t>
            </w:r>
          </w:p>
          <w:p>
            <w:pPr>
              <w:widowControl/>
              <w:snapToGrid w:val="0"/>
              <w:jc w:val="left"/>
              <w:rPr>
                <w:rFonts w:hint="default"/>
                <w:kern w:val="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jc w:val="center"/>
        </w:trPr>
        <w:tc>
          <w:tcPr>
            <w:tcW w:w="1093"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rFonts w:ascii="宋体" w:hAnsi="宋体"/>
                <w:kern w:val="0"/>
              </w:rPr>
            </w:pPr>
            <w:r>
              <w:rPr>
                <w:rFonts w:ascii="宋体" w:hAnsi="宋体"/>
                <w:kern w:val="0"/>
              </w:rPr>
              <w:t>申请条件</w:t>
            </w:r>
          </w:p>
          <w:p>
            <w:pPr>
              <w:widowControl/>
              <w:snapToGrid w:val="0"/>
              <w:jc w:val="center"/>
              <w:rPr>
                <w:rFonts w:hint="eastAsia" w:ascii="宋体" w:hAnsi="宋体"/>
                <w:kern w:val="0"/>
                <w:lang w:val="en-US" w:eastAsia="zh-CN"/>
              </w:rPr>
            </w:pPr>
            <w:r>
              <w:rPr>
                <w:rFonts w:hint="eastAsia" w:ascii="宋体" w:hAnsi="宋体"/>
                <w:kern w:val="0"/>
                <w:lang w:val="en-US" w:eastAsia="zh-CN"/>
              </w:rPr>
              <w:t>及</w:t>
            </w:r>
          </w:p>
          <w:p>
            <w:pPr>
              <w:widowControl/>
              <w:snapToGrid w:val="0"/>
              <w:jc w:val="center"/>
              <w:rPr>
                <w:rFonts w:hint="eastAsia" w:ascii="宋体" w:hAnsi="宋体" w:eastAsia="宋体"/>
                <w:kern w:val="0"/>
                <w:lang w:val="en-US" w:eastAsia="zh-CN"/>
              </w:rPr>
            </w:pPr>
            <w:r>
              <w:rPr>
                <w:rFonts w:hint="eastAsia" w:ascii="宋体" w:hAnsi="宋体"/>
                <w:kern w:val="0"/>
                <w:lang w:val="en-US" w:eastAsia="zh-CN"/>
              </w:rPr>
              <w:t>注意事项</w:t>
            </w:r>
          </w:p>
        </w:tc>
        <w:tc>
          <w:tcPr>
            <w:tcW w:w="7412" w:type="dxa"/>
            <w:tcBorders>
              <w:top w:val="single" w:color="000000" w:sz="4" w:space="0"/>
              <w:left w:val="nil"/>
              <w:bottom w:val="single" w:color="000000" w:sz="4" w:space="0"/>
              <w:right w:val="single" w:color="000000" w:sz="4" w:space="0"/>
            </w:tcBorders>
            <w:vAlign w:val="center"/>
          </w:tcPr>
          <w:p>
            <w:pPr>
              <w:widowControl/>
              <w:snapToGrid w:val="0"/>
              <w:jc w:val="left"/>
              <w:rPr>
                <w:rFonts w:hint="eastAsia" w:ascii="宋体" w:hAnsi="宋体"/>
                <w:kern w:val="0"/>
              </w:rPr>
            </w:pPr>
            <w:r>
              <w:rPr>
                <w:rFonts w:hint="eastAsia" w:ascii="宋体" w:hAnsi="宋体"/>
                <w:kern w:val="0"/>
              </w:rPr>
              <w:t>1.境内公司变更（注销）业务或事项符合主管部门相关管理要求。</w:t>
            </w:r>
          </w:p>
          <w:p>
            <w:pPr>
              <w:widowControl/>
              <w:snapToGrid w:val="0"/>
              <w:jc w:val="left"/>
              <w:rPr>
                <w:rFonts w:hint="eastAsia" w:ascii="宋体" w:hAnsi="宋体"/>
                <w:kern w:val="0"/>
              </w:rPr>
            </w:pPr>
            <w:r>
              <w:rPr>
                <w:rFonts w:hint="eastAsia" w:ascii="宋体" w:hAnsi="宋体"/>
                <w:kern w:val="0"/>
              </w:rPr>
              <w:t>2.审核境内公司填写的变更（注销）登记信息是否与实际情况一致。</w:t>
            </w:r>
          </w:p>
          <w:p>
            <w:pPr>
              <w:widowControl/>
              <w:snapToGrid w:val="0"/>
              <w:jc w:val="left"/>
              <w:rPr>
                <w:rFonts w:hint="eastAsia" w:ascii="宋体" w:hAnsi="宋体"/>
                <w:kern w:val="0"/>
              </w:rPr>
            </w:pPr>
            <w:r>
              <w:rPr>
                <w:rFonts w:hint="eastAsia" w:ascii="宋体" w:hAnsi="宋体"/>
                <w:kern w:val="0"/>
              </w:rPr>
              <w:t>3.境内公司应及时办理变更（注销）登记手续。</w:t>
            </w:r>
          </w:p>
          <w:p>
            <w:pPr>
              <w:widowControl/>
              <w:snapToGrid w:val="0"/>
              <w:jc w:val="left"/>
              <w:rPr>
                <w:rFonts w:hint="default"/>
                <w:kern w:val="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jc w:val="center"/>
        </w:trPr>
        <w:tc>
          <w:tcPr>
            <w:tcW w:w="1093" w:type="dxa"/>
            <w:tcBorders>
              <w:top w:val="single" w:color="000000" w:sz="4" w:space="0"/>
              <w:left w:val="single" w:color="000000" w:sz="4" w:space="0"/>
              <w:bottom w:val="single" w:color="000000" w:sz="4" w:space="0"/>
              <w:right w:val="single" w:color="000000" w:sz="4" w:space="0"/>
            </w:tcBorders>
            <w:vAlign w:val="center"/>
          </w:tcPr>
          <w:p>
            <w:pPr>
              <w:widowControl/>
              <w:snapToGrid w:val="0"/>
              <w:jc w:val="left"/>
              <w:rPr>
                <w:rFonts w:hint="default"/>
                <w:kern w:val="0"/>
                <w:sz w:val="20"/>
              </w:rPr>
            </w:pPr>
            <w:r>
              <w:rPr>
                <w:rFonts w:ascii="宋体" w:hAnsi="宋体"/>
                <w:kern w:val="0"/>
              </w:rPr>
              <w:t>办理材料</w:t>
            </w:r>
          </w:p>
        </w:tc>
        <w:tc>
          <w:tcPr>
            <w:tcW w:w="7412" w:type="dxa"/>
            <w:tcBorders>
              <w:top w:val="single" w:color="000000" w:sz="4" w:space="0"/>
              <w:left w:val="nil"/>
              <w:bottom w:val="single" w:color="000000" w:sz="4" w:space="0"/>
              <w:right w:val="single" w:color="000000" w:sz="4" w:space="0"/>
            </w:tcBorders>
            <w:vAlign w:val="center"/>
          </w:tcPr>
          <w:p>
            <w:pPr>
              <w:widowControl/>
              <w:snapToGrid w:val="0"/>
              <w:jc w:val="left"/>
              <w:rPr>
                <w:rFonts w:hint="eastAsia" w:ascii="宋体" w:hAnsi="宋体"/>
                <w:kern w:val="0"/>
              </w:rPr>
            </w:pPr>
            <w:r>
              <w:rPr>
                <w:rFonts w:hint="eastAsia" w:ascii="宋体" w:hAnsi="宋体"/>
                <w:kern w:val="0"/>
              </w:rPr>
              <w:t>1.书面申请（含变更或注销有关情况的说明）。</w:t>
            </w:r>
          </w:p>
          <w:p>
            <w:pPr>
              <w:widowControl/>
              <w:snapToGrid w:val="0"/>
              <w:jc w:val="left"/>
              <w:rPr>
                <w:rFonts w:hint="eastAsia" w:ascii="宋体" w:hAnsi="宋体"/>
                <w:kern w:val="0"/>
              </w:rPr>
            </w:pPr>
            <w:r>
              <w:rPr>
                <w:rFonts w:hint="eastAsia" w:ascii="宋体" w:hAnsi="宋体"/>
                <w:kern w:val="0"/>
              </w:rPr>
              <w:t>2.原《业务登记凭证》及最新填写的《境外上市登记表》。</w:t>
            </w:r>
          </w:p>
          <w:p>
            <w:pPr>
              <w:widowControl/>
              <w:snapToGrid w:val="0"/>
              <w:jc w:val="left"/>
              <w:rPr>
                <w:rFonts w:hint="eastAsia" w:ascii="宋体" w:hAnsi="宋体"/>
                <w:kern w:val="0"/>
              </w:rPr>
            </w:pPr>
            <w:r>
              <w:rPr>
                <w:rFonts w:hint="eastAsia" w:ascii="宋体" w:hAnsi="宋体"/>
                <w:kern w:val="0"/>
              </w:rPr>
              <w:t>3.主管部门关于变更（注销）事项的相关批复或备案文件（如有）。</w:t>
            </w:r>
          </w:p>
          <w:p>
            <w:pPr>
              <w:widowControl/>
              <w:snapToGrid w:val="0"/>
              <w:jc w:val="left"/>
              <w:rPr>
                <w:rFonts w:hint="eastAsia" w:ascii="宋体" w:hAnsi="宋体"/>
                <w:kern w:val="0"/>
              </w:rPr>
            </w:pPr>
            <w:r>
              <w:rPr>
                <w:rFonts w:hint="eastAsia" w:ascii="宋体" w:hAnsi="宋体"/>
                <w:kern w:val="0"/>
              </w:rPr>
              <w:t>4.相关账户和资金处理情况说明，相关账户销户证明材料。</w:t>
            </w:r>
          </w:p>
          <w:p>
            <w:pPr>
              <w:widowControl/>
              <w:snapToGrid w:val="0"/>
              <w:jc w:val="left"/>
              <w:rPr>
                <w:rFonts w:hint="eastAsia" w:ascii="宋体" w:hAnsi="宋体"/>
                <w:kern w:val="0"/>
              </w:rPr>
            </w:pPr>
            <w:r>
              <w:rPr>
                <w:rFonts w:hint="eastAsia" w:ascii="宋体" w:hAnsi="宋体"/>
                <w:kern w:val="0"/>
              </w:rPr>
              <w:t>5.前述材料内容不一致或不能说明交易真实性时，要求提供的补充材料。</w:t>
            </w:r>
          </w:p>
          <w:p>
            <w:pPr>
              <w:ind w:firstLine="480" w:firstLineChars="200"/>
              <w:rPr>
                <w:rFonts w:eastAsia="黑体"/>
                <w:sz w:val="24"/>
              </w:rPr>
            </w:pPr>
          </w:p>
          <w:p>
            <w:pPr>
              <w:widowControl/>
              <w:rPr>
                <w:b/>
                <w:bCs/>
                <w:kern w:val="0"/>
                <w:sz w:val="24"/>
              </w:rPr>
            </w:pPr>
          </w:p>
          <w:p>
            <w:pPr>
              <w:widowControl/>
              <w:snapToGrid w:val="0"/>
              <w:jc w:val="left"/>
              <w:rPr>
                <w:rFonts w:hint="default"/>
                <w:kern w:val="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1" w:hRule="atLeast"/>
          <w:jc w:val="center"/>
        </w:trPr>
        <w:tc>
          <w:tcPr>
            <w:tcW w:w="1093" w:type="dxa"/>
            <w:tcBorders>
              <w:top w:val="single" w:color="000000" w:sz="4" w:space="0"/>
              <w:left w:val="single" w:color="000000" w:sz="4" w:space="0"/>
              <w:bottom w:val="single" w:color="000000" w:sz="4" w:space="0"/>
              <w:right w:val="single" w:color="000000" w:sz="4" w:space="0"/>
            </w:tcBorders>
            <w:vAlign w:val="center"/>
          </w:tcPr>
          <w:p>
            <w:pPr>
              <w:widowControl/>
              <w:snapToGrid w:val="0"/>
              <w:jc w:val="left"/>
              <w:rPr>
                <w:rFonts w:hint="default"/>
                <w:kern w:val="0"/>
                <w:sz w:val="20"/>
              </w:rPr>
            </w:pPr>
            <w:r>
              <w:rPr>
                <w:rFonts w:ascii="宋体" w:hAnsi="宋体"/>
                <w:kern w:val="0"/>
              </w:rPr>
              <w:t>办理地点</w:t>
            </w:r>
          </w:p>
        </w:tc>
        <w:tc>
          <w:tcPr>
            <w:tcW w:w="7412" w:type="dxa"/>
            <w:tcBorders>
              <w:top w:val="single" w:color="000000" w:sz="4" w:space="0"/>
              <w:left w:val="nil"/>
              <w:bottom w:val="single" w:color="000000" w:sz="4" w:space="0"/>
              <w:right w:val="single" w:color="000000" w:sz="4" w:space="0"/>
            </w:tcBorders>
            <w:vAlign w:val="top"/>
          </w:tcPr>
          <w:p>
            <w:pPr>
              <w:widowControl/>
              <w:snapToGrid w:val="0"/>
              <w:jc w:val="left"/>
              <w:rPr>
                <w:rFonts w:hint="default"/>
                <w:kern w:val="0"/>
              </w:rPr>
            </w:pPr>
            <w:r>
              <w:rPr>
                <w:rFonts w:ascii="宋体" w:hAnsi="宋体"/>
                <w:kern w:val="0"/>
              </w:rPr>
              <w:t>国家外汇管理局青海省分局外汇管理处资本科（西宁市昆仑路3号人民银行政务大厅）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jc w:val="center"/>
        </w:trPr>
        <w:tc>
          <w:tcPr>
            <w:tcW w:w="1093" w:type="dxa"/>
            <w:tcBorders>
              <w:top w:val="single" w:color="000000" w:sz="4" w:space="0"/>
              <w:left w:val="single" w:color="000000" w:sz="4" w:space="0"/>
              <w:bottom w:val="single" w:color="000000" w:sz="4" w:space="0"/>
              <w:right w:val="single" w:color="000000" w:sz="4" w:space="0"/>
            </w:tcBorders>
            <w:vAlign w:val="center"/>
          </w:tcPr>
          <w:p>
            <w:pPr>
              <w:widowControl/>
              <w:snapToGrid w:val="0"/>
              <w:jc w:val="left"/>
              <w:rPr>
                <w:rFonts w:hint="default"/>
                <w:kern w:val="0"/>
                <w:sz w:val="20"/>
              </w:rPr>
            </w:pPr>
            <w:r>
              <w:rPr>
                <w:rFonts w:ascii="宋体" w:hAnsi="宋体"/>
                <w:kern w:val="0"/>
              </w:rPr>
              <w:t>办理时间</w:t>
            </w:r>
          </w:p>
          <w:p>
            <w:pPr>
              <w:widowControl/>
              <w:spacing w:line="271" w:lineRule="auto"/>
              <w:jc w:val="center"/>
              <w:rPr>
                <w:rFonts w:hint="default" w:ascii="Times New Roman" w:eastAsia="Times New Roman"/>
                <w:b/>
                <w:kern w:val="0"/>
              </w:rPr>
            </w:pPr>
          </w:p>
        </w:tc>
        <w:tc>
          <w:tcPr>
            <w:tcW w:w="7412" w:type="dxa"/>
            <w:tcBorders>
              <w:top w:val="single" w:color="000000" w:sz="4" w:space="0"/>
              <w:left w:val="nil"/>
              <w:bottom w:val="single" w:color="000000" w:sz="4" w:space="0"/>
              <w:right w:val="single" w:color="000000" w:sz="4" w:space="0"/>
            </w:tcBorders>
            <w:vAlign w:val="top"/>
          </w:tcPr>
          <w:p>
            <w:pPr>
              <w:widowControl/>
              <w:snapToGrid w:val="0"/>
              <w:jc w:val="left"/>
              <w:rPr>
                <w:rFonts w:hint="default"/>
                <w:kern w:val="0"/>
              </w:rPr>
            </w:pPr>
            <w:r>
              <w:rPr>
                <w:rFonts w:ascii="宋体" w:hAnsi="宋体"/>
                <w:kern w:val="0"/>
              </w:rPr>
              <w:t>周一至周五（法定节假日除外）</w:t>
            </w:r>
          </w:p>
          <w:p>
            <w:pPr>
              <w:widowControl/>
              <w:snapToGrid w:val="0"/>
              <w:jc w:val="left"/>
              <w:rPr>
                <w:rFonts w:hint="default"/>
                <w:kern w:val="0"/>
                <w:sz w:val="20"/>
              </w:rPr>
            </w:pPr>
            <w:r>
              <w:rPr>
                <w:rFonts w:ascii="宋体" w:hAnsi="宋体"/>
                <w:kern w:val="0"/>
              </w:rPr>
              <w:t>上午8：30-11：30，下午2：00-5：30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jc w:val="center"/>
        </w:trPr>
        <w:tc>
          <w:tcPr>
            <w:tcW w:w="1093" w:type="dxa"/>
            <w:tcBorders>
              <w:top w:val="single" w:color="000000" w:sz="4" w:space="0"/>
              <w:left w:val="single" w:color="000000" w:sz="4" w:space="0"/>
              <w:bottom w:val="single" w:color="000000" w:sz="4" w:space="0"/>
              <w:right w:val="single" w:color="000000" w:sz="4" w:space="0"/>
            </w:tcBorders>
            <w:vAlign w:val="center"/>
          </w:tcPr>
          <w:p>
            <w:pPr>
              <w:widowControl/>
              <w:snapToGrid w:val="0"/>
              <w:jc w:val="left"/>
              <w:rPr>
                <w:rFonts w:hint="default"/>
                <w:kern w:val="0"/>
                <w:sz w:val="20"/>
              </w:rPr>
            </w:pPr>
            <w:r>
              <w:rPr>
                <w:rFonts w:ascii="宋体" w:hAnsi="宋体"/>
                <w:kern w:val="0"/>
              </w:rPr>
              <w:t>联系电话</w:t>
            </w:r>
          </w:p>
        </w:tc>
        <w:tc>
          <w:tcPr>
            <w:tcW w:w="7412" w:type="dxa"/>
            <w:tcBorders>
              <w:top w:val="single" w:color="000000" w:sz="4" w:space="0"/>
              <w:left w:val="nil"/>
              <w:bottom w:val="single" w:color="000000" w:sz="4" w:space="0"/>
              <w:right w:val="single" w:color="000000" w:sz="4" w:space="0"/>
            </w:tcBorders>
            <w:vAlign w:val="top"/>
          </w:tcPr>
          <w:p>
            <w:pPr>
              <w:widowControl/>
              <w:snapToGrid w:val="0"/>
              <w:jc w:val="left"/>
              <w:rPr>
                <w:rFonts w:hint="default"/>
                <w:kern w:val="0"/>
              </w:rPr>
            </w:pPr>
            <w:r>
              <w:rPr>
                <w:rFonts w:ascii="宋体" w:hAnsi="宋体"/>
                <w:kern w:val="0"/>
              </w:rPr>
              <w:t>0971-6126143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jc w:val="center"/>
        </w:trPr>
        <w:tc>
          <w:tcPr>
            <w:tcW w:w="1093" w:type="dxa"/>
            <w:tcBorders>
              <w:top w:val="single" w:color="000000" w:sz="4" w:space="0"/>
              <w:left w:val="single" w:color="000000" w:sz="4" w:space="0"/>
              <w:bottom w:val="single" w:color="000000" w:sz="4" w:space="0"/>
              <w:right w:val="single" w:color="000000" w:sz="4" w:space="0"/>
            </w:tcBorders>
            <w:vAlign w:val="center"/>
          </w:tcPr>
          <w:p>
            <w:pPr>
              <w:widowControl/>
              <w:snapToGrid w:val="0"/>
              <w:jc w:val="left"/>
              <w:rPr>
                <w:rFonts w:hint="default"/>
                <w:kern w:val="0"/>
                <w:sz w:val="20"/>
              </w:rPr>
            </w:pPr>
            <w:r>
              <w:rPr>
                <w:rFonts w:ascii="宋体" w:hAnsi="宋体"/>
                <w:kern w:val="0"/>
              </w:rPr>
              <w:t>办理流程</w:t>
            </w:r>
          </w:p>
        </w:tc>
        <w:tc>
          <w:tcPr>
            <w:tcW w:w="7412" w:type="dxa"/>
            <w:tcBorders>
              <w:top w:val="single" w:color="000000" w:sz="4" w:space="0"/>
              <w:left w:val="nil"/>
              <w:bottom w:val="single" w:color="000000" w:sz="4" w:space="0"/>
              <w:right w:val="single" w:color="000000" w:sz="4" w:space="0"/>
            </w:tcBorders>
            <w:vAlign w:val="top"/>
          </w:tcPr>
          <w:p>
            <w:pPr>
              <w:widowControl/>
              <w:snapToGrid w:val="0"/>
              <w:jc w:val="left"/>
              <w:rPr>
                <w:rFonts w:hint="default"/>
                <w:kern w:val="0"/>
              </w:rPr>
            </w:pPr>
            <w:r>
              <w:rPr>
                <w:rFonts w:ascii="宋体" w:hAnsi="宋体"/>
                <w:kern w:val="0"/>
              </w:rPr>
              <w:t>1.企业提交材料；</w:t>
            </w:r>
          </w:p>
          <w:p>
            <w:pPr>
              <w:widowControl/>
              <w:snapToGrid w:val="0"/>
              <w:jc w:val="left"/>
              <w:rPr>
                <w:rFonts w:hint="default"/>
                <w:kern w:val="0"/>
                <w:sz w:val="20"/>
              </w:rPr>
            </w:pPr>
            <w:r>
              <w:rPr>
                <w:rFonts w:ascii="宋体" w:hAnsi="宋体"/>
                <w:kern w:val="0"/>
              </w:rPr>
              <w:t>2.材料齐全当日办结，特殊情况</w:t>
            </w:r>
            <w:r>
              <w:rPr>
                <w:rFonts w:hint="eastAsia" w:ascii="宋体" w:hAnsi="宋体"/>
                <w:kern w:val="0"/>
                <w:lang w:val="en-US" w:eastAsia="zh-CN"/>
              </w:rPr>
              <w:t>20</w:t>
            </w:r>
            <w:r>
              <w:rPr>
                <w:rFonts w:hint="eastAsia" w:ascii="宋体" w:hAnsi="宋体"/>
                <w:kern w:val="0"/>
              </w:rPr>
              <w:t>个工作日。</w:t>
            </w:r>
          </w:p>
        </w:tc>
      </w:tr>
    </w:tbl>
    <w:p>
      <w:pPr>
        <w:widowControl/>
        <w:rPr>
          <w:rFonts w:hint="default"/>
          <w:kern w:val="0"/>
        </w:rPr>
      </w:pPr>
    </w:p>
    <w:p>
      <w:pPr>
        <w:widowControl/>
        <w:rPr>
          <w:rFonts w:hint="default"/>
          <w:kern w:val="0"/>
        </w:rPr>
      </w:pPr>
    </w:p>
    <w:p>
      <w:pPr>
        <w:widowControl/>
        <w:rPr>
          <w:rFonts w:hint="default"/>
          <w:kern w:val="0"/>
        </w:rPr>
      </w:pPr>
    </w:p>
    <w:p>
      <w:pPr>
        <w:widowControl/>
        <w:rPr>
          <w:rFonts w:hint="default"/>
          <w:kern w:val="0"/>
        </w:rPr>
      </w:pPr>
    </w:p>
    <w:p>
      <w:pPr>
        <w:widowControl/>
        <w:rPr>
          <w:rFonts w:hint="default"/>
          <w:kern w:val="0"/>
        </w:rPr>
      </w:pPr>
    </w:p>
    <w:p>
      <w:pPr>
        <w:widowControl/>
        <w:rPr>
          <w:rFonts w:hint="default"/>
          <w:kern w:val="0"/>
        </w:rPr>
      </w:pPr>
    </w:p>
    <w:p>
      <w:pPr>
        <w:widowControl/>
        <w:rPr>
          <w:rFonts w:hint="default"/>
          <w:kern w:val="0"/>
        </w:rPr>
      </w:pPr>
    </w:p>
    <w:p>
      <w:pPr>
        <w:widowControl/>
        <w:rPr>
          <w:rFonts w:hint="default"/>
          <w:kern w:val="0"/>
        </w:rPr>
      </w:pPr>
    </w:p>
    <w:p>
      <w:pPr>
        <w:widowControl/>
        <w:rPr>
          <w:rFonts w:hint="default"/>
          <w:kern w:val="0"/>
        </w:rPr>
      </w:pPr>
    </w:p>
    <w:p>
      <w:pPr>
        <w:widowControl/>
        <w:rPr>
          <w:rFonts w:hint="default"/>
          <w:kern w:val="0"/>
        </w:rPr>
      </w:pPr>
    </w:p>
    <w:p>
      <w:pPr>
        <w:widowControl/>
        <w:rPr>
          <w:rFonts w:hint="default"/>
          <w:kern w:val="0"/>
        </w:rPr>
      </w:pPr>
    </w:p>
    <w:p>
      <w:pPr>
        <w:widowControl/>
        <w:rPr>
          <w:rFonts w:hint="default"/>
          <w:kern w:val="0"/>
        </w:rPr>
      </w:pPr>
    </w:p>
    <w:p>
      <w:pPr>
        <w:widowControl/>
        <w:rPr>
          <w:rFonts w:hint="default"/>
          <w:kern w:val="0"/>
        </w:rPr>
      </w:pPr>
    </w:p>
    <w:p>
      <w:pPr>
        <w:widowControl/>
        <w:rPr>
          <w:rFonts w:hint="default"/>
          <w:kern w:val="0"/>
        </w:rPr>
      </w:pPr>
    </w:p>
    <w:p>
      <w:pPr>
        <w:widowControl/>
        <w:rPr>
          <w:rFonts w:hint="default"/>
          <w:kern w:val="0"/>
        </w:rPr>
      </w:pPr>
    </w:p>
    <w:p>
      <w:pPr>
        <w:widowControl/>
        <w:rPr>
          <w:rFonts w:hint="default"/>
          <w:kern w:val="0"/>
        </w:rPr>
      </w:pPr>
    </w:p>
    <w:p>
      <w:pPr>
        <w:widowControl/>
        <w:rPr>
          <w:rFonts w:hint="default"/>
          <w:kern w:val="0"/>
        </w:rPr>
      </w:pPr>
    </w:p>
    <w:p>
      <w:pPr>
        <w:widowControl/>
        <w:rPr>
          <w:rFonts w:hint="default"/>
          <w:kern w:val="0"/>
        </w:rPr>
      </w:pPr>
    </w:p>
    <w:tbl>
      <w:tblPr>
        <w:tblStyle w:val="16"/>
        <w:tblW w:w="850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093"/>
        <w:gridCol w:w="741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jc w:val="center"/>
        </w:trPr>
        <w:tc>
          <w:tcPr>
            <w:tcW w:w="1093" w:type="dxa"/>
            <w:tcBorders>
              <w:top w:val="single" w:color="000000" w:sz="4" w:space="0"/>
              <w:left w:val="single" w:color="000000" w:sz="4" w:space="0"/>
              <w:bottom w:val="single" w:color="000000" w:sz="4" w:space="0"/>
              <w:right w:val="single" w:color="000000" w:sz="4" w:space="0"/>
            </w:tcBorders>
            <w:vAlign w:val="center"/>
          </w:tcPr>
          <w:p>
            <w:pPr>
              <w:widowControl/>
              <w:snapToGrid w:val="0"/>
              <w:jc w:val="left"/>
              <w:rPr>
                <w:rFonts w:hint="default"/>
                <w:kern w:val="0"/>
                <w:sz w:val="20"/>
              </w:rPr>
            </w:pPr>
            <w:r>
              <w:rPr>
                <w:rFonts w:ascii="宋体" w:hAnsi="宋体"/>
                <w:kern w:val="0"/>
              </w:rPr>
              <w:t>业务名称</w:t>
            </w:r>
          </w:p>
        </w:tc>
        <w:tc>
          <w:tcPr>
            <w:tcW w:w="7412" w:type="dxa"/>
            <w:tcBorders>
              <w:top w:val="single" w:color="000000" w:sz="4" w:space="0"/>
              <w:left w:val="nil"/>
              <w:bottom w:val="single" w:color="000000" w:sz="4" w:space="0"/>
              <w:right w:val="single" w:color="000000" w:sz="4" w:space="0"/>
            </w:tcBorders>
            <w:vAlign w:val="center"/>
          </w:tcPr>
          <w:p>
            <w:pPr>
              <w:widowControl/>
              <w:snapToGrid w:val="0"/>
              <w:jc w:val="left"/>
              <w:rPr>
                <w:rFonts w:hint="default"/>
                <w:b/>
                <w:kern w:val="0"/>
                <w:sz w:val="20"/>
              </w:rPr>
            </w:pPr>
            <w:r>
              <w:rPr>
                <w:rFonts w:ascii="宋体" w:hAnsi="宋体"/>
                <w:b/>
                <w:kern w:val="0"/>
              </w:rPr>
              <w:t>（十</w:t>
            </w:r>
            <w:r>
              <w:rPr>
                <w:rFonts w:hint="eastAsia" w:ascii="宋体" w:hAnsi="宋体"/>
                <w:b/>
                <w:kern w:val="0"/>
                <w:lang w:eastAsia="zh-CN"/>
              </w:rPr>
              <w:t>八</w:t>
            </w:r>
            <w:r>
              <w:rPr>
                <w:rFonts w:ascii="宋体" w:hAnsi="宋体"/>
                <w:b/>
                <w:kern w:val="0"/>
              </w:rPr>
              <w:t>）</w:t>
            </w:r>
            <w:r>
              <w:rPr>
                <w:rFonts w:hint="eastAsia" w:ascii="宋体" w:hAnsi="宋体"/>
                <w:b/>
                <w:kern w:val="0"/>
              </w:rPr>
              <w:t>境外上市公司境内股东境外持股变更登记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95" w:hRule="atLeast"/>
          <w:jc w:val="center"/>
        </w:trPr>
        <w:tc>
          <w:tcPr>
            <w:tcW w:w="1093" w:type="dxa"/>
            <w:tcBorders>
              <w:top w:val="single" w:color="000000" w:sz="4" w:space="0"/>
              <w:left w:val="single" w:color="000000" w:sz="4" w:space="0"/>
              <w:bottom w:val="single" w:color="000000" w:sz="4" w:space="0"/>
              <w:right w:val="single" w:color="000000" w:sz="4" w:space="0"/>
            </w:tcBorders>
            <w:vAlign w:val="center"/>
          </w:tcPr>
          <w:p>
            <w:pPr>
              <w:widowControl/>
              <w:snapToGrid w:val="0"/>
              <w:jc w:val="left"/>
              <w:rPr>
                <w:rFonts w:hint="default"/>
                <w:kern w:val="0"/>
                <w:sz w:val="20"/>
              </w:rPr>
            </w:pPr>
            <w:r>
              <w:rPr>
                <w:rFonts w:ascii="宋体" w:hAnsi="宋体"/>
                <w:kern w:val="0"/>
              </w:rPr>
              <w:t>设定依据</w:t>
            </w:r>
          </w:p>
          <w:p>
            <w:pPr>
              <w:widowControl/>
              <w:spacing w:line="271" w:lineRule="auto"/>
              <w:jc w:val="center"/>
              <w:rPr>
                <w:rFonts w:hint="default" w:ascii="Times New Roman" w:eastAsia="Times New Roman"/>
                <w:b/>
                <w:kern w:val="0"/>
              </w:rPr>
            </w:pPr>
          </w:p>
        </w:tc>
        <w:tc>
          <w:tcPr>
            <w:tcW w:w="7412" w:type="dxa"/>
            <w:tcBorders>
              <w:top w:val="single" w:color="000000" w:sz="4" w:space="0"/>
              <w:left w:val="nil"/>
              <w:bottom w:val="single" w:color="000000" w:sz="4" w:space="0"/>
              <w:right w:val="single" w:color="000000" w:sz="4" w:space="0"/>
            </w:tcBorders>
            <w:vAlign w:val="center"/>
          </w:tcPr>
          <w:p>
            <w:pPr>
              <w:widowControl/>
              <w:snapToGrid w:val="0"/>
              <w:jc w:val="left"/>
              <w:rPr>
                <w:rFonts w:hint="eastAsia" w:ascii="宋体" w:hAnsi="宋体"/>
                <w:kern w:val="0"/>
              </w:rPr>
            </w:pPr>
            <w:r>
              <w:rPr>
                <w:rFonts w:hint="eastAsia" w:ascii="宋体" w:hAnsi="宋体"/>
                <w:kern w:val="0"/>
              </w:rPr>
              <w:t>1.《中华人民共和国外汇管理条例》（国务院令第532号）。</w:t>
            </w:r>
          </w:p>
          <w:p>
            <w:pPr>
              <w:widowControl/>
              <w:snapToGrid w:val="0"/>
              <w:jc w:val="left"/>
              <w:rPr>
                <w:rFonts w:hint="eastAsia" w:ascii="宋体" w:hAnsi="宋体"/>
                <w:kern w:val="0"/>
              </w:rPr>
            </w:pPr>
            <w:r>
              <w:rPr>
                <w:rFonts w:hint="eastAsia" w:ascii="宋体" w:hAnsi="宋体"/>
                <w:kern w:val="0"/>
              </w:rPr>
              <w:t>2.《减持国有股筹集社会保障资金管理暂行办法》（国发〔2001〕22号）。</w:t>
            </w:r>
          </w:p>
          <w:p>
            <w:pPr>
              <w:widowControl/>
              <w:snapToGrid w:val="0"/>
              <w:jc w:val="left"/>
              <w:rPr>
                <w:rFonts w:hint="eastAsia" w:ascii="宋体" w:hAnsi="宋体"/>
                <w:kern w:val="0"/>
              </w:rPr>
            </w:pPr>
            <w:r>
              <w:rPr>
                <w:rFonts w:hint="eastAsia" w:ascii="宋体" w:hAnsi="宋体"/>
                <w:kern w:val="0"/>
              </w:rPr>
              <w:t>3.《国家外汇管理局关于境外上市外汇管理有关问题的通知》（汇发〔2014〕54号）。</w:t>
            </w:r>
          </w:p>
          <w:p>
            <w:pPr>
              <w:widowControl/>
              <w:snapToGrid w:val="0"/>
              <w:jc w:val="left"/>
              <w:rPr>
                <w:rFonts w:hint="eastAsia" w:ascii="宋体" w:hAnsi="宋体"/>
                <w:kern w:val="0"/>
              </w:rPr>
            </w:pPr>
            <w:r>
              <w:rPr>
                <w:rFonts w:hint="eastAsia" w:ascii="宋体" w:hAnsi="宋体"/>
                <w:kern w:val="0"/>
              </w:rPr>
              <w:t>4.其他相关法规。</w:t>
            </w:r>
          </w:p>
          <w:p>
            <w:pPr>
              <w:widowControl/>
              <w:snapToGrid w:val="0"/>
              <w:jc w:val="left"/>
              <w:rPr>
                <w:rFonts w:hint="eastAsia" w:ascii="宋体" w:hAnsi="宋体" w:eastAsia="宋体"/>
                <w:kern w:val="0"/>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jc w:val="center"/>
        </w:trPr>
        <w:tc>
          <w:tcPr>
            <w:tcW w:w="1093"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rFonts w:ascii="宋体" w:hAnsi="宋体"/>
                <w:kern w:val="0"/>
              </w:rPr>
            </w:pPr>
            <w:r>
              <w:rPr>
                <w:rFonts w:ascii="宋体" w:hAnsi="宋体"/>
                <w:kern w:val="0"/>
              </w:rPr>
              <w:t>申请条件</w:t>
            </w:r>
          </w:p>
          <w:p>
            <w:pPr>
              <w:widowControl/>
              <w:snapToGrid w:val="0"/>
              <w:jc w:val="center"/>
              <w:rPr>
                <w:rFonts w:hint="eastAsia" w:ascii="宋体" w:hAnsi="宋体"/>
                <w:kern w:val="0"/>
                <w:lang w:val="en-US" w:eastAsia="zh-CN"/>
              </w:rPr>
            </w:pPr>
            <w:r>
              <w:rPr>
                <w:rFonts w:hint="eastAsia" w:ascii="宋体" w:hAnsi="宋体"/>
                <w:kern w:val="0"/>
                <w:lang w:val="en-US" w:eastAsia="zh-CN"/>
              </w:rPr>
              <w:t>及</w:t>
            </w:r>
          </w:p>
          <w:p>
            <w:pPr>
              <w:widowControl/>
              <w:snapToGrid w:val="0"/>
              <w:jc w:val="center"/>
              <w:rPr>
                <w:rFonts w:hint="eastAsia" w:ascii="宋体" w:hAnsi="宋体" w:eastAsia="宋体"/>
                <w:kern w:val="0"/>
                <w:lang w:val="en-US" w:eastAsia="zh-CN"/>
              </w:rPr>
            </w:pPr>
            <w:r>
              <w:rPr>
                <w:rFonts w:hint="eastAsia" w:ascii="宋体" w:hAnsi="宋体"/>
                <w:kern w:val="0"/>
                <w:lang w:val="en-US" w:eastAsia="zh-CN"/>
              </w:rPr>
              <w:t>注意事项</w:t>
            </w:r>
          </w:p>
        </w:tc>
        <w:tc>
          <w:tcPr>
            <w:tcW w:w="7412" w:type="dxa"/>
            <w:tcBorders>
              <w:top w:val="single" w:color="000000" w:sz="4" w:space="0"/>
              <w:left w:val="nil"/>
              <w:bottom w:val="single" w:color="000000" w:sz="4" w:space="0"/>
              <w:right w:val="single" w:color="000000" w:sz="4" w:space="0"/>
            </w:tcBorders>
            <w:vAlign w:val="center"/>
          </w:tcPr>
          <w:p>
            <w:pPr>
              <w:widowControl/>
              <w:snapToGrid w:val="0"/>
              <w:jc w:val="left"/>
              <w:rPr>
                <w:rFonts w:hint="eastAsia" w:ascii="宋体" w:hAnsi="宋体"/>
                <w:kern w:val="0"/>
              </w:rPr>
            </w:pPr>
            <w:r>
              <w:rPr>
                <w:rFonts w:hint="eastAsia" w:ascii="宋体" w:hAnsi="宋体"/>
                <w:kern w:val="0"/>
              </w:rPr>
              <w:t>境内股东《境外持股登记表》的填写内容与实际情况一致。</w:t>
            </w:r>
          </w:p>
          <w:p>
            <w:pPr>
              <w:widowControl/>
              <w:snapToGrid w:val="0"/>
              <w:jc w:val="left"/>
              <w:rPr>
                <w:rFonts w:hint="default"/>
                <w:kern w:val="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jc w:val="center"/>
        </w:trPr>
        <w:tc>
          <w:tcPr>
            <w:tcW w:w="1093" w:type="dxa"/>
            <w:tcBorders>
              <w:top w:val="single" w:color="000000" w:sz="4" w:space="0"/>
              <w:left w:val="single" w:color="000000" w:sz="4" w:space="0"/>
              <w:bottom w:val="single" w:color="000000" w:sz="4" w:space="0"/>
              <w:right w:val="single" w:color="000000" w:sz="4" w:space="0"/>
            </w:tcBorders>
            <w:vAlign w:val="center"/>
          </w:tcPr>
          <w:p>
            <w:pPr>
              <w:widowControl/>
              <w:snapToGrid w:val="0"/>
              <w:jc w:val="left"/>
              <w:rPr>
                <w:rFonts w:hint="default"/>
                <w:kern w:val="0"/>
                <w:sz w:val="20"/>
              </w:rPr>
            </w:pPr>
            <w:r>
              <w:rPr>
                <w:rFonts w:ascii="宋体" w:hAnsi="宋体"/>
                <w:kern w:val="0"/>
              </w:rPr>
              <w:t>办理材料</w:t>
            </w:r>
          </w:p>
        </w:tc>
        <w:tc>
          <w:tcPr>
            <w:tcW w:w="7412" w:type="dxa"/>
            <w:tcBorders>
              <w:top w:val="single" w:color="000000" w:sz="4" w:space="0"/>
              <w:left w:val="nil"/>
              <w:bottom w:val="single" w:color="000000" w:sz="4" w:space="0"/>
              <w:right w:val="single" w:color="000000" w:sz="4" w:space="0"/>
            </w:tcBorders>
            <w:vAlign w:val="center"/>
          </w:tcPr>
          <w:p>
            <w:pPr>
              <w:widowControl/>
              <w:snapToGrid w:val="0"/>
              <w:jc w:val="left"/>
              <w:rPr>
                <w:rFonts w:ascii="宋体" w:hAnsi="宋体"/>
                <w:kern w:val="0"/>
              </w:rPr>
            </w:pPr>
            <w:r>
              <w:rPr>
                <w:rFonts w:hint="eastAsia" w:ascii="宋体" w:hAnsi="宋体"/>
                <w:kern w:val="0"/>
              </w:rPr>
              <w:t>1.境内股东书面申请（持股基本情况、变更事项等）。</w:t>
            </w:r>
          </w:p>
          <w:p>
            <w:pPr>
              <w:widowControl/>
              <w:snapToGrid w:val="0"/>
              <w:jc w:val="left"/>
              <w:rPr>
                <w:rFonts w:ascii="宋体" w:hAnsi="宋体"/>
                <w:kern w:val="0"/>
              </w:rPr>
            </w:pPr>
            <w:r>
              <w:rPr>
                <w:rFonts w:hint="eastAsia" w:ascii="宋体" w:hAnsi="宋体"/>
                <w:kern w:val="0"/>
              </w:rPr>
              <w:t>2.原《业务登记凭证》以及最新填写的《境外持股登记表》。</w:t>
            </w:r>
          </w:p>
          <w:p>
            <w:pPr>
              <w:widowControl/>
              <w:snapToGrid w:val="0"/>
              <w:jc w:val="left"/>
              <w:rPr>
                <w:rFonts w:ascii="宋体" w:hAnsi="宋体"/>
                <w:kern w:val="0"/>
              </w:rPr>
            </w:pPr>
            <w:r>
              <w:rPr>
                <w:rFonts w:hint="eastAsia" w:ascii="宋体" w:hAnsi="宋体"/>
                <w:kern w:val="0"/>
              </w:rPr>
              <w:t>3.相关交易真实性证明材料。</w:t>
            </w:r>
          </w:p>
          <w:p>
            <w:pPr>
              <w:widowControl/>
              <w:snapToGrid w:val="0"/>
              <w:jc w:val="left"/>
              <w:rPr>
                <w:rFonts w:ascii="宋体" w:hAnsi="宋体"/>
                <w:kern w:val="0"/>
              </w:rPr>
            </w:pPr>
            <w:r>
              <w:rPr>
                <w:rFonts w:hint="eastAsia" w:ascii="宋体" w:hAnsi="宋体"/>
                <w:kern w:val="0"/>
              </w:rPr>
              <w:t>4.前述材料内容不一致或不能说明交易真实性时，要求提供的补充材料。</w:t>
            </w:r>
          </w:p>
          <w:p>
            <w:pPr>
              <w:widowControl/>
              <w:snapToGrid w:val="0"/>
              <w:jc w:val="left"/>
              <w:rPr>
                <w:rFonts w:hint="default"/>
                <w:kern w:val="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1" w:hRule="atLeast"/>
          <w:jc w:val="center"/>
        </w:trPr>
        <w:tc>
          <w:tcPr>
            <w:tcW w:w="1093" w:type="dxa"/>
            <w:tcBorders>
              <w:top w:val="single" w:color="000000" w:sz="4" w:space="0"/>
              <w:left w:val="single" w:color="000000" w:sz="4" w:space="0"/>
              <w:bottom w:val="single" w:color="000000" w:sz="4" w:space="0"/>
              <w:right w:val="single" w:color="000000" w:sz="4" w:space="0"/>
            </w:tcBorders>
            <w:vAlign w:val="center"/>
          </w:tcPr>
          <w:p>
            <w:pPr>
              <w:widowControl/>
              <w:snapToGrid w:val="0"/>
              <w:jc w:val="left"/>
              <w:rPr>
                <w:rFonts w:hint="default"/>
                <w:kern w:val="0"/>
                <w:sz w:val="20"/>
              </w:rPr>
            </w:pPr>
            <w:r>
              <w:rPr>
                <w:rFonts w:ascii="宋体" w:hAnsi="宋体"/>
                <w:kern w:val="0"/>
              </w:rPr>
              <w:t>办理地点</w:t>
            </w:r>
          </w:p>
        </w:tc>
        <w:tc>
          <w:tcPr>
            <w:tcW w:w="7412" w:type="dxa"/>
            <w:tcBorders>
              <w:top w:val="single" w:color="000000" w:sz="4" w:space="0"/>
              <w:left w:val="nil"/>
              <w:bottom w:val="single" w:color="000000" w:sz="4" w:space="0"/>
              <w:right w:val="single" w:color="000000" w:sz="4" w:space="0"/>
            </w:tcBorders>
            <w:vAlign w:val="top"/>
          </w:tcPr>
          <w:p>
            <w:pPr>
              <w:widowControl/>
              <w:snapToGrid w:val="0"/>
              <w:jc w:val="left"/>
              <w:rPr>
                <w:rFonts w:hint="default"/>
                <w:kern w:val="0"/>
              </w:rPr>
            </w:pPr>
            <w:r>
              <w:rPr>
                <w:rFonts w:ascii="宋体" w:hAnsi="宋体"/>
                <w:kern w:val="0"/>
              </w:rPr>
              <w:t>国家外汇管理局青海省分局外汇管理处资本科（西宁市昆仑路3号人民银行政务大厅）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jc w:val="center"/>
        </w:trPr>
        <w:tc>
          <w:tcPr>
            <w:tcW w:w="1093" w:type="dxa"/>
            <w:tcBorders>
              <w:top w:val="single" w:color="000000" w:sz="4" w:space="0"/>
              <w:left w:val="single" w:color="000000" w:sz="4" w:space="0"/>
              <w:bottom w:val="single" w:color="000000" w:sz="4" w:space="0"/>
              <w:right w:val="single" w:color="000000" w:sz="4" w:space="0"/>
            </w:tcBorders>
            <w:vAlign w:val="center"/>
          </w:tcPr>
          <w:p>
            <w:pPr>
              <w:widowControl/>
              <w:snapToGrid w:val="0"/>
              <w:jc w:val="left"/>
              <w:rPr>
                <w:rFonts w:hint="default"/>
                <w:kern w:val="0"/>
                <w:sz w:val="20"/>
              </w:rPr>
            </w:pPr>
            <w:r>
              <w:rPr>
                <w:rFonts w:ascii="宋体" w:hAnsi="宋体"/>
                <w:kern w:val="0"/>
              </w:rPr>
              <w:t>办理时间</w:t>
            </w:r>
          </w:p>
          <w:p>
            <w:pPr>
              <w:widowControl/>
              <w:spacing w:line="271" w:lineRule="auto"/>
              <w:jc w:val="center"/>
              <w:rPr>
                <w:rFonts w:hint="default" w:ascii="Times New Roman" w:eastAsia="Times New Roman"/>
                <w:b/>
                <w:kern w:val="0"/>
              </w:rPr>
            </w:pPr>
          </w:p>
        </w:tc>
        <w:tc>
          <w:tcPr>
            <w:tcW w:w="7412" w:type="dxa"/>
            <w:tcBorders>
              <w:top w:val="single" w:color="000000" w:sz="4" w:space="0"/>
              <w:left w:val="nil"/>
              <w:bottom w:val="single" w:color="000000" w:sz="4" w:space="0"/>
              <w:right w:val="single" w:color="000000" w:sz="4" w:space="0"/>
            </w:tcBorders>
            <w:vAlign w:val="top"/>
          </w:tcPr>
          <w:p>
            <w:pPr>
              <w:widowControl/>
              <w:snapToGrid w:val="0"/>
              <w:jc w:val="left"/>
              <w:rPr>
                <w:rFonts w:hint="default"/>
                <w:kern w:val="0"/>
              </w:rPr>
            </w:pPr>
            <w:r>
              <w:rPr>
                <w:rFonts w:ascii="宋体" w:hAnsi="宋体"/>
                <w:kern w:val="0"/>
              </w:rPr>
              <w:t>周一至周五（法定节假日除外）</w:t>
            </w:r>
          </w:p>
          <w:p>
            <w:pPr>
              <w:widowControl/>
              <w:snapToGrid w:val="0"/>
              <w:jc w:val="left"/>
              <w:rPr>
                <w:rFonts w:hint="default"/>
                <w:kern w:val="0"/>
                <w:sz w:val="20"/>
              </w:rPr>
            </w:pPr>
            <w:r>
              <w:rPr>
                <w:rFonts w:ascii="宋体" w:hAnsi="宋体"/>
                <w:kern w:val="0"/>
              </w:rPr>
              <w:t>上午8：30-11：30，下午2：00-5：30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jc w:val="center"/>
        </w:trPr>
        <w:tc>
          <w:tcPr>
            <w:tcW w:w="1093" w:type="dxa"/>
            <w:tcBorders>
              <w:top w:val="single" w:color="000000" w:sz="4" w:space="0"/>
              <w:left w:val="single" w:color="000000" w:sz="4" w:space="0"/>
              <w:bottom w:val="single" w:color="000000" w:sz="4" w:space="0"/>
              <w:right w:val="single" w:color="000000" w:sz="4" w:space="0"/>
            </w:tcBorders>
            <w:vAlign w:val="center"/>
          </w:tcPr>
          <w:p>
            <w:pPr>
              <w:widowControl/>
              <w:snapToGrid w:val="0"/>
              <w:jc w:val="left"/>
              <w:rPr>
                <w:rFonts w:hint="default"/>
                <w:kern w:val="0"/>
                <w:sz w:val="20"/>
              </w:rPr>
            </w:pPr>
            <w:r>
              <w:rPr>
                <w:rFonts w:ascii="宋体" w:hAnsi="宋体"/>
                <w:kern w:val="0"/>
              </w:rPr>
              <w:t>联系电话</w:t>
            </w:r>
          </w:p>
        </w:tc>
        <w:tc>
          <w:tcPr>
            <w:tcW w:w="7412" w:type="dxa"/>
            <w:tcBorders>
              <w:top w:val="single" w:color="000000" w:sz="4" w:space="0"/>
              <w:left w:val="nil"/>
              <w:bottom w:val="single" w:color="000000" w:sz="4" w:space="0"/>
              <w:right w:val="single" w:color="000000" w:sz="4" w:space="0"/>
            </w:tcBorders>
            <w:vAlign w:val="top"/>
          </w:tcPr>
          <w:p>
            <w:pPr>
              <w:widowControl/>
              <w:snapToGrid w:val="0"/>
              <w:jc w:val="left"/>
              <w:rPr>
                <w:rFonts w:hint="default"/>
                <w:kern w:val="0"/>
              </w:rPr>
            </w:pPr>
            <w:r>
              <w:rPr>
                <w:rFonts w:ascii="宋体" w:hAnsi="宋体"/>
                <w:kern w:val="0"/>
              </w:rPr>
              <w:t>0971-6126143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jc w:val="center"/>
        </w:trPr>
        <w:tc>
          <w:tcPr>
            <w:tcW w:w="1093" w:type="dxa"/>
            <w:tcBorders>
              <w:top w:val="single" w:color="000000" w:sz="4" w:space="0"/>
              <w:left w:val="single" w:color="000000" w:sz="4" w:space="0"/>
              <w:bottom w:val="single" w:color="000000" w:sz="4" w:space="0"/>
              <w:right w:val="single" w:color="000000" w:sz="4" w:space="0"/>
            </w:tcBorders>
            <w:vAlign w:val="center"/>
          </w:tcPr>
          <w:p>
            <w:pPr>
              <w:widowControl/>
              <w:snapToGrid w:val="0"/>
              <w:jc w:val="left"/>
              <w:rPr>
                <w:rFonts w:hint="default"/>
                <w:kern w:val="0"/>
                <w:sz w:val="20"/>
              </w:rPr>
            </w:pPr>
            <w:r>
              <w:rPr>
                <w:rFonts w:ascii="宋体" w:hAnsi="宋体"/>
                <w:kern w:val="0"/>
              </w:rPr>
              <w:t>办理流程</w:t>
            </w:r>
          </w:p>
        </w:tc>
        <w:tc>
          <w:tcPr>
            <w:tcW w:w="7412" w:type="dxa"/>
            <w:tcBorders>
              <w:top w:val="single" w:color="000000" w:sz="4" w:space="0"/>
              <w:left w:val="nil"/>
              <w:bottom w:val="single" w:color="000000" w:sz="4" w:space="0"/>
              <w:right w:val="single" w:color="000000" w:sz="4" w:space="0"/>
            </w:tcBorders>
            <w:vAlign w:val="top"/>
          </w:tcPr>
          <w:p>
            <w:pPr>
              <w:widowControl/>
              <w:snapToGrid w:val="0"/>
              <w:jc w:val="left"/>
              <w:rPr>
                <w:rFonts w:hint="default"/>
                <w:kern w:val="0"/>
              </w:rPr>
            </w:pPr>
            <w:r>
              <w:rPr>
                <w:rFonts w:ascii="宋体" w:hAnsi="宋体"/>
                <w:kern w:val="0"/>
              </w:rPr>
              <w:t>1.企业</w:t>
            </w:r>
            <w:r>
              <w:rPr>
                <w:rFonts w:hint="eastAsia" w:ascii="宋体" w:hAnsi="宋体"/>
                <w:kern w:val="0"/>
                <w:lang w:val="en-US" w:eastAsia="zh-CN"/>
              </w:rPr>
              <w:t>提出申请</w:t>
            </w:r>
            <w:r>
              <w:rPr>
                <w:rFonts w:ascii="宋体" w:hAnsi="宋体"/>
                <w:kern w:val="0"/>
              </w:rPr>
              <w:t>；</w:t>
            </w:r>
          </w:p>
          <w:p>
            <w:pPr>
              <w:widowControl/>
              <w:snapToGrid w:val="0"/>
              <w:jc w:val="left"/>
              <w:rPr>
                <w:rFonts w:hint="eastAsia" w:ascii="宋体" w:hAnsi="宋体"/>
                <w:kern w:val="0"/>
                <w:lang w:val="en-US" w:eastAsia="zh-CN"/>
              </w:rPr>
            </w:pPr>
            <w:r>
              <w:rPr>
                <w:rFonts w:ascii="宋体" w:hAnsi="宋体"/>
                <w:kern w:val="0"/>
              </w:rPr>
              <w:t>2.</w:t>
            </w:r>
            <w:r>
              <w:rPr>
                <w:rFonts w:hint="eastAsia" w:ascii="宋体" w:hAnsi="宋体"/>
                <w:kern w:val="0"/>
                <w:lang w:val="en-US" w:eastAsia="zh-CN"/>
              </w:rPr>
              <w:t>外汇局办理登记;</w:t>
            </w:r>
          </w:p>
          <w:p>
            <w:pPr>
              <w:widowControl/>
              <w:snapToGrid w:val="0"/>
              <w:jc w:val="left"/>
              <w:rPr>
                <w:rFonts w:hint="default" w:ascii="宋体" w:hAnsi="宋体"/>
                <w:kern w:val="0"/>
                <w:lang w:val="en-US" w:eastAsia="zh-CN"/>
              </w:rPr>
            </w:pPr>
            <w:r>
              <w:rPr>
                <w:rFonts w:hint="eastAsia" w:ascii="宋体" w:hAnsi="宋体"/>
                <w:kern w:val="0"/>
                <w:lang w:val="en-US" w:eastAsia="zh-CN"/>
              </w:rPr>
              <w:t>3.原业务登记凭证收回,颁发新的业务登记凭证。</w:t>
            </w:r>
          </w:p>
        </w:tc>
      </w:tr>
    </w:tbl>
    <w:p>
      <w:pPr>
        <w:widowControl/>
        <w:rPr>
          <w:rFonts w:hint="default"/>
          <w:kern w:val="0"/>
        </w:rPr>
      </w:pPr>
    </w:p>
    <w:p>
      <w:pPr>
        <w:widowControl/>
        <w:rPr>
          <w:rFonts w:hint="default"/>
          <w:kern w:val="0"/>
        </w:rPr>
      </w:pPr>
    </w:p>
    <w:p>
      <w:pPr>
        <w:widowControl/>
        <w:rPr>
          <w:rFonts w:hint="default"/>
          <w:kern w:val="0"/>
        </w:rPr>
      </w:pPr>
    </w:p>
    <w:p>
      <w:pPr>
        <w:widowControl/>
        <w:rPr>
          <w:rFonts w:hint="default"/>
          <w:kern w:val="0"/>
        </w:rPr>
      </w:pPr>
    </w:p>
    <w:p>
      <w:pPr>
        <w:widowControl/>
        <w:rPr>
          <w:rFonts w:hint="default"/>
          <w:kern w:val="0"/>
        </w:rPr>
      </w:pPr>
    </w:p>
    <w:p>
      <w:pPr>
        <w:widowControl/>
        <w:rPr>
          <w:rFonts w:hint="default"/>
          <w:kern w:val="0"/>
        </w:rPr>
      </w:pPr>
    </w:p>
    <w:p>
      <w:pPr>
        <w:widowControl/>
        <w:rPr>
          <w:rFonts w:hint="default"/>
          <w:kern w:val="0"/>
        </w:rPr>
      </w:pPr>
    </w:p>
    <w:p>
      <w:pPr>
        <w:widowControl/>
        <w:rPr>
          <w:rFonts w:hint="default"/>
          <w:kern w:val="0"/>
        </w:rPr>
      </w:pPr>
    </w:p>
    <w:p>
      <w:pPr>
        <w:widowControl/>
        <w:rPr>
          <w:rFonts w:hint="default"/>
          <w:kern w:val="0"/>
        </w:rPr>
      </w:pPr>
    </w:p>
    <w:p>
      <w:pPr>
        <w:widowControl/>
        <w:rPr>
          <w:rFonts w:hint="default"/>
          <w:kern w:val="0"/>
        </w:rPr>
      </w:pPr>
    </w:p>
    <w:p>
      <w:pPr>
        <w:widowControl/>
        <w:rPr>
          <w:rFonts w:hint="default"/>
          <w:kern w:val="0"/>
        </w:rPr>
      </w:pPr>
    </w:p>
    <w:p>
      <w:pPr>
        <w:widowControl/>
        <w:rPr>
          <w:rFonts w:hint="default"/>
          <w:kern w:val="0"/>
        </w:rPr>
      </w:pPr>
    </w:p>
    <w:p>
      <w:pPr>
        <w:widowControl/>
        <w:rPr>
          <w:rFonts w:hint="default"/>
          <w:kern w:val="0"/>
        </w:rPr>
      </w:pPr>
    </w:p>
    <w:p>
      <w:pPr>
        <w:widowControl/>
        <w:rPr>
          <w:rFonts w:hint="default"/>
          <w:kern w:val="0"/>
        </w:rPr>
      </w:pPr>
    </w:p>
    <w:p>
      <w:pPr>
        <w:widowControl/>
        <w:rPr>
          <w:rFonts w:hint="default"/>
          <w:kern w:val="0"/>
        </w:rPr>
      </w:pPr>
    </w:p>
    <w:p>
      <w:pPr>
        <w:widowControl/>
        <w:rPr>
          <w:rFonts w:hint="default"/>
          <w:kern w:val="0"/>
        </w:rPr>
      </w:pPr>
    </w:p>
    <w:p>
      <w:pPr>
        <w:widowControl/>
        <w:rPr>
          <w:rFonts w:hint="default"/>
          <w:kern w:val="0"/>
        </w:rPr>
      </w:pPr>
    </w:p>
    <w:p>
      <w:pPr>
        <w:widowControl/>
        <w:rPr>
          <w:rFonts w:hint="default"/>
          <w:kern w:val="0"/>
        </w:rPr>
      </w:pPr>
    </w:p>
    <w:p>
      <w:pPr>
        <w:widowControl/>
        <w:rPr>
          <w:rFonts w:hint="default"/>
          <w:kern w:val="0"/>
        </w:rPr>
      </w:pPr>
    </w:p>
    <w:p>
      <w:pPr>
        <w:widowControl/>
        <w:rPr>
          <w:rFonts w:hint="default"/>
          <w:kern w:val="0"/>
        </w:rPr>
      </w:pPr>
    </w:p>
    <w:p>
      <w:pPr>
        <w:widowControl/>
        <w:rPr>
          <w:rFonts w:hint="default"/>
          <w:kern w:val="0"/>
        </w:rPr>
      </w:pPr>
    </w:p>
    <w:p>
      <w:pPr>
        <w:widowControl/>
        <w:rPr>
          <w:rFonts w:hint="default"/>
          <w:kern w:val="0"/>
        </w:rPr>
      </w:pPr>
    </w:p>
    <w:p>
      <w:pPr>
        <w:widowControl/>
        <w:rPr>
          <w:rFonts w:hint="default"/>
          <w:kern w:val="0"/>
        </w:rPr>
      </w:pPr>
    </w:p>
    <w:tbl>
      <w:tblPr>
        <w:tblStyle w:val="16"/>
        <w:tblW w:w="850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093"/>
        <w:gridCol w:w="741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jc w:val="center"/>
        </w:trPr>
        <w:tc>
          <w:tcPr>
            <w:tcW w:w="1093" w:type="dxa"/>
            <w:tcBorders>
              <w:top w:val="single" w:color="000000" w:sz="4" w:space="0"/>
              <w:left w:val="single" w:color="000000" w:sz="4" w:space="0"/>
              <w:bottom w:val="single" w:color="000000" w:sz="4" w:space="0"/>
              <w:right w:val="single" w:color="000000" w:sz="4" w:space="0"/>
            </w:tcBorders>
            <w:vAlign w:val="center"/>
          </w:tcPr>
          <w:p>
            <w:pPr>
              <w:widowControl/>
              <w:snapToGrid w:val="0"/>
              <w:jc w:val="left"/>
              <w:rPr>
                <w:rFonts w:hint="default"/>
                <w:kern w:val="0"/>
                <w:sz w:val="20"/>
              </w:rPr>
            </w:pPr>
            <w:r>
              <w:rPr>
                <w:rFonts w:ascii="宋体" w:hAnsi="宋体"/>
                <w:kern w:val="0"/>
              </w:rPr>
              <w:t>业务名称</w:t>
            </w:r>
          </w:p>
        </w:tc>
        <w:tc>
          <w:tcPr>
            <w:tcW w:w="7412" w:type="dxa"/>
            <w:tcBorders>
              <w:top w:val="single" w:color="000000" w:sz="4" w:space="0"/>
              <w:left w:val="nil"/>
              <w:bottom w:val="single" w:color="000000" w:sz="4" w:space="0"/>
              <w:right w:val="single" w:color="000000" w:sz="4" w:space="0"/>
            </w:tcBorders>
            <w:vAlign w:val="center"/>
          </w:tcPr>
          <w:p>
            <w:pPr>
              <w:widowControl/>
              <w:snapToGrid w:val="0"/>
              <w:jc w:val="left"/>
              <w:rPr>
                <w:rFonts w:hint="default"/>
                <w:b/>
                <w:kern w:val="0"/>
                <w:sz w:val="20"/>
              </w:rPr>
            </w:pPr>
            <w:r>
              <w:rPr>
                <w:rFonts w:ascii="宋体" w:hAnsi="宋体"/>
                <w:b/>
                <w:kern w:val="0"/>
              </w:rPr>
              <w:t>（十</w:t>
            </w:r>
            <w:r>
              <w:rPr>
                <w:rFonts w:hint="eastAsia" w:ascii="宋体" w:hAnsi="宋体"/>
                <w:b/>
                <w:kern w:val="0"/>
                <w:lang w:eastAsia="zh-CN"/>
              </w:rPr>
              <w:t>九</w:t>
            </w:r>
            <w:r>
              <w:rPr>
                <w:rFonts w:ascii="宋体" w:hAnsi="宋体"/>
                <w:b/>
                <w:kern w:val="0"/>
              </w:rPr>
              <w:t>）</w:t>
            </w:r>
            <w:r>
              <w:rPr>
                <w:rFonts w:hint="eastAsia" w:ascii="宋体" w:hAnsi="宋体"/>
                <w:b/>
                <w:kern w:val="0"/>
                <w:lang w:eastAsia="zh-CN"/>
              </w:rPr>
              <w:t>境内机构</w:t>
            </w:r>
            <w:r>
              <w:rPr>
                <w:rFonts w:ascii="宋体" w:hAnsi="宋体"/>
                <w:b/>
                <w:kern w:val="0"/>
              </w:rPr>
              <w:t>境外衍生业务外汇登记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jc w:val="center"/>
        </w:trPr>
        <w:tc>
          <w:tcPr>
            <w:tcW w:w="1093" w:type="dxa"/>
            <w:tcBorders>
              <w:top w:val="single" w:color="000000" w:sz="4" w:space="0"/>
              <w:left w:val="single" w:color="000000" w:sz="4" w:space="0"/>
              <w:bottom w:val="single" w:color="000000" w:sz="4" w:space="0"/>
              <w:right w:val="single" w:color="000000" w:sz="4" w:space="0"/>
            </w:tcBorders>
            <w:vAlign w:val="center"/>
          </w:tcPr>
          <w:p>
            <w:pPr>
              <w:widowControl/>
              <w:snapToGrid w:val="0"/>
              <w:jc w:val="left"/>
              <w:rPr>
                <w:rFonts w:hint="default"/>
                <w:kern w:val="0"/>
                <w:sz w:val="20"/>
              </w:rPr>
            </w:pPr>
            <w:r>
              <w:rPr>
                <w:rFonts w:ascii="宋体" w:hAnsi="宋体"/>
                <w:kern w:val="0"/>
              </w:rPr>
              <w:t>设定依据</w:t>
            </w:r>
          </w:p>
          <w:p>
            <w:pPr>
              <w:widowControl/>
              <w:spacing w:line="271" w:lineRule="auto"/>
              <w:jc w:val="center"/>
              <w:rPr>
                <w:rFonts w:hint="default" w:ascii="Times New Roman" w:eastAsia="Times New Roman"/>
                <w:b/>
                <w:kern w:val="0"/>
              </w:rPr>
            </w:pPr>
          </w:p>
        </w:tc>
        <w:tc>
          <w:tcPr>
            <w:tcW w:w="7412" w:type="dxa"/>
            <w:tcBorders>
              <w:top w:val="single" w:color="000000" w:sz="4" w:space="0"/>
              <w:left w:val="nil"/>
              <w:bottom w:val="single" w:color="000000" w:sz="4" w:space="0"/>
              <w:right w:val="single" w:color="000000" w:sz="4" w:space="0"/>
            </w:tcBorders>
            <w:vAlign w:val="center"/>
          </w:tcPr>
          <w:p>
            <w:pPr>
              <w:widowControl/>
              <w:snapToGrid w:val="0"/>
              <w:jc w:val="left"/>
              <w:rPr>
                <w:rFonts w:ascii="宋体" w:hAnsi="宋体"/>
                <w:kern w:val="0"/>
              </w:rPr>
            </w:pPr>
            <w:r>
              <w:rPr>
                <w:rFonts w:ascii="宋体" w:hAnsi="宋体"/>
                <w:kern w:val="0"/>
              </w:rPr>
              <w:t>1.《中华人民共和国外汇管理条例》（国务院令第532号）</w:t>
            </w:r>
            <w:r>
              <w:rPr>
                <w:rFonts w:hint="eastAsia" w:ascii="宋体" w:hAnsi="宋体"/>
                <w:kern w:val="0"/>
              </w:rPr>
              <w:t>。</w:t>
            </w:r>
          </w:p>
          <w:p>
            <w:pPr>
              <w:widowControl/>
              <w:snapToGrid w:val="0"/>
              <w:jc w:val="left"/>
              <w:rPr>
                <w:rFonts w:ascii="宋体" w:hAnsi="宋体"/>
                <w:kern w:val="0"/>
              </w:rPr>
            </w:pPr>
            <w:r>
              <w:rPr>
                <w:rFonts w:ascii="宋体" w:hAnsi="宋体"/>
                <w:kern w:val="0"/>
              </w:rPr>
              <w:t>2.《国有企业境外期货套期保值业务管理办法》（证监发〔2001〕81号）</w:t>
            </w:r>
            <w:r>
              <w:rPr>
                <w:rFonts w:hint="eastAsia" w:ascii="宋体" w:hAnsi="宋体"/>
                <w:kern w:val="0"/>
              </w:rPr>
              <w:t>。</w:t>
            </w:r>
          </w:p>
          <w:p>
            <w:pPr>
              <w:widowControl/>
              <w:snapToGrid w:val="0"/>
              <w:jc w:val="left"/>
              <w:rPr>
                <w:rFonts w:ascii="宋体" w:hAnsi="宋体"/>
                <w:kern w:val="0"/>
              </w:rPr>
            </w:pPr>
            <w:r>
              <w:rPr>
                <w:rFonts w:hint="eastAsia" w:ascii="宋体" w:hAnsi="宋体"/>
                <w:kern w:val="0"/>
              </w:rPr>
              <w:t>3.</w:t>
            </w:r>
            <w:r>
              <w:rPr>
                <w:rFonts w:ascii="宋体" w:hAnsi="宋体"/>
                <w:kern w:val="0"/>
              </w:rPr>
              <w:t>《国家外汇管理局关于国有企业境外期货套期保值业务外汇管理有关问题的通知》（汇发〔2013〕25号）</w:t>
            </w:r>
            <w:r>
              <w:rPr>
                <w:rFonts w:hint="eastAsia" w:ascii="宋体" w:hAnsi="宋体"/>
                <w:kern w:val="0"/>
              </w:rPr>
              <w:t>。</w:t>
            </w:r>
          </w:p>
          <w:p>
            <w:pPr>
              <w:widowControl/>
              <w:snapToGrid w:val="0"/>
              <w:jc w:val="left"/>
              <w:rPr>
                <w:rFonts w:ascii="宋体" w:hAnsi="宋体"/>
                <w:kern w:val="0"/>
              </w:rPr>
            </w:pPr>
            <w:r>
              <w:rPr>
                <w:rFonts w:hint="eastAsia" w:ascii="宋体" w:hAnsi="宋体"/>
                <w:kern w:val="0"/>
              </w:rPr>
              <w:t>4.其他相关法规。</w:t>
            </w:r>
          </w:p>
          <w:p>
            <w:pPr>
              <w:widowControl/>
              <w:snapToGrid w:val="0"/>
              <w:jc w:val="left"/>
              <w:rPr>
                <w:rFonts w:hint="default"/>
                <w:kern w:val="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jc w:val="center"/>
        </w:trPr>
        <w:tc>
          <w:tcPr>
            <w:tcW w:w="1093"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rFonts w:ascii="宋体" w:hAnsi="宋体"/>
                <w:kern w:val="0"/>
              </w:rPr>
            </w:pPr>
            <w:r>
              <w:rPr>
                <w:rFonts w:ascii="宋体" w:hAnsi="宋体"/>
                <w:kern w:val="0"/>
              </w:rPr>
              <w:t>申请条件</w:t>
            </w:r>
          </w:p>
          <w:p>
            <w:pPr>
              <w:widowControl/>
              <w:snapToGrid w:val="0"/>
              <w:jc w:val="center"/>
              <w:rPr>
                <w:rFonts w:hint="eastAsia" w:ascii="宋体" w:hAnsi="宋体"/>
                <w:kern w:val="0"/>
                <w:lang w:val="en-US" w:eastAsia="zh-CN"/>
              </w:rPr>
            </w:pPr>
            <w:r>
              <w:rPr>
                <w:rFonts w:hint="eastAsia" w:ascii="宋体" w:hAnsi="宋体"/>
                <w:kern w:val="0"/>
                <w:lang w:val="en-US" w:eastAsia="zh-CN"/>
              </w:rPr>
              <w:t>及</w:t>
            </w:r>
          </w:p>
          <w:p>
            <w:pPr>
              <w:widowControl/>
              <w:snapToGrid w:val="0"/>
              <w:jc w:val="center"/>
              <w:rPr>
                <w:rFonts w:hint="eastAsia" w:ascii="宋体" w:hAnsi="宋体"/>
                <w:kern w:val="0"/>
                <w:lang w:val="en-US" w:eastAsia="zh-CN"/>
              </w:rPr>
            </w:pPr>
            <w:r>
              <w:rPr>
                <w:rFonts w:hint="eastAsia" w:ascii="宋体" w:hAnsi="宋体"/>
                <w:kern w:val="0"/>
                <w:lang w:val="en-US" w:eastAsia="zh-CN"/>
              </w:rPr>
              <w:t>注意事项</w:t>
            </w:r>
          </w:p>
        </w:tc>
        <w:tc>
          <w:tcPr>
            <w:tcW w:w="7412" w:type="dxa"/>
            <w:tcBorders>
              <w:top w:val="single" w:color="000000" w:sz="4" w:space="0"/>
              <w:left w:val="nil"/>
              <w:bottom w:val="single" w:color="000000" w:sz="4" w:space="0"/>
              <w:right w:val="single" w:color="000000" w:sz="4" w:space="0"/>
            </w:tcBorders>
            <w:vAlign w:val="center"/>
          </w:tcPr>
          <w:p>
            <w:pPr>
              <w:widowControl/>
              <w:snapToGrid w:val="0"/>
              <w:jc w:val="left"/>
              <w:rPr>
                <w:rFonts w:ascii="宋体" w:hAnsi="宋体"/>
                <w:kern w:val="0"/>
              </w:rPr>
            </w:pPr>
            <w:r>
              <w:rPr>
                <w:rFonts w:ascii="宋体" w:hAnsi="宋体"/>
                <w:kern w:val="0"/>
              </w:rPr>
              <w:t>1.《境内机构境外衍生业务登记申请表》的填写内容与申请材料一致。</w:t>
            </w:r>
          </w:p>
          <w:p>
            <w:pPr>
              <w:widowControl/>
              <w:snapToGrid w:val="0"/>
              <w:jc w:val="left"/>
              <w:rPr>
                <w:rFonts w:ascii="宋体" w:hAnsi="宋体"/>
                <w:kern w:val="0"/>
              </w:rPr>
            </w:pPr>
            <w:r>
              <w:rPr>
                <w:rFonts w:ascii="宋体" w:hAnsi="宋体"/>
                <w:kern w:val="0"/>
              </w:rPr>
              <w:t>2.</w:t>
            </w:r>
            <w:r>
              <w:rPr>
                <w:rFonts w:hint="eastAsia" w:ascii="宋体" w:hAnsi="宋体"/>
                <w:kern w:val="0"/>
              </w:rPr>
              <w:t>登记的对外付汇</w:t>
            </w:r>
            <w:r>
              <w:rPr>
                <w:rFonts w:ascii="宋体" w:hAnsi="宋体"/>
                <w:kern w:val="0"/>
              </w:rPr>
              <w:t>额度与</w:t>
            </w:r>
            <w:r>
              <w:rPr>
                <w:rFonts w:hint="eastAsia" w:ascii="宋体" w:hAnsi="宋体"/>
                <w:kern w:val="0"/>
              </w:rPr>
              <w:t>证监会、</w:t>
            </w:r>
            <w:r>
              <w:rPr>
                <w:rFonts w:ascii="宋体" w:hAnsi="宋体"/>
                <w:kern w:val="0"/>
              </w:rPr>
              <w:t>国资委</w:t>
            </w:r>
            <w:r>
              <w:rPr>
                <w:rFonts w:hint="eastAsia" w:ascii="宋体" w:hAnsi="宋体"/>
                <w:kern w:val="0"/>
              </w:rPr>
              <w:t>相关证明性文件或无异议函、或</w:t>
            </w:r>
            <w:r>
              <w:rPr>
                <w:rFonts w:ascii="宋体" w:hAnsi="宋体"/>
                <w:kern w:val="0"/>
              </w:rPr>
              <w:t>集团额度分配文件一致。</w:t>
            </w:r>
          </w:p>
          <w:p>
            <w:pPr>
              <w:widowControl/>
              <w:snapToGrid w:val="0"/>
              <w:jc w:val="left"/>
              <w:rPr>
                <w:rFonts w:hint="default"/>
                <w:kern w:val="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jc w:val="center"/>
        </w:trPr>
        <w:tc>
          <w:tcPr>
            <w:tcW w:w="1093" w:type="dxa"/>
            <w:tcBorders>
              <w:top w:val="single" w:color="000000" w:sz="4" w:space="0"/>
              <w:left w:val="single" w:color="000000" w:sz="4" w:space="0"/>
              <w:bottom w:val="single" w:color="000000" w:sz="4" w:space="0"/>
              <w:right w:val="single" w:color="000000" w:sz="4" w:space="0"/>
            </w:tcBorders>
            <w:vAlign w:val="center"/>
          </w:tcPr>
          <w:p>
            <w:pPr>
              <w:widowControl/>
              <w:snapToGrid w:val="0"/>
              <w:jc w:val="left"/>
              <w:rPr>
                <w:rFonts w:hint="default"/>
                <w:kern w:val="0"/>
                <w:sz w:val="20"/>
              </w:rPr>
            </w:pPr>
            <w:r>
              <w:rPr>
                <w:rFonts w:ascii="宋体" w:hAnsi="宋体"/>
                <w:kern w:val="0"/>
              </w:rPr>
              <w:t>办理材料</w:t>
            </w:r>
          </w:p>
        </w:tc>
        <w:tc>
          <w:tcPr>
            <w:tcW w:w="7412" w:type="dxa"/>
            <w:tcBorders>
              <w:top w:val="single" w:color="000000" w:sz="4" w:space="0"/>
              <w:left w:val="nil"/>
              <w:bottom w:val="single" w:color="000000" w:sz="4" w:space="0"/>
              <w:right w:val="single" w:color="000000" w:sz="4" w:space="0"/>
            </w:tcBorders>
            <w:vAlign w:val="center"/>
          </w:tcPr>
          <w:p>
            <w:pPr>
              <w:widowControl/>
              <w:snapToGrid w:val="0"/>
              <w:jc w:val="left"/>
              <w:rPr>
                <w:rFonts w:ascii="宋体" w:hAnsi="宋体"/>
                <w:kern w:val="0"/>
              </w:rPr>
            </w:pPr>
            <w:r>
              <w:rPr>
                <w:rFonts w:ascii="宋体" w:hAnsi="宋体"/>
                <w:kern w:val="0"/>
              </w:rPr>
              <w:t>1.填写完备并加盖公章的《境内机构境外衍生业务登记申请表》。</w:t>
            </w:r>
          </w:p>
          <w:p>
            <w:pPr>
              <w:widowControl/>
              <w:snapToGrid w:val="0"/>
              <w:jc w:val="left"/>
              <w:rPr>
                <w:rFonts w:ascii="宋体" w:hAnsi="宋体"/>
                <w:kern w:val="0"/>
              </w:rPr>
            </w:pPr>
            <w:r>
              <w:rPr>
                <w:rFonts w:ascii="宋体" w:hAnsi="宋体"/>
                <w:kern w:val="0"/>
              </w:rPr>
              <w:t>2</w:t>
            </w:r>
            <w:r>
              <w:rPr>
                <w:rFonts w:hint="eastAsia" w:ascii="宋体" w:hAnsi="宋体"/>
                <w:kern w:val="0"/>
              </w:rPr>
              <w:t>.</w:t>
            </w:r>
            <w:r>
              <w:rPr>
                <w:rFonts w:ascii="宋体" w:hAnsi="宋体"/>
                <w:kern w:val="0"/>
              </w:rPr>
              <w:t>证监</w:t>
            </w:r>
            <w:r>
              <w:rPr>
                <w:rFonts w:hint="eastAsia" w:ascii="宋体" w:hAnsi="宋体"/>
                <w:kern w:val="0"/>
              </w:rPr>
              <w:t>部门（证监会或地方证监局）关于国有企业境外期货业务的证明性文件（或无异议函）或</w:t>
            </w:r>
            <w:r>
              <w:rPr>
                <w:rFonts w:ascii="宋体" w:hAnsi="宋体"/>
                <w:kern w:val="0"/>
              </w:rPr>
              <w:t>国资委关于中央企业从事境外金融衍生业务的</w:t>
            </w:r>
            <w:r>
              <w:rPr>
                <w:rFonts w:hint="eastAsia" w:ascii="宋体" w:hAnsi="宋体"/>
                <w:kern w:val="0"/>
              </w:rPr>
              <w:t>证明性文件（或无异议函）。</w:t>
            </w:r>
          </w:p>
          <w:p>
            <w:pPr>
              <w:widowControl/>
              <w:snapToGrid w:val="0"/>
              <w:jc w:val="left"/>
              <w:rPr>
                <w:rFonts w:ascii="宋体" w:hAnsi="宋体"/>
                <w:kern w:val="0"/>
              </w:rPr>
            </w:pPr>
            <w:r>
              <w:rPr>
                <w:rFonts w:hint="eastAsia" w:ascii="宋体" w:hAnsi="宋体"/>
                <w:kern w:val="0"/>
              </w:rPr>
              <w:t>3.中央企业</w:t>
            </w:r>
            <w:r>
              <w:rPr>
                <w:rFonts w:ascii="宋体" w:hAnsi="宋体"/>
                <w:kern w:val="0"/>
              </w:rPr>
              <w:t>集团内成员公司另需提交中央企业的额度分配文件。</w:t>
            </w:r>
          </w:p>
          <w:p>
            <w:pPr>
              <w:widowControl/>
              <w:snapToGrid w:val="0"/>
              <w:jc w:val="left"/>
              <w:rPr>
                <w:rFonts w:ascii="宋体" w:hAnsi="宋体"/>
                <w:sz w:val="24"/>
              </w:rPr>
            </w:pPr>
            <w:r>
              <w:rPr>
                <w:rFonts w:hint="eastAsia" w:ascii="宋体" w:hAnsi="宋体"/>
                <w:kern w:val="0"/>
              </w:rPr>
              <w:t>4</w:t>
            </w:r>
            <w:r>
              <w:rPr>
                <w:rFonts w:ascii="宋体" w:hAnsi="宋体"/>
                <w:kern w:val="0"/>
              </w:rPr>
              <w:t>.前述材料内容不一致或不能说明交易真实性时，要求提供的补充材料。</w:t>
            </w:r>
          </w:p>
          <w:p>
            <w:pPr>
              <w:widowControl/>
              <w:snapToGrid w:val="0"/>
              <w:jc w:val="left"/>
              <w:rPr>
                <w:rFonts w:hint="default"/>
                <w:kern w:val="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1" w:hRule="atLeast"/>
          <w:jc w:val="center"/>
        </w:trPr>
        <w:tc>
          <w:tcPr>
            <w:tcW w:w="1093" w:type="dxa"/>
            <w:tcBorders>
              <w:top w:val="single" w:color="000000" w:sz="4" w:space="0"/>
              <w:left w:val="single" w:color="000000" w:sz="4" w:space="0"/>
              <w:bottom w:val="single" w:color="000000" w:sz="4" w:space="0"/>
              <w:right w:val="single" w:color="000000" w:sz="4" w:space="0"/>
            </w:tcBorders>
            <w:vAlign w:val="center"/>
          </w:tcPr>
          <w:p>
            <w:pPr>
              <w:widowControl/>
              <w:snapToGrid w:val="0"/>
              <w:jc w:val="left"/>
              <w:rPr>
                <w:rFonts w:hint="default"/>
                <w:kern w:val="0"/>
                <w:sz w:val="20"/>
              </w:rPr>
            </w:pPr>
            <w:r>
              <w:rPr>
                <w:rFonts w:ascii="宋体" w:hAnsi="宋体"/>
                <w:kern w:val="0"/>
              </w:rPr>
              <w:t>办理地点</w:t>
            </w:r>
          </w:p>
        </w:tc>
        <w:tc>
          <w:tcPr>
            <w:tcW w:w="7412" w:type="dxa"/>
            <w:tcBorders>
              <w:top w:val="single" w:color="000000" w:sz="4" w:space="0"/>
              <w:left w:val="nil"/>
              <w:bottom w:val="single" w:color="000000" w:sz="4" w:space="0"/>
              <w:right w:val="single" w:color="000000" w:sz="4" w:space="0"/>
            </w:tcBorders>
            <w:vAlign w:val="top"/>
          </w:tcPr>
          <w:p>
            <w:pPr>
              <w:widowControl/>
              <w:snapToGrid w:val="0"/>
              <w:jc w:val="left"/>
              <w:rPr>
                <w:rFonts w:hint="default"/>
                <w:kern w:val="0"/>
              </w:rPr>
            </w:pPr>
            <w:r>
              <w:rPr>
                <w:rFonts w:ascii="宋体" w:hAnsi="宋体"/>
                <w:kern w:val="0"/>
              </w:rPr>
              <w:t>国家外汇管理局青海省分局外汇管理处资本科（西宁市昆仑路3号人民银行政务大厅）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jc w:val="center"/>
        </w:trPr>
        <w:tc>
          <w:tcPr>
            <w:tcW w:w="1093" w:type="dxa"/>
            <w:tcBorders>
              <w:top w:val="single" w:color="000000" w:sz="4" w:space="0"/>
              <w:left w:val="single" w:color="000000" w:sz="4" w:space="0"/>
              <w:bottom w:val="single" w:color="000000" w:sz="4" w:space="0"/>
              <w:right w:val="single" w:color="000000" w:sz="4" w:space="0"/>
            </w:tcBorders>
            <w:vAlign w:val="center"/>
          </w:tcPr>
          <w:p>
            <w:pPr>
              <w:widowControl/>
              <w:snapToGrid w:val="0"/>
              <w:jc w:val="left"/>
              <w:rPr>
                <w:rFonts w:hint="default"/>
                <w:kern w:val="0"/>
                <w:sz w:val="20"/>
              </w:rPr>
            </w:pPr>
            <w:r>
              <w:rPr>
                <w:rFonts w:ascii="宋体" w:hAnsi="宋体"/>
                <w:kern w:val="0"/>
              </w:rPr>
              <w:t>办理时间</w:t>
            </w:r>
          </w:p>
          <w:p>
            <w:pPr>
              <w:widowControl/>
              <w:spacing w:line="271" w:lineRule="auto"/>
              <w:jc w:val="center"/>
              <w:rPr>
                <w:rFonts w:hint="default" w:ascii="Times New Roman" w:eastAsia="Times New Roman"/>
                <w:b/>
                <w:kern w:val="0"/>
              </w:rPr>
            </w:pPr>
          </w:p>
        </w:tc>
        <w:tc>
          <w:tcPr>
            <w:tcW w:w="7412" w:type="dxa"/>
            <w:tcBorders>
              <w:top w:val="single" w:color="000000" w:sz="4" w:space="0"/>
              <w:left w:val="nil"/>
              <w:bottom w:val="single" w:color="000000" w:sz="4" w:space="0"/>
              <w:right w:val="single" w:color="000000" w:sz="4" w:space="0"/>
            </w:tcBorders>
            <w:vAlign w:val="top"/>
          </w:tcPr>
          <w:p>
            <w:pPr>
              <w:widowControl/>
              <w:snapToGrid w:val="0"/>
              <w:jc w:val="left"/>
              <w:rPr>
                <w:rFonts w:hint="default"/>
                <w:kern w:val="0"/>
              </w:rPr>
            </w:pPr>
            <w:r>
              <w:rPr>
                <w:rFonts w:ascii="宋体" w:hAnsi="宋体"/>
                <w:kern w:val="0"/>
              </w:rPr>
              <w:t>周一至周五（法定节假日除外）</w:t>
            </w:r>
          </w:p>
          <w:p>
            <w:pPr>
              <w:widowControl/>
              <w:snapToGrid w:val="0"/>
              <w:jc w:val="left"/>
              <w:rPr>
                <w:rFonts w:hint="default"/>
                <w:kern w:val="0"/>
                <w:sz w:val="20"/>
              </w:rPr>
            </w:pPr>
            <w:r>
              <w:rPr>
                <w:rFonts w:ascii="宋体" w:hAnsi="宋体"/>
                <w:kern w:val="0"/>
              </w:rPr>
              <w:t>上午8：30-11：30，下午2：00-5：30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jc w:val="center"/>
        </w:trPr>
        <w:tc>
          <w:tcPr>
            <w:tcW w:w="1093" w:type="dxa"/>
            <w:tcBorders>
              <w:top w:val="single" w:color="000000" w:sz="4" w:space="0"/>
              <w:left w:val="single" w:color="000000" w:sz="4" w:space="0"/>
              <w:bottom w:val="single" w:color="000000" w:sz="4" w:space="0"/>
              <w:right w:val="single" w:color="000000" w:sz="4" w:space="0"/>
            </w:tcBorders>
            <w:vAlign w:val="center"/>
          </w:tcPr>
          <w:p>
            <w:pPr>
              <w:widowControl/>
              <w:snapToGrid w:val="0"/>
              <w:jc w:val="left"/>
              <w:rPr>
                <w:rFonts w:hint="default"/>
                <w:kern w:val="0"/>
                <w:sz w:val="20"/>
              </w:rPr>
            </w:pPr>
            <w:r>
              <w:rPr>
                <w:rFonts w:ascii="宋体" w:hAnsi="宋体"/>
                <w:kern w:val="0"/>
              </w:rPr>
              <w:t>联系电话</w:t>
            </w:r>
          </w:p>
        </w:tc>
        <w:tc>
          <w:tcPr>
            <w:tcW w:w="7412" w:type="dxa"/>
            <w:tcBorders>
              <w:top w:val="single" w:color="000000" w:sz="4" w:space="0"/>
              <w:left w:val="nil"/>
              <w:bottom w:val="single" w:color="000000" w:sz="4" w:space="0"/>
              <w:right w:val="single" w:color="000000" w:sz="4" w:space="0"/>
            </w:tcBorders>
            <w:vAlign w:val="top"/>
          </w:tcPr>
          <w:p>
            <w:pPr>
              <w:widowControl/>
              <w:snapToGrid w:val="0"/>
              <w:jc w:val="left"/>
              <w:rPr>
                <w:rFonts w:hint="default"/>
                <w:kern w:val="0"/>
              </w:rPr>
            </w:pPr>
            <w:r>
              <w:rPr>
                <w:rFonts w:ascii="宋体" w:hAnsi="宋体"/>
                <w:kern w:val="0"/>
              </w:rPr>
              <w:t>0971-6126143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jc w:val="center"/>
        </w:trPr>
        <w:tc>
          <w:tcPr>
            <w:tcW w:w="1093" w:type="dxa"/>
            <w:tcBorders>
              <w:top w:val="single" w:color="000000" w:sz="4" w:space="0"/>
              <w:left w:val="single" w:color="000000" w:sz="4" w:space="0"/>
              <w:bottom w:val="single" w:color="000000" w:sz="4" w:space="0"/>
              <w:right w:val="single" w:color="000000" w:sz="4" w:space="0"/>
            </w:tcBorders>
            <w:vAlign w:val="center"/>
          </w:tcPr>
          <w:p>
            <w:pPr>
              <w:widowControl/>
              <w:snapToGrid w:val="0"/>
              <w:jc w:val="left"/>
              <w:rPr>
                <w:rFonts w:hint="default"/>
                <w:kern w:val="0"/>
                <w:sz w:val="20"/>
              </w:rPr>
            </w:pPr>
            <w:r>
              <w:rPr>
                <w:rFonts w:ascii="宋体" w:hAnsi="宋体"/>
                <w:kern w:val="0"/>
              </w:rPr>
              <w:t>办理流程</w:t>
            </w:r>
          </w:p>
        </w:tc>
        <w:tc>
          <w:tcPr>
            <w:tcW w:w="7412" w:type="dxa"/>
            <w:tcBorders>
              <w:top w:val="single" w:color="000000" w:sz="4" w:space="0"/>
              <w:left w:val="nil"/>
              <w:bottom w:val="single" w:color="000000" w:sz="4" w:space="0"/>
              <w:right w:val="single" w:color="000000" w:sz="4" w:space="0"/>
            </w:tcBorders>
            <w:vAlign w:val="top"/>
          </w:tcPr>
          <w:p>
            <w:pPr>
              <w:widowControl/>
              <w:snapToGrid w:val="0"/>
              <w:jc w:val="left"/>
              <w:rPr>
                <w:rFonts w:ascii="宋体" w:hAnsi="宋体"/>
                <w:kern w:val="0"/>
              </w:rPr>
            </w:pPr>
            <w:r>
              <w:rPr>
                <w:rFonts w:hint="eastAsia" w:ascii="宋体" w:hAnsi="宋体"/>
                <w:kern w:val="0"/>
              </w:rPr>
              <w:t>1.国有企业、中央企业（含其成员公司）应在取得证监部门、国资委相关证明性文件或无异议函之日起20个工作日内到外汇局办理外汇登记。</w:t>
            </w:r>
          </w:p>
          <w:p>
            <w:pPr>
              <w:widowControl/>
              <w:snapToGrid w:val="0"/>
              <w:jc w:val="left"/>
              <w:rPr>
                <w:rFonts w:ascii="宋体" w:hAnsi="宋体"/>
                <w:kern w:val="0"/>
              </w:rPr>
            </w:pPr>
            <w:r>
              <w:rPr>
                <w:rFonts w:hint="eastAsia" w:ascii="宋体" w:hAnsi="宋体"/>
                <w:kern w:val="0"/>
              </w:rPr>
              <w:t>2.中央企业若将额度分配给成员公司的，应先到中央企业所在地外汇局办理登记，然后成员公司到其所在地外汇局办理相关登记。</w:t>
            </w:r>
          </w:p>
          <w:p>
            <w:pPr>
              <w:widowControl/>
              <w:snapToGrid w:val="0"/>
              <w:jc w:val="left"/>
              <w:rPr>
                <w:rFonts w:hint="default"/>
                <w:kern w:val="0"/>
                <w:sz w:val="20"/>
              </w:rPr>
            </w:pPr>
          </w:p>
        </w:tc>
      </w:tr>
    </w:tbl>
    <w:p>
      <w:pPr>
        <w:rPr>
          <w:rFonts w:hint="default" w:eastAsia="Times New Roman"/>
        </w:rPr>
      </w:pPr>
    </w:p>
    <w:p>
      <w:pPr>
        <w:rPr>
          <w:rFonts w:hint="default" w:eastAsia="Times New Roman"/>
        </w:rPr>
      </w:pPr>
    </w:p>
    <w:p>
      <w:pPr>
        <w:rPr>
          <w:rFonts w:hint="default" w:eastAsia="Times New Roman"/>
        </w:rPr>
      </w:pPr>
    </w:p>
    <w:p>
      <w:pPr>
        <w:rPr>
          <w:rFonts w:hint="default" w:eastAsia="Times New Roman"/>
        </w:rPr>
      </w:pPr>
    </w:p>
    <w:p>
      <w:pPr>
        <w:rPr>
          <w:rFonts w:hint="default" w:eastAsia="Times New Roman"/>
        </w:rPr>
      </w:pPr>
    </w:p>
    <w:p>
      <w:pPr>
        <w:rPr>
          <w:rFonts w:hint="default" w:eastAsia="Times New Roman"/>
        </w:rPr>
      </w:pPr>
    </w:p>
    <w:p>
      <w:pPr>
        <w:rPr>
          <w:rFonts w:hint="default" w:eastAsia="Times New Roman"/>
        </w:rPr>
      </w:pPr>
    </w:p>
    <w:p>
      <w:pPr>
        <w:rPr>
          <w:rFonts w:hint="default" w:eastAsia="Times New Roman"/>
        </w:rPr>
      </w:pPr>
    </w:p>
    <w:p>
      <w:pPr>
        <w:rPr>
          <w:rFonts w:hint="default" w:eastAsia="Times New Roman"/>
        </w:rPr>
      </w:pPr>
    </w:p>
    <w:p>
      <w:pPr>
        <w:rPr>
          <w:rFonts w:hint="default" w:eastAsia="Times New Roman"/>
        </w:rPr>
      </w:pPr>
    </w:p>
    <w:p>
      <w:pPr>
        <w:rPr>
          <w:rFonts w:hint="default" w:eastAsia="Times New Roman"/>
        </w:rPr>
      </w:pPr>
    </w:p>
    <w:p>
      <w:pPr>
        <w:rPr>
          <w:rFonts w:hint="default" w:eastAsia="Times New Roman"/>
        </w:rPr>
      </w:pPr>
    </w:p>
    <w:p>
      <w:pPr>
        <w:rPr>
          <w:rFonts w:hint="default" w:eastAsia="Times New Roman"/>
        </w:rPr>
      </w:pPr>
    </w:p>
    <w:p>
      <w:pPr>
        <w:rPr>
          <w:rFonts w:hint="default" w:eastAsia="Times New Roman"/>
        </w:rPr>
      </w:pPr>
    </w:p>
    <w:p>
      <w:pPr>
        <w:rPr>
          <w:rFonts w:hint="default" w:eastAsia="Times New Roman"/>
        </w:rPr>
      </w:pPr>
    </w:p>
    <w:tbl>
      <w:tblPr>
        <w:tblStyle w:val="16"/>
        <w:tblW w:w="850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093"/>
        <w:gridCol w:w="741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jc w:val="center"/>
        </w:trPr>
        <w:tc>
          <w:tcPr>
            <w:tcW w:w="1093" w:type="dxa"/>
            <w:tcBorders>
              <w:top w:val="single" w:color="000000" w:sz="4" w:space="0"/>
              <w:left w:val="single" w:color="000000" w:sz="4" w:space="0"/>
              <w:bottom w:val="single" w:color="000000" w:sz="4" w:space="0"/>
              <w:right w:val="single" w:color="000000" w:sz="4" w:space="0"/>
            </w:tcBorders>
            <w:vAlign w:val="center"/>
          </w:tcPr>
          <w:p>
            <w:pPr>
              <w:widowControl/>
              <w:snapToGrid w:val="0"/>
              <w:jc w:val="left"/>
              <w:rPr>
                <w:rFonts w:hint="default"/>
                <w:kern w:val="0"/>
                <w:sz w:val="20"/>
              </w:rPr>
            </w:pPr>
            <w:r>
              <w:rPr>
                <w:rFonts w:ascii="宋体" w:hAnsi="宋体"/>
                <w:kern w:val="0"/>
              </w:rPr>
              <w:t>业务名称</w:t>
            </w:r>
          </w:p>
        </w:tc>
        <w:tc>
          <w:tcPr>
            <w:tcW w:w="7412" w:type="dxa"/>
            <w:tcBorders>
              <w:top w:val="single" w:color="000000" w:sz="4" w:space="0"/>
              <w:left w:val="nil"/>
              <w:bottom w:val="single" w:color="000000" w:sz="4" w:space="0"/>
              <w:right w:val="single" w:color="000000" w:sz="4" w:space="0"/>
            </w:tcBorders>
            <w:vAlign w:val="center"/>
          </w:tcPr>
          <w:p>
            <w:pPr>
              <w:widowControl/>
              <w:snapToGrid w:val="0"/>
              <w:jc w:val="left"/>
              <w:rPr>
                <w:rFonts w:hint="default"/>
                <w:b/>
                <w:kern w:val="0"/>
                <w:sz w:val="20"/>
              </w:rPr>
            </w:pPr>
            <w:r>
              <w:rPr>
                <w:rFonts w:ascii="宋体" w:hAnsi="宋体"/>
                <w:b/>
                <w:kern w:val="0"/>
              </w:rPr>
              <w:t>（</w:t>
            </w:r>
            <w:r>
              <w:rPr>
                <w:rFonts w:hint="eastAsia" w:ascii="宋体" w:hAnsi="宋体"/>
                <w:b/>
                <w:kern w:val="0"/>
                <w:lang w:eastAsia="zh-CN"/>
              </w:rPr>
              <w:t>二十</w:t>
            </w:r>
            <w:r>
              <w:rPr>
                <w:rFonts w:ascii="宋体" w:hAnsi="宋体"/>
                <w:b/>
                <w:kern w:val="0"/>
              </w:rPr>
              <w:t>）</w:t>
            </w:r>
            <w:r>
              <w:rPr>
                <w:rFonts w:hint="eastAsia" w:ascii="宋体" w:hAnsi="宋体"/>
                <w:b/>
                <w:kern w:val="0"/>
              </w:rPr>
              <w:t>境内机构境外衍生业务外汇变更（注销）登记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jc w:val="center"/>
        </w:trPr>
        <w:tc>
          <w:tcPr>
            <w:tcW w:w="1093" w:type="dxa"/>
            <w:tcBorders>
              <w:top w:val="single" w:color="000000" w:sz="4" w:space="0"/>
              <w:left w:val="single" w:color="000000" w:sz="4" w:space="0"/>
              <w:bottom w:val="single" w:color="000000" w:sz="4" w:space="0"/>
              <w:right w:val="single" w:color="000000" w:sz="4" w:space="0"/>
            </w:tcBorders>
            <w:vAlign w:val="center"/>
          </w:tcPr>
          <w:p>
            <w:pPr>
              <w:widowControl/>
              <w:snapToGrid w:val="0"/>
              <w:jc w:val="left"/>
              <w:rPr>
                <w:rFonts w:hint="default"/>
                <w:kern w:val="0"/>
                <w:sz w:val="20"/>
              </w:rPr>
            </w:pPr>
            <w:r>
              <w:rPr>
                <w:rFonts w:ascii="宋体" w:hAnsi="宋体"/>
                <w:kern w:val="0"/>
              </w:rPr>
              <w:t>设定依据</w:t>
            </w:r>
          </w:p>
          <w:p>
            <w:pPr>
              <w:widowControl/>
              <w:spacing w:line="271" w:lineRule="auto"/>
              <w:jc w:val="center"/>
              <w:rPr>
                <w:rFonts w:hint="default" w:ascii="Times New Roman" w:eastAsia="Times New Roman"/>
                <w:b/>
                <w:kern w:val="0"/>
              </w:rPr>
            </w:pPr>
          </w:p>
        </w:tc>
        <w:tc>
          <w:tcPr>
            <w:tcW w:w="7412" w:type="dxa"/>
            <w:tcBorders>
              <w:top w:val="single" w:color="000000" w:sz="4" w:space="0"/>
              <w:left w:val="nil"/>
              <w:bottom w:val="single" w:color="000000" w:sz="4" w:space="0"/>
              <w:right w:val="single" w:color="000000" w:sz="4" w:space="0"/>
            </w:tcBorders>
            <w:vAlign w:val="center"/>
          </w:tcPr>
          <w:p>
            <w:pPr>
              <w:widowControl/>
              <w:snapToGrid w:val="0"/>
              <w:jc w:val="left"/>
              <w:rPr>
                <w:rFonts w:hint="eastAsia" w:ascii="宋体" w:hAnsi="宋体"/>
                <w:kern w:val="0"/>
              </w:rPr>
            </w:pPr>
            <w:r>
              <w:rPr>
                <w:rFonts w:hint="eastAsia" w:ascii="宋体" w:hAnsi="宋体"/>
                <w:kern w:val="0"/>
              </w:rPr>
              <w:t>1.《中华人民共和国外汇管理条例》（国务院令第532号）。</w:t>
            </w:r>
          </w:p>
          <w:p>
            <w:pPr>
              <w:widowControl/>
              <w:snapToGrid w:val="0"/>
              <w:jc w:val="left"/>
              <w:rPr>
                <w:rFonts w:hint="eastAsia" w:ascii="宋体" w:hAnsi="宋体"/>
                <w:kern w:val="0"/>
              </w:rPr>
            </w:pPr>
            <w:r>
              <w:rPr>
                <w:rFonts w:hint="eastAsia" w:ascii="宋体" w:hAnsi="宋体"/>
                <w:kern w:val="0"/>
              </w:rPr>
              <w:t>2.《国家外汇管理局关于国有企业境外期货套期保值业务外汇管理有关问题的通知》（汇发〔2013〕25号）。</w:t>
            </w:r>
          </w:p>
          <w:p>
            <w:pPr>
              <w:widowControl/>
              <w:snapToGrid w:val="0"/>
              <w:jc w:val="left"/>
              <w:rPr>
                <w:rFonts w:hint="eastAsia" w:ascii="宋体" w:hAnsi="宋体"/>
                <w:kern w:val="0"/>
              </w:rPr>
            </w:pPr>
            <w:r>
              <w:rPr>
                <w:rFonts w:hint="eastAsia" w:ascii="宋体" w:hAnsi="宋体"/>
                <w:kern w:val="0"/>
              </w:rPr>
              <w:t>3.其他相关法规。</w:t>
            </w:r>
          </w:p>
          <w:p>
            <w:pPr>
              <w:widowControl/>
              <w:snapToGrid w:val="0"/>
              <w:jc w:val="left"/>
              <w:rPr>
                <w:rFonts w:hint="default"/>
                <w:kern w:val="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jc w:val="center"/>
        </w:trPr>
        <w:tc>
          <w:tcPr>
            <w:tcW w:w="1093"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rFonts w:ascii="宋体" w:hAnsi="宋体"/>
                <w:kern w:val="0"/>
              </w:rPr>
            </w:pPr>
            <w:r>
              <w:rPr>
                <w:rFonts w:ascii="宋体" w:hAnsi="宋体"/>
                <w:kern w:val="0"/>
              </w:rPr>
              <w:t>申请条件</w:t>
            </w:r>
          </w:p>
          <w:p>
            <w:pPr>
              <w:widowControl/>
              <w:snapToGrid w:val="0"/>
              <w:jc w:val="center"/>
              <w:rPr>
                <w:rFonts w:hint="eastAsia" w:ascii="宋体" w:hAnsi="宋体"/>
                <w:kern w:val="0"/>
                <w:lang w:val="en-US" w:eastAsia="zh-CN"/>
              </w:rPr>
            </w:pPr>
            <w:r>
              <w:rPr>
                <w:rFonts w:hint="eastAsia" w:ascii="宋体" w:hAnsi="宋体"/>
                <w:kern w:val="0"/>
                <w:lang w:val="en-US" w:eastAsia="zh-CN"/>
              </w:rPr>
              <w:t>及</w:t>
            </w:r>
          </w:p>
          <w:p>
            <w:pPr>
              <w:widowControl/>
              <w:snapToGrid w:val="0"/>
              <w:jc w:val="center"/>
              <w:rPr>
                <w:rFonts w:hint="eastAsia" w:ascii="宋体" w:hAnsi="宋体"/>
                <w:kern w:val="0"/>
                <w:lang w:val="en-US" w:eastAsia="zh-CN"/>
              </w:rPr>
            </w:pPr>
            <w:r>
              <w:rPr>
                <w:rFonts w:hint="eastAsia" w:ascii="宋体" w:hAnsi="宋体"/>
                <w:kern w:val="0"/>
                <w:lang w:val="en-US" w:eastAsia="zh-CN"/>
              </w:rPr>
              <w:t>注意事项</w:t>
            </w:r>
          </w:p>
        </w:tc>
        <w:tc>
          <w:tcPr>
            <w:tcW w:w="7412" w:type="dxa"/>
            <w:tcBorders>
              <w:top w:val="single" w:color="000000" w:sz="4" w:space="0"/>
              <w:left w:val="nil"/>
              <w:bottom w:val="single" w:color="000000" w:sz="4" w:space="0"/>
              <w:right w:val="single" w:color="000000" w:sz="4" w:space="0"/>
            </w:tcBorders>
            <w:vAlign w:val="center"/>
          </w:tcPr>
          <w:p>
            <w:pPr>
              <w:widowControl/>
              <w:snapToGrid w:val="0"/>
              <w:jc w:val="left"/>
              <w:rPr>
                <w:rFonts w:ascii="宋体" w:hAnsi="宋体"/>
                <w:kern w:val="0"/>
              </w:rPr>
            </w:pPr>
            <w:r>
              <w:rPr>
                <w:rFonts w:hint="eastAsia" w:ascii="宋体" w:hAnsi="宋体"/>
                <w:kern w:val="0"/>
              </w:rPr>
              <w:t>1.</w:t>
            </w:r>
            <w:r>
              <w:rPr>
                <w:rFonts w:ascii="宋体" w:hAnsi="宋体"/>
                <w:kern w:val="0"/>
              </w:rPr>
              <w:t>《境内机构境外衍生业务登记申请表》的填写内容与</w:t>
            </w:r>
            <w:r>
              <w:rPr>
                <w:rFonts w:hint="eastAsia" w:ascii="宋体" w:hAnsi="宋体"/>
                <w:kern w:val="0"/>
              </w:rPr>
              <w:t>相关审核</w:t>
            </w:r>
            <w:r>
              <w:rPr>
                <w:rFonts w:ascii="宋体" w:hAnsi="宋体"/>
                <w:kern w:val="0"/>
              </w:rPr>
              <w:t>材料一致。</w:t>
            </w:r>
          </w:p>
          <w:p>
            <w:pPr>
              <w:widowControl/>
              <w:snapToGrid w:val="0"/>
              <w:jc w:val="left"/>
              <w:rPr>
                <w:rFonts w:ascii="宋体" w:hAnsi="宋体"/>
                <w:kern w:val="0"/>
              </w:rPr>
            </w:pPr>
            <w:r>
              <w:rPr>
                <w:rFonts w:hint="eastAsia" w:ascii="宋体" w:hAnsi="宋体"/>
                <w:kern w:val="0"/>
              </w:rPr>
              <w:t>2.</w:t>
            </w:r>
            <w:r>
              <w:rPr>
                <w:rFonts w:ascii="宋体" w:hAnsi="宋体"/>
                <w:kern w:val="0"/>
              </w:rPr>
              <w:t>审核材料的规范性、齐备性及材料之间的一致性。</w:t>
            </w:r>
          </w:p>
          <w:p>
            <w:pPr>
              <w:widowControl/>
              <w:snapToGrid w:val="0"/>
              <w:jc w:val="left"/>
              <w:rPr>
                <w:rFonts w:hint="default"/>
                <w:kern w:val="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jc w:val="center"/>
        </w:trPr>
        <w:tc>
          <w:tcPr>
            <w:tcW w:w="1093" w:type="dxa"/>
            <w:tcBorders>
              <w:top w:val="single" w:color="000000" w:sz="4" w:space="0"/>
              <w:left w:val="single" w:color="000000" w:sz="4" w:space="0"/>
              <w:bottom w:val="single" w:color="000000" w:sz="4" w:space="0"/>
              <w:right w:val="single" w:color="000000" w:sz="4" w:space="0"/>
            </w:tcBorders>
            <w:vAlign w:val="center"/>
          </w:tcPr>
          <w:p>
            <w:pPr>
              <w:widowControl/>
              <w:snapToGrid w:val="0"/>
              <w:jc w:val="left"/>
              <w:rPr>
                <w:rFonts w:hint="default"/>
                <w:kern w:val="0"/>
                <w:sz w:val="20"/>
              </w:rPr>
            </w:pPr>
            <w:r>
              <w:rPr>
                <w:rFonts w:ascii="宋体" w:hAnsi="宋体"/>
                <w:kern w:val="0"/>
              </w:rPr>
              <w:t>办理材料</w:t>
            </w:r>
          </w:p>
        </w:tc>
        <w:tc>
          <w:tcPr>
            <w:tcW w:w="7412" w:type="dxa"/>
            <w:tcBorders>
              <w:top w:val="single" w:color="000000" w:sz="4" w:space="0"/>
              <w:left w:val="nil"/>
              <w:bottom w:val="single" w:color="000000" w:sz="4" w:space="0"/>
              <w:right w:val="single" w:color="000000" w:sz="4" w:space="0"/>
            </w:tcBorders>
            <w:vAlign w:val="center"/>
          </w:tcPr>
          <w:p>
            <w:pPr>
              <w:widowControl/>
              <w:snapToGrid w:val="0"/>
              <w:jc w:val="left"/>
              <w:rPr>
                <w:rFonts w:ascii="宋体" w:hAnsi="宋体"/>
                <w:kern w:val="0"/>
              </w:rPr>
            </w:pPr>
            <w:r>
              <w:rPr>
                <w:rFonts w:hint="eastAsia" w:ascii="宋体" w:hAnsi="宋体"/>
                <w:kern w:val="0"/>
              </w:rPr>
              <w:t>1.原《业务登记凭证》及最新填写的《境内机构境外衍生业务登记申请表》。办理注销登记的，还需提供书面申请材料。</w:t>
            </w:r>
          </w:p>
          <w:p>
            <w:pPr>
              <w:widowControl/>
              <w:snapToGrid w:val="0"/>
              <w:jc w:val="left"/>
              <w:rPr>
                <w:rFonts w:ascii="宋体" w:hAnsi="宋体"/>
                <w:kern w:val="0"/>
              </w:rPr>
            </w:pPr>
            <w:r>
              <w:rPr>
                <w:rFonts w:hint="eastAsia" w:ascii="宋体" w:hAnsi="宋体"/>
                <w:kern w:val="0"/>
              </w:rPr>
              <w:t>2.证监部门（证监会或地方证监局）或国资委关于境内机构境外衍生业务变更（注销）</w:t>
            </w:r>
            <w:r>
              <w:rPr>
                <w:rFonts w:ascii="宋体" w:hAnsi="宋体"/>
                <w:kern w:val="0"/>
              </w:rPr>
              <w:t>的</w:t>
            </w:r>
            <w:r>
              <w:rPr>
                <w:rFonts w:hint="eastAsia" w:ascii="宋体" w:hAnsi="宋体"/>
                <w:kern w:val="0"/>
              </w:rPr>
              <w:t>证明性文件或无异议函。</w:t>
            </w:r>
          </w:p>
          <w:p>
            <w:pPr>
              <w:widowControl/>
              <w:snapToGrid w:val="0"/>
              <w:jc w:val="left"/>
              <w:rPr>
                <w:rFonts w:ascii="宋体" w:hAnsi="宋体"/>
                <w:kern w:val="0"/>
              </w:rPr>
            </w:pPr>
            <w:r>
              <w:rPr>
                <w:rFonts w:hint="eastAsia" w:ascii="宋体" w:hAnsi="宋体"/>
                <w:kern w:val="0"/>
              </w:rPr>
              <w:t>3.中央企业集团内成员公司分配的对外付汇额度发生变更的，另需提供中央企业对集团内成员公司额度分配变更的相关证明性文件。</w:t>
            </w:r>
          </w:p>
          <w:p>
            <w:pPr>
              <w:widowControl/>
              <w:snapToGrid w:val="0"/>
              <w:jc w:val="left"/>
              <w:rPr>
                <w:rFonts w:ascii="宋体" w:hAnsi="宋体"/>
                <w:kern w:val="0"/>
              </w:rPr>
            </w:pPr>
            <w:r>
              <w:rPr>
                <w:rFonts w:hint="eastAsia" w:ascii="宋体" w:hAnsi="宋体"/>
                <w:kern w:val="0"/>
              </w:rPr>
              <w:t>4.前述材料内容不一致或不能说明交易真实性时，要求提供的补充材料。</w:t>
            </w:r>
          </w:p>
          <w:p>
            <w:pPr>
              <w:pStyle w:val="19"/>
              <w:ind w:firstLine="480"/>
              <w:rPr>
                <w:rFonts w:ascii="宋体" w:hAnsi="宋体"/>
                <w:sz w:val="24"/>
                <w:szCs w:val="24"/>
              </w:rPr>
            </w:pPr>
          </w:p>
          <w:p>
            <w:pPr>
              <w:widowControl/>
              <w:snapToGrid w:val="0"/>
              <w:jc w:val="left"/>
              <w:rPr>
                <w:rFonts w:hint="default"/>
                <w:kern w:val="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1" w:hRule="atLeast"/>
          <w:jc w:val="center"/>
        </w:trPr>
        <w:tc>
          <w:tcPr>
            <w:tcW w:w="1093" w:type="dxa"/>
            <w:tcBorders>
              <w:top w:val="single" w:color="000000" w:sz="4" w:space="0"/>
              <w:left w:val="single" w:color="000000" w:sz="4" w:space="0"/>
              <w:bottom w:val="single" w:color="000000" w:sz="4" w:space="0"/>
              <w:right w:val="single" w:color="000000" w:sz="4" w:space="0"/>
            </w:tcBorders>
            <w:vAlign w:val="center"/>
          </w:tcPr>
          <w:p>
            <w:pPr>
              <w:widowControl/>
              <w:snapToGrid w:val="0"/>
              <w:jc w:val="left"/>
              <w:rPr>
                <w:rFonts w:hint="default"/>
                <w:kern w:val="0"/>
                <w:sz w:val="20"/>
              </w:rPr>
            </w:pPr>
            <w:r>
              <w:rPr>
                <w:rFonts w:ascii="宋体" w:hAnsi="宋体"/>
                <w:kern w:val="0"/>
              </w:rPr>
              <w:t>办理地点</w:t>
            </w:r>
          </w:p>
        </w:tc>
        <w:tc>
          <w:tcPr>
            <w:tcW w:w="7412" w:type="dxa"/>
            <w:tcBorders>
              <w:top w:val="single" w:color="000000" w:sz="4" w:space="0"/>
              <w:left w:val="nil"/>
              <w:bottom w:val="single" w:color="000000" w:sz="4" w:space="0"/>
              <w:right w:val="single" w:color="000000" w:sz="4" w:space="0"/>
            </w:tcBorders>
            <w:vAlign w:val="top"/>
          </w:tcPr>
          <w:p>
            <w:pPr>
              <w:widowControl/>
              <w:snapToGrid w:val="0"/>
              <w:jc w:val="left"/>
              <w:rPr>
                <w:rFonts w:hint="default"/>
                <w:kern w:val="0"/>
              </w:rPr>
            </w:pPr>
            <w:r>
              <w:rPr>
                <w:rFonts w:ascii="宋体" w:hAnsi="宋体"/>
                <w:kern w:val="0"/>
              </w:rPr>
              <w:t>国家外汇管理局青海省分局外汇管理处资本科（西宁市昆仑路3号人民银行政务大厅）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jc w:val="center"/>
        </w:trPr>
        <w:tc>
          <w:tcPr>
            <w:tcW w:w="1093" w:type="dxa"/>
            <w:tcBorders>
              <w:top w:val="single" w:color="000000" w:sz="4" w:space="0"/>
              <w:left w:val="single" w:color="000000" w:sz="4" w:space="0"/>
              <w:bottom w:val="single" w:color="000000" w:sz="4" w:space="0"/>
              <w:right w:val="single" w:color="000000" w:sz="4" w:space="0"/>
            </w:tcBorders>
            <w:vAlign w:val="center"/>
          </w:tcPr>
          <w:p>
            <w:pPr>
              <w:widowControl/>
              <w:snapToGrid w:val="0"/>
              <w:jc w:val="left"/>
              <w:rPr>
                <w:rFonts w:hint="default"/>
                <w:kern w:val="0"/>
                <w:sz w:val="20"/>
              </w:rPr>
            </w:pPr>
            <w:r>
              <w:rPr>
                <w:rFonts w:ascii="宋体" w:hAnsi="宋体"/>
                <w:kern w:val="0"/>
              </w:rPr>
              <w:t>办理时间</w:t>
            </w:r>
          </w:p>
          <w:p>
            <w:pPr>
              <w:widowControl/>
              <w:spacing w:line="271" w:lineRule="auto"/>
              <w:jc w:val="center"/>
              <w:rPr>
                <w:rFonts w:hint="default" w:ascii="Times New Roman" w:eastAsia="Times New Roman"/>
                <w:b/>
                <w:kern w:val="0"/>
              </w:rPr>
            </w:pPr>
          </w:p>
        </w:tc>
        <w:tc>
          <w:tcPr>
            <w:tcW w:w="7412" w:type="dxa"/>
            <w:tcBorders>
              <w:top w:val="single" w:color="000000" w:sz="4" w:space="0"/>
              <w:left w:val="nil"/>
              <w:bottom w:val="single" w:color="000000" w:sz="4" w:space="0"/>
              <w:right w:val="single" w:color="000000" w:sz="4" w:space="0"/>
            </w:tcBorders>
            <w:vAlign w:val="top"/>
          </w:tcPr>
          <w:p>
            <w:pPr>
              <w:widowControl/>
              <w:snapToGrid w:val="0"/>
              <w:jc w:val="left"/>
              <w:rPr>
                <w:rFonts w:hint="default"/>
                <w:kern w:val="0"/>
              </w:rPr>
            </w:pPr>
            <w:r>
              <w:rPr>
                <w:rFonts w:ascii="宋体" w:hAnsi="宋体"/>
                <w:kern w:val="0"/>
              </w:rPr>
              <w:t>周一至周五（法定节假日除外）</w:t>
            </w:r>
          </w:p>
          <w:p>
            <w:pPr>
              <w:widowControl/>
              <w:snapToGrid w:val="0"/>
              <w:jc w:val="left"/>
              <w:rPr>
                <w:rFonts w:hint="default"/>
                <w:kern w:val="0"/>
                <w:sz w:val="20"/>
              </w:rPr>
            </w:pPr>
            <w:r>
              <w:rPr>
                <w:rFonts w:ascii="宋体" w:hAnsi="宋体"/>
                <w:kern w:val="0"/>
              </w:rPr>
              <w:t>上午8：30-11：30，下午2：00-5：30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jc w:val="center"/>
        </w:trPr>
        <w:tc>
          <w:tcPr>
            <w:tcW w:w="1093" w:type="dxa"/>
            <w:tcBorders>
              <w:top w:val="single" w:color="000000" w:sz="4" w:space="0"/>
              <w:left w:val="single" w:color="000000" w:sz="4" w:space="0"/>
              <w:bottom w:val="single" w:color="000000" w:sz="4" w:space="0"/>
              <w:right w:val="single" w:color="000000" w:sz="4" w:space="0"/>
            </w:tcBorders>
            <w:vAlign w:val="center"/>
          </w:tcPr>
          <w:p>
            <w:pPr>
              <w:widowControl/>
              <w:snapToGrid w:val="0"/>
              <w:jc w:val="left"/>
              <w:rPr>
                <w:rFonts w:hint="default"/>
                <w:kern w:val="0"/>
                <w:sz w:val="20"/>
              </w:rPr>
            </w:pPr>
            <w:r>
              <w:rPr>
                <w:rFonts w:ascii="宋体" w:hAnsi="宋体"/>
                <w:kern w:val="0"/>
              </w:rPr>
              <w:t>联系电话</w:t>
            </w:r>
          </w:p>
        </w:tc>
        <w:tc>
          <w:tcPr>
            <w:tcW w:w="7412" w:type="dxa"/>
            <w:tcBorders>
              <w:top w:val="single" w:color="000000" w:sz="4" w:space="0"/>
              <w:left w:val="nil"/>
              <w:bottom w:val="single" w:color="000000" w:sz="4" w:space="0"/>
              <w:right w:val="single" w:color="000000" w:sz="4" w:space="0"/>
            </w:tcBorders>
            <w:vAlign w:val="top"/>
          </w:tcPr>
          <w:p>
            <w:pPr>
              <w:widowControl/>
              <w:snapToGrid w:val="0"/>
              <w:jc w:val="left"/>
              <w:rPr>
                <w:rFonts w:hint="default"/>
                <w:kern w:val="0"/>
              </w:rPr>
            </w:pPr>
            <w:r>
              <w:rPr>
                <w:rFonts w:ascii="宋体" w:hAnsi="宋体"/>
                <w:kern w:val="0"/>
              </w:rPr>
              <w:t>0971-6126143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jc w:val="center"/>
        </w:trPr>
        <w:tc>
          <w:tcPr>
            <w:tcW w:w="1093" w:type="dxa"/>
            <w:tcBorders>
              <w:top w:val="single" w:color="000000" w:sz="4" w:space="0"/>
              <w:left w:val="single" w:color="000000" w:sz="4" w:space="0"/>
              <w:bottom w:val="single" w:color="000000" w:sz="4" w:space="0"/>
              <w:right w:val="single" w:color="000000" w:sz="4" w:space="0"/>
            </w:tcBorders>
            <w:vAlign w:val="center"/>
          </w:tcPr>
          <w:p>
            <w:pPr>
              <w:widowControl/>
              <w:snapToGrid w:val="0"/>
              <w:jc w:val="left"/>
              <w:rPr>
                <w:rFonts w:hint="default"/>
                <w:kern w:val="0"/>
                <w:sz w:val="20"/>
              </w:rPr>
            </w:pPr>
            <w:r>
              <w:rPr>
                <w:rFonts w:ascii="宋体" w:hAnsi="宋体"/>
                <w:kern w:val="0"/>
              </w:rPr>
              <w:t>办理流程</w:t>
            </w:r>
          </w:p>
        </w:tc>
        <w:tc>
          <w:tcPr>
            <w:tcW w:w="7412" w:type="dxa"/>
            <w:tcBorders>
              <w:top w:val="single" w:color="000000" w:sz="4" w:space="0"/>
              <w:left w:val="nil"/>
              <w:bottom w:val="single" w:color="000000" w:sz="4" w:space="0"/>
              <w:right w:val="single" w:color="000000" w:sz="4" w:space="0"/>
            </w:tcBorders>
            <w:vAlign w:val="top"/>
          </w:tcPr>
          <w:p>
            <w:pPr>
              <w:widowControl/>
              <w:snapToGrid w:val="0"/>
              <w:jc w:val="left"/>
              <w:rPr>
                <w:rFonts w:hint="default" w:ascii="宋体" w:hAnsi="宋体"/>
                <w:kern w:val="0"/>
              </w:rPr>
            </w:pPr>
            <w:r>
              <w:rPr>
                <w:rFonts w:hint="default" w:ascii="宋体" w:hAnsi="宋体"/>
                <w:kern w:val="0"/>
              </w:rPr>
              <w:t>1.国有企业、中央企业（含其成员公司）应在取得证监会、国资委相关证明性文件或无异议函之日起20个工作日内到外汇局办理外汇登记。</w:t>
            </w:r>
          </w:p>
          <w:p>
            <w:pPr>
              <w:widowControl/>
              <w:snapToGrid w:val="0"/>
              <w:jc w:val="left"/>
              <w:rPr>
                <w:rFonts w:hint="default" w:ascii="宋体" w:hAnsi="宋体"/>
                <w:kern w:val="0"/>
              </w:rPr>
            </w:pPr>
            <w:r>
              <w:rPr>
                <w:rFonts w:hint="default" w:ascii="宋体" w:hAnsi="宋体"/>
                <w:kern w:val="0"/>
              </w:rPr>
              <w:t>2.中央企业若将额度分配给成员公司的，</w:t>
            </w:r>
            <w:r>
              <w:rPr>
                <w:rFonts w:hint="eastAsia" w:ascii="宋体" w:hAnsi="宋体"/>
                <w:kern w:val="0"/>
                <w:lang w:val="en-US" w:eastAsia="zh-CN"/>
              </w:rPr>
              <w:t>应在额度分配或调整后5个工作日内报所在地外汇局备案。</w:t>
            </w:r>
          </w:p>
          <w:p>
            <w:pPr>
              <w:widowControl/>
              <w:snapToGrid w:val="0"/>
              <w:jc w:val="left"/>
              <w:rPr>
                <w:rFonts w:hint="default"/>
                <w:kern w:val="0"/>
                <w:sz w:val="20"/>
              </w:rPr>
            </w:pPr>
          </w:p>
        </w:tc>
      </w:tr>
    </w:tbl>
    <w:p>
      <w:pPr>
        <w:rPr>
          <w:rFonts w:hint="default" w:eastAsia="Times New Roman"/>
        </w:rPr>
      </w:pPr>
    </w:p>
    <w:p>
      <w:pPr>
        <w:rPr>
          <w:rFonts w:hint="default" w:eastAsia="Times New Roman"/>
        </w:rPr>
      </w:pPr>
    </w:p>
    <w:p>
      <w:pPr>
        <w:rPr>
          <w:rFonts w:hint="default" w:eastAsia="Times New Roman"/>
        </w:rPr>
      </w:pPr>
    </w:p>
    <w:p>
      <w:pPr>
        <w:rPr>
          <w:rFonts w:hint="default" w:eastAsia="Times New Roman"/>
        </w:rPr>
      </w:pPr>
    </w:p>
    <w:p>
      <w:pPr>
        <w:rPr>
          <w:rFonts w:hint="default" w:eastAsia="Times New Roman"/>
        </w:rPr>
      </w:pPr>
    </w:p>
    <w:p>
      <w:pPr>
        <w:rPr>
          <w:rFonts w:hint="default" w:eastAsia="Times New Roman"/>
        </w:rPr>
      </w:pPr>
    </w:p>
    <w:p>
      <w:pPr>
        <w:rPr>
          <w:rFonts w:hint="default" w:eastAsia="Times New Roman"/>
        </w:rPr>
      </w:pPr>
    </w:p>
    <w:p>
      <w:pPr>
        <w:rPr>
          <w:rFonts w:hint="default" w:eastAsia="Times New Roman"/>
        </w:rPr>
      </w:pPr>
    </w:p>
    <w:p>
      <w:pPr>
        <w:widowControl/>
        <w:snapToGrid w:val="0"/>
        <w:rPr>
          <w:rFonts w:hint="default"/>
          <w:b/>
          <w:kern w:val="0"/>
          <w:sz w:val="28"/>
        </w:rPr>
      </w:pPr>
    </w:p>
    <w:p>
      <w:pPr>
        <w:widowControl/>
        <w:snapToGrid w:val="0"/>
        <w:rPr>
          <w:rFonts w:hint="default"/>
          <w:b/>
          <w:kern w:val="0"/>
          <w:sz w:val="28"/>
        </w:rPr>
      </w:pPr>
    </w:p>
    <w:p>
      <w:pPr>
        <w:widowControl/>
        <w:snapToGrid w:val="0"/>
        <w:rPr>
          <w:rFonts w:hint="default"/>
          <w:b/>
          <w:kern w:val="0"/>
          <w:sz w:val="28"/>
        </w:rPr>
      </w:pPr>
    </w:p>
    <w:p>
      <w:pPr>
        <w:widowControl/>
        <w:snapToGrid w:val="0"/>
        <w:rPr>
          <w:rFonts w:hint="default"/>
          <w:b/>
          <w:kern w:val="0"/>
          <w:sz w:val="28"/>
        </w:rPr>
      </w:pPr>
    </w:p>
    <w:p>
      <w:pPr>
        <w:widowControl/>
        <w:snapToGrid w:val="0"/>
        <w:rPr>
          <w:rFonts w:hint="default"/>
          <w:b/>
          <w:kern w:val="0"/>
          <w:sz w:val="28"/>
        </w:rPr>
      </w:pPr>
    </w:p>
    <w:p>
      <w:pPr>
        <w:widowControl/>
        <w:snapToGrid w:val="0"/>
        <w:rPr>
          <w:rFonts w:hint="default"/>
          <w:b/>
          <w:kern w:val="0"/>
          <w:sz w:val="28"/>
        </w:rPr>
      </w:pPr>
    </w:p>
    <w:p>
      <w:pPr>
        <w:widowControl/>
        <w:snapToGrid w:val="0"/>
        <w:rPr>
          <w:rFonts w:hint="default"/>
          <w:b/>
          <w:kern w:val="0"/>
          <w:sz w:val="28"/>
        </w:rPr>
      </w:pPr>
    </w:p>
    <w:p>
      <w:pPr>
        <w:widowControl/>
        <w:snapToGrid w:val="0"/>
        <w:rPr>
          <w:rFonts w:hint="default"/>
          <w:b/>
          <w:kern w:val="0"/>
          <w:sz w:val="28"/>
        </w:rPr>
      </w:pPr>
    </w:p>
    <w:p>
      <w:pPr>
        <w:widowControl/>
        <w:snapToGrid w:val="0"/>
        <w:rPr>
          <w:rFonts w:hint="default"/>
          <w:b/>
          <w:kern w:val="0"/>
          <w:sz w:val="28"/>
        </w:rPr>
      </w:pPr>
    </w:p>
    <w:tbl>
      <w:tblPr>
        <w:tblStyle w:val="16"/>
        <w:tblW w:w="850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093"/>
        <w:gridCol w:w="741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jc w:val="center"/>
        </w:trPr>
        <w:tc>
          <w:tcPr>
            <w:tcW w:w="1093" w:type="dxa"/>
            <w:tcBorders>
              <w:top w:val="single" w:color="000000" w:sz="4" w:space="0"/>
              <w:left w:val="single" w:color="000000" w:sz="4" w:space="0"/>
              <w:bottom w:val="single" w:color="000000" w:sz="4" w:space="0"/>
              <w:right w:val="single" w:color="000000" w:sz="4" w:space="0"/>
            </w:tcBorders>
            <w:vAlign w:val="center"/>
          </w:tcPr>
          <w:p>
            <w:pPr>
              <w:widowControl/>
              <w:snapToGrid w:val="0"/>
              <w:jc w:val="left"/>
              <w:rPr>
                <w:rFonts w:hint="default"/>
                <w:kern w:val="0"/>
                <w:sz w:val="20"/>
              </w:rPr>
            </w:pPr>
            <w:r>
              <w:rPr>
                <w:rFonts w:ascii="宋体" w:hAnsi="宋体"/>
                <w:kern w:val="0"/>
              </w:rPr>
              <w:t>业务名称</w:t>
            </w:r>
          </w:p>
        </w:tc>
        <w:tc>
          <w:tcPr>
            <w:tcW w:w="7412" w:type="dxa"/>
            <w:tcBorders>
              <w:top w:val="single" w:color="000000" w:sz="4" w:space="0"/>
              <w:left w:val="nil"/>
              <w:bottom w:val="single" w:color="000000" w:sz="4" w:space="0"/>
              <w:right w:val="single" w:color="000000" w:sz="4" w:space="0"/>
            </w:tcBorders>
            <w:vAlign w:val="center"/>
          </w:tcPr>
          <w:p>
            <w:pPr>
              <w:widowControl/>
              <w:snapToGrid w:val="0"/>
              <w:jc w:val="left"/>
              <w:rPr>
                <w:rFonts w:hint="default"/>
                <w:b/>
                <w:kern w:val="0"/>
                <w:sz w:val="20"/>
              </w:rPr>
            </w:pPr>
            <w:r>
              <w:rPr>
                <w:rFonts w:ascii="宋体" w:hAnsi="宋体"/>
                <w:b/>
                <w:kern w:val="0"/>
              </w:rPr>
              <w:t>（</w:t>
            </w:r>
            <w:r>
              <w:rPr>
                <w:rFonts w:hint="eastAsia" w:ascii="宋体" w:hAnsi="宋体"/>
                <w:b/>
                <w:kern w:val="0"/>
                <w:lang w:eastAsia="zh-CN"/>
              </w:rPr>
              <w:t>二十一</w:t>
            </w:r>
            <w:r>
              <w:rPr>
                <w:rFonts w:ascii="宋体" w:hAnsi="宋体"/>
                <w:b/>
                <w:kern w:val="0"/>
              </w:rPr>
              <w:t>）</w:t>
            </w:r>
            <w:r>
              <w:rPr>
                <w:rFonts w:hint="eastAsia" w:ascii="宋体" w:hAnsi="宋体"/>
                <w:b/>
                <w:kern w:val="0"/>
              </w:rPr>
              <w:t>上市公司回购B股股份购汇额度审批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jc w:val="center"/>
        </w:trPr>
        <w:tc>
          <w:tcPr>
            <w:tcW w:w="1093" w:type="dxa"/>
            <w:tcBorders>
              <w:top w:val="single" w:color="000000" w:sz="4" w:space="0"/>
              <w:left w:val="single" w:color="000000" w:sz="4" w:space="0"/>
              <w:bottom w:val="single" w:color="000000" w:sz="4" w:space="0"/>
              <w:right w:val="single" w:color="000000" w:sz="4" w:space="0"/>
            </w:tcBorders>
            <w:vAlign w:val="center"/>
          </w:tcPr>
          <w:p>
            <w:pPr>
              <w:widowControl/>
              <w:snapToGrid w:val="0"/>
              <w:jc w:val="left"/>
              <w:rPr>
                <w:rFonts w:hint="default"/>
                <w:kern w:val="0"/>
                <w:sz w:val="20"/>
              </w:rPr>
            </w:pPr>
            <w:r>
              <w:rPr>
                <w:rFonts w:ascii="宋体" w:hAnsi="宋体"/>
                <w:kern w:val="0"/>
              </w:rPr>
              <w:t>设定依据</w:t>
            </w:r>
          </w:p>
          <w:p>
            <w:pPr>
              <w:widowControl/>
              <w:spacing w:line="271" w:lineRule="auto"/>
              <w:jc w:val="center"/>
              <w:rPr>
                <w:rFonts w:hint="default" w:ascii="Times New Roman" w:eastAsia="Times New Roman"/>
                <w:b/>
                <w:kern w:val="0"/>
              </w:rPr>
            </w:pPr>
          </w:p>
        </w:tc>
        <w:tc>
          <w:tcPr>
            <w:tcW w:w="7412" w:type="dxa"/>
            <w:tcBorders>
              <w:top w:val="single" w:color="000000" w:sz="4" w:space="0"/>
              <w:left w:val="nil"/>
              <w:bottom w:val="single" w:color="000000" w:sz="4" w:space="0"/>
              <w:right w:val="single" w:color="000000" w:sz="4" w:space="0"/>
            </w:tcBorders>
            <w:vAlign w:val="center"/>
          </w:tcPr>
          <w:p>
            <w:pPr>
              <w:widowControl/>
              <w:snapToGrid w:val="0"/>
              <w:jc w:val="left"/>
              <w:rPr>
                <w:rFonts w:ascii="宋体" w:hAnsi="宋体"/>
                <w:kern w:val="0"/>
              </w:rPr>
            </w:pPr>
            <w:r>
              <w:rPr>
                <w:rFonts w:ascii="宋体" w:hAnsi="宋体"/>
                <w:kern w:val="0"/>
              </w:rPr>
              <w:t>1.《中华人民共和国外汇管理条例》（国务院令第532号）</w:t>
            </w:r>
            <w:r>
              <w:rPr>
                <w:rFonts w:hint="eastAsia" w:ascii="宋体" w:hAnsi="宋体"/>
                <w:kern w:val="0"/>
              </w:rPr>
              <w:t>。</w:t>
            </w:r>
          </w:p>
          <w:p>
            <w:pPr>
              <w:widowControl/>
              <w:snapToGrid w:val="0"/>
              <w:jc w:val="left"/>
              <w:rPr>
                <w:rFonts w:ascii="宋体" w:hAnsi="宋体"/>
                <w:kern w:val="0"/>
              </w:rPr>
            </w:pPr>
            <w:r>
              <w:rPr>
                <w:rFonts w:ascii="宋体" w:hAnsi="宋体"/>
                <w:kern w:val="0"/>
              </w:rPr>
              <w:t>2.《个人外汇管理办法》（中国人民银行令2006年第3号）</w:t>
            </w:r>
            <w:r>
              <w:rPr>
                <w:rFonts w:hint="eastAsia" w:ascii="宋体" w:hAnsi="宋体"/>
                <w:kern w:val="0"/>
              </w:rPr>
              <w:t>。</w:t>
            </w:r>
          </w:p>
          <w:p>
            <w:pPr>
              <w:widowControl/>
              <w:snapToGrid w:val="0"/>
              <w:jc w:val="left"/>
              <w:rPr>
                <w:rFonts w:ascii="宋体" w:hAnsi="宋体"/>
                <w:kern w:val="0"/>
              </w:rPr>
            </w:pPr>
            <w:r>
              <w:rPr>
                <w:rFonts w:ascii="宋体" w:hAnsi="宋体"/>
                <w:kern w:val="0"/>
              </w:rPr>
              <w:t>3.《国家外汇管理局关于印发〈个人外汇管理办法实施细则〉的通知》（汇发〔2007〕1号）</w:t>
            </w:r>
            <w:r>
              <w:rPr>
                <w:rFonts w:hint="eastAsia" w:ascii="宋体" w:hAnsi="宋体"/>
                <w:kern w:val="0"/>
              </w:rPr>
              <w:t>。</w:t>
            </w:r>
          </w:p>
          <w:p>
            <w:pPr>
              <w:widowControl/>
              <w:snapToGrid w:val="0"/>
              <w:jc w:val="left"/>
              <w:rPr>
                <w:rFonts w:ascii="宋体" w:hAnsi="宋体"/>
                <w:kern w:val="0"/>
              </w:rPr>
            </w:pPr>
            <w:r>
              <w:rPr>
                <w:rFonts w:ascii="宋体" w:hAnsi="宋体"/>
                <w:kern w:val="0"/>
              </w:rPr>
              <w:t>4.《国家外汇管理局关于重庆长安汽车股份有限公司回购B股股份购汇额度等外汇管理事项的批复》（汇复〔2012〕21号）</w:t>
            </w:r>
            <w:r>
              <w:rPr>
                <w:rFonts w:hint="eastAsia" w:ascii="宋体" w:hAnsi="宋体"/>
                <w:kern w:val="0"/>
              </w:rPr>
              <w:t>。</w:t>
            </w:r>
          </w:p>
          <w:p>
            <w:pPr>
              <w:widowControl/>
              <w:snapToGrid w:val="0"/>
              <w:jc w:val="left"/>
              <w:rPr>
                <w:rFonts w:ascii="宋体" w:hAnsi="宋体"/>
                <w:kern w:val="0"/>
              </w:rPr>
            </w:pPr>
            <w:r>
              <w:rPr>
                <w:rFonts w:hint="eastAsia" w:ascii="宋体" w:hAnsi="宋体"/>
                <w:kern w:val="0"/>
              </w:rPr>
              <w:t>5.其他相关法规。</w:t>
            </w:r>
          </w:p>
          <w:p>
            <w:pPr>
              <w:widowControl/>
              <w:snapToGrid w:val="0"/>
              <w:jc w:val="left"/>
              <w:rPr>
                <w:rFonts w:hint="default"/>
                <w:kern w:val="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jc w:val="center"/>
        </w:trPr>
        <w:tc>
          <w:tcPr>
            <w:tcW w:w="1093"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rFonts w:ascii="宋体" w:hAnsi="宋体"/>
                <w:kern w:val="0"/>
              </w:rPr>
            </w:pPr>
            <w:r>
              <w:rPr>
                <w:rFonts w:ascii="宋体" w:hAnsi="宋体"/>
                <w:kern w:val="0"/>
              </w:rPr>
              <w:t>申请条件</w:t>
            </w:r>
          </w:p>
          <w:p>
            <w:pPr>
              <w:widowControl/>
              <w:snapToGrid w:val="0"/>
              <w:jc w:val="center"/>
              <w:rPr>
                <w:rFonts w:hint="eastAsia" w:ascii="宋体" w:hAnsi="宋体"/>
                <w:kern w:val="0"/>
                <w:lang w:val="en-US" w:eastAsia="zh-CN"/>
              </w:rPr>
            </w:pPr>
            <w:r>
              <w:rPr>
                <w:rFonts w:hint="eastAsia" w:ascii="宋体" w:hAnsi="宋体"/>
                <w:kern w:val="0"/>
                <w:lang w:val="en-US" w:eastAsia="zh-CN"/>
              </w:rPr>
              <w:t>及</w:t>
            </w:r>
          </w:p>
          <w:p>
            <w:pPr>
              <w:widowControl/>
              <w:snapToGrid w:val="0"/>
              <w:jc w:val="center"/>
              <w:rPr>
                <w:rFonts w:hint="eastAsia" w:ascii="宋体" w:hAnsi="宋体" w:eastAsia="宋体"/>
                <w:kern w:val="0"/>
                <w:lang w:val="en-US" w:eastAsia="zh-CN"/>
              </w:rPr>
            </w:pPr>
            <w:r>
              <w:rPr>
                <w:rFonts w:hint="eastAsia" w:ascii="宋体" w:hAnsi="宋体"/>
                <w:kern w:val="0"/>
                <w:lang w:val="en-US" w:eastAsia="zh-CN"/>
              </w:rPr>
              <w:t>注意事项</w:t>
            </w:r>
          </w:p>
        </w:tc>
        <w:tc>
          <w:tcPr>
            <w:tcW w:w="7412" w:type="dxa"/>
            <w:tcBorders>
              <w:top w:val="single" w:color="000000" w:sz="4" w:space="0"/>
              <w:left w:val="nil"/>
              <w:bottom w:val="single" w:color="000000" w:sz="4" w:space="0"/>
              <w:right w:val="single" w:color="000000" w:sz="4" w:space="0"/>
            </w:tcBorders>
            <w:vAlign w:val="center"/>
          </w:tcPr>
          <w:p>
            <w:pPr>
              <w:widowControl/>
              <w:snapToGrid w:val="0"/>
              <w:jc w:val="left"/>
              <w:rPr>
                <w:rFonts w:ascii="宋体" w:hAnsi="宋体"/>
                <w:kern w:val="0"/>
              </w:rPr>
            </w:pPr>
            <w:r>
              <w:rPr>
                <w:rFonts w:ascii="宋体" w:hAnsi="宋体"/>
                <w:kern w:val="0"/>
              </w:rPr>
              <w:t>上市公司回购事项</w:t>
            </w:r>
            <w:r>
              <w:rPr>
                <w:rFonts w:hint="eastAsia" w:ascii="宋体" w:hAnsi="宋体"/>
                <w:kern w:val="0"/>
              </w:rPr>
              <w:t>是否</w:t>
            </w:r>
            <w:r>
              <w:rPr>
                <w:rFonts w:ascii="宋体" w:hAnsi="宋体"/>
                <w:kern w:val="0"/>
              </w:rPr>
              <w:t>已获得董事会和股东大会批准。</w:t>
            </w:r>
          </w:p>
          <w:p>
            <w:pPr>
              <w:widowControl/>
              <w:snapToGrid w:val="0"/>
              <w:jc w:val="left"/>
              <w:rPr>
                <w:rFonts w:hint="default" w:ascii="宋体" w:hAnsi="宋体"/>
                <w:kern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jc w:val="center"/>
        </w:trPr>
        <w:tc>
          <w:tcPr>
            <w:tcW w:w="1093" w:type="dxa"/>
            <w:tcBorders>
              <w:top w:val="single" w:color="000000" w:sz="4" w:space="0"/>
              <w:left w:val="single" w:color="000000" w:sz="4" w:space="0"/>
              <w:bottom w:val="single" w:color="000000" w:sz="4" w:space="0"/>
              <w:right w:val="single" w:color="000000" w:sz="4" w:space="0"/>
            </w:tcBorders>
            <w:vAlign w:val="center"/>
          </w:tcPr>
          <w:p>
            <w:pPr>
              <w:widowControl/>
              <w:snapToGrid w:val="0"/>
              <w:jc w:val="left"/>
              <w:rPr>
                <w:rFonts w:hint="default"/>
                <w:kern w:val="0"/>
                <w:sz w:val="20"/>
              </w:rPr>
            </w:pPr>
            <w:r>
              <w:rPr>
                <w:rFonts w:ascii="宋体" w:hAnsi="宋体"/>
                <w:kern w:val="0"/>
              </w:rPr>
              <w:t>办理材料</w:t>
            </w:r>
          </w:p>
        </w:tc>
        <w:tc>
          <w:tcPr>
            <w:tcW w:w="7412" w:type="dxa"/>
            <w:tcBorders>
              <w:top w:val="single" w:color="000000" w:sz="4" w:space="0"/>
              <w:left w:val="nil"/>
              <w:bottom w:val="single" w:color="000000" w:sz="4" w:space="0"/>
              <w:right w:val="single" w:color="000000" w:sz="4" w:space="0"/>
            </w:tcBorders>
            <w:vAlign w:val="center"/>
          </w:tcPr>
          <w:p>
            <w:pPr>
              <w:widowControl/>
              <w:snapToGrid w:val="0"/>
              <w:jc w:val="left"/>
              <w:rPr>
                <w:rFonts w:ascii="宋体" w:hAnsi="宋体"/>
                <w:kern w:val="0"/>
              </w:rPr>
            </w:pPr>
            <w:r>
              <w:rPr>
                <w:rFonts w:ascii="宋体" w:hAnsi="宋体"/>
                <w:kern w:val="0"/>
              </w:rPr>
              <w:t>1.书面申请（说明回购的原因、方案，是否已向国家证券监督主管部门报备等情况）。</w:t>
            </w:r>
          </w:p>
          <w:p>
            <w:pPr>
              <w:widowControl/>
              <w:snapToGrid w:val="0"/>
              <w:jc w:val="left"/>
              <w:rPr>
                <w:rFonts w:ascii="宋体" w:hAnsi="宋体"/>
                <w:kern w:val="0"/>
              </w:rPr>
            </w:pPr>
            <w:r>
              <w:rPr>
                <w:rFonts w:hint="eastAsia" w:ascii="宋体" w:hAnsi="宋体"/>
                <w:kern w:val="0"/>
              </w:rPr>
              <w:t>2.工商营业执照（尚未办理“五证合一”的机构，还需提供组织机构代码证）。</w:t>
            </w:r>
          </w:p>
          <w:p>
            <w:pPr>
              <w:widowControl/>
              <w:snapToGrid w:val="0"/>
              <w:jc w:val="left"/>
              <w:rPr>
                <w:rFonts w:ascii="宋体" w:hAnsi="宋体"/>
                <w:kern w:val="0"/>
              </w:rPr>
            </w:pPr>
            <w:r>
              <w:rPr>
                <w:rFonts w:ascii="宋体" w:hAnsi="宋体"/>
                <w:kern w:val="0"/>
              </w:rPr>
              <w:t>3.经公告的有关回购事项的股东大会决议。</w:t>
            </w:r>
          </w:p>
          <w:p>
            <w:pPr>
              <w:widowControl/>
              <w:snapToGrid w:val="0"/>
              <w:jc w:val="left"/>
              <w:rPr>
                <w:rFonts w:ascii="宋体" w:hAnsi="宋体"/>
                <w:kern w:val="0"/>
              </w:rPr>
            </w:pPr>
            <w:r>
              <w:rPr>
                <w:rFonts w:ascii="宋体" w:hAnsi="宋体"/>
                <w:kern w:val="0"/>
              </w:rPr>
              <w:t>4.经公告的回购报告书。</w:t>
            </w:r>
          </w:p>
          <w:p>
            <w:pPr>
              <w:widowControl/>
              <w:snapToGrid w:val="0"/>
              <w:jc w:val="left"/>
              <w:rPr>
                <w:rFonts w:ascii="宋体" w:hAnsi="宋体"/>
                <w:kern w:val="0"/>
              </w:rPr>
            </w:pPr>
            <w:r>
              <w:rPr>
                <w:rFonts w:ascii="宋体" w:hAnsi="宋体"/>
                <w:kern w:val="0"/>
              </w:rPr>
              <w:t>5.主管部门的批复文件（若有）。</w:t>
            </w:r>
          </w:p>
          <w:p>
            <w:pPr>
              <w:widowControl/>
              <w:snapToGrid w:val="0"/>
              <w:jc w:val="left"/>
              <w:rPr>
                <w:rFonts w:ascii="宋体" w:hAnsi="宋体"/>
                <w:kern w:val="0"/>
              </w:rPr>
            </w:pPr>
            <w:r>
              <w:rPr>
                <w:rFonts w:ascii="宋体" w:hAnsi="宋体"/>
                <w:kern w:val="0"/>
              </w:rPr>
              <w:t>6.前述材料内容不一致或不能说明交易真实性时，要求提供的补充材料。</w:t>
            </w:r>
          </w:p>
          <w:p>
            <w:pPr>
              <w:widowControl/>
              <w:snapToGrid w:val="0"/>
              <w:jc w:val="left"/>
              <w:rPr>
                <w:rFonts w:hint="default" w:ascii="宋体" w:hAnsi="宋体"/>
                <w:kern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1" w:hRule="atLeast"/>
          <w:jc w:val="center"/>
        </w:trPr>
        <w:tc>
          <w:tcPr>
            <w:tcW w:w="1093" w:type="dxa"/>
            <w:tcBorders>
              <w:top w:val="single" w:color="000000" w:sz="4" w:space="0"/>
              <w:left w:val="single" w:color="000000" w:sz="4" w:space="0"/>
              <w:bottom w:val="single" w:color="000000" w:sz="4" w:space="0"/>
              <w:right w:val="single" w:color="000000" w:sz="4" w:space="0"/>
            </w:tcBorders>
            <w:vAlign w:val="center"/>
          </w:tcPr>
          <w:p>
            <w:pPr>
              <w:widowControl/>
              <w:snapToGrid w:val="0"/>
              <w:jc w:val="left"/>
              <w:rPr>
                <w:rFonts w:hint="default"/>
                <w:kern w:val="0"/>
                <w:sz w:val="20"/>
              </w:rPr>
            </w:pPr>
            <w:r>
              <w:rPr>
                <w:rFonts w:ascii="宋体" w:hAnsi="宋体"/>
                <w:kern w:val="0"/>
              </w:rPr>
              <w:t>办理地点</w:t>
            </w:r>
          </w:p>
        </w:tc>
        <w:tc>
          <w:tcPr>
            <w:tcW w:w="7412" w:type="dxa"/>
            <w:tcBorders>
              <w:top w:val="single" w:color="000000" w:sz="4" w:space="0"/>
              <w:left w:val="nil"/>
              <w:bottom w:val="single" w:color="000000" w:sz="4" w:space="0"/>
              <w:right w:val="single" w:color="000000" w:sz="4" w:space="0"/>
            </w:tcBorders>
            <w:vAlign w:val="top"/>
          </w:tcPr>
          <w:p>
            <w:pPr>
              <w:widowControl/>
              <w:snapToGrid w:val="0"/>
              <w:jc w:val="left"/>
              <w:rPr>
                <w:rFonts w:hint="default"/>
                <w:kern w:val="0"/>
              </w:rPr>
            </w:pPr>
            <w:r>
              <w:rPr>
                <w:rFonts w:ascii="宋体" w:hAnsi="宋体"/>
                <w:kern w:val="0"/>
              </w:rPr>
              <w:t>国家外汇管理局青海省分局外汇管理处资本科（西宁市昆仑路3号人民银行政务大厅）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jc w:val="center"/>
        </w:trPr>
        <w:tc>
          <w:tcPr>
            <w:tcW w:w="1093" w:type="dxa"/>
            <w:tcBorders>
              <w:top w:val="single" w:color="000000" w:sz="4" w:space="0"/>
              <w:left w:val="single" w:color="000000" w:sz="4" w:space="0"/>
              <w:bottom w:val="single" w:color="000000" w:sz="4" w:space="0"/>
              <w:right w:val="single" w:color="000000" w:sz="4" w:space="0"/>
            </w:tcBorders>
            <w:vAlign w:val="center"/>
          </w:tcPr>
          <w:p>
            <w:pPr>
              <w:widowControl/>
              <w:snapToGrid w:val="0"/>
              <w:jc w:val="left"/>
              <w:rPr>
                <w:rFonts w:hint="default"/>
                <w:kern w:val="0"/>
                <w:sz w:val="20"/>
              </w:rPr>
            </w:pPr>
            <w:r>
              <w:rPr>
                <w:rFonts w:ascii="宋体" w:hAnsi="宋体"/>
                <w:kern w:val="0"/>
              </w:rPr>
              <w:t>办理时间</w:t>
            </w:r>
          </w:p>
          <w:p>
            <w:pPr>
              <w:widowControl/>
              <w:spacing w:line="271" w:lineRule="auto"/>
              <w:jc w:val="center"/>
              <w:rPr>
                <w:rFonts w:hint="default" w:ascii="Times New Roman" w:eastAsia="Times New Roman"/>
                <w:b/>
                <w:kern w:val="0"/>
              </w:rPr>
            </w:pPr>
          </w:p>
        </w:tc>
        <w:tc>
          <w:tcPr>
            <w:tcW w:w="7412" w:type="dxa"/>
            <w:tcBorders>
              <w:top w:val="single" w:color="000000" w:sz="4" w:space="0"/>
              <w:left w:val="nil"/>
              <w:bottom w:val="single" w:color="000000" w:sz="4" w:space="0"/>
              <w:right w:val="single" w:color="000000" w:sz="4" w:space="0"/>
            </w:tcBorders>
            <w:vAlign w:val="top"/>
          </w:tcPr>
          <w:p>
            <w:pPr>
              <w:widowControl/>
              <w:snapToGrid w:val="0"/>
              <w:jc w:val="left"/>
              <w:rPr>
                <w:rFonts w:hint="default"/>
                <w:kern w:val="0"/>
              </w:rPr>
            </w:pPr>
            <w:r>
              <w:rPr>
                <w:rFonts w:ascii="宋体" w:hAnsi="宋体"/>
                <w:kern w:val="0"/>
              </w:rPr>
              <w:t>周一至周五（法定节假日除外）</w:t>
            </w:r>
          </w:p>
          <w:p>
            <w:pPr>
              <w:widowControl/>
              <w:snapToGrid w:val="0"/>
              <w:jc w:val="left"/>
              <w:rPr>
                <w:rFonts w:hint="default"/>
                <w:kern w:val="0"/>
                <w:sz w:val="20"/>
              </w:rPr>
            </w:pPr>
            <w:r>
              <w:rPr>
                <w:rFonts w:ascii="宋体" w:hAnsi="宋体"/>
                <w:kern w:val="0"/>
              </w:rPr>
              <w:t>上午8：30-11：30，下午2：00-5：30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jc w:val="center"/>
        </w:trPr>
        <w:tc>
          <w:tcPr>
            <w:tcW w:w="1093" w:type="dxa"/>
            <w:tcBorders>
              <w:top w:val="single" w:color="000000" w:sz="4" w:space="0"/>
              <w:left w:val="single" w:color="000000" w:sz="4" w:space="0"/>
              <w:bottom w:val="single" w:color="000000" w:sz="4" w:space="0"/>
              <w:right w:val="single" w:color="000000" w:sz="4" w:space="0"/>
            </w:tcBorders>
            <w:vAlign w:val="center"/>
          </w:tcPr>
          <w:p>
            <w:pPr>
              <w:widowControl/>
              <w:snapToGrid w:val="0"/>
              <w:jc w:val="left"/>
              <w:rPr>
                <w:rFonts w:hint="default"/>
                <w:kern w:val="0"/>
                <w:sz w:val="20"/>
              </w:rPr>
            </w:pPr>
            <w:r>
              <w:rPr>
                <w:rFonts w:ascii="宋体" w:hAnsi="宋体"/>
                <w:kern w:val="0"/>
              </w:rPr>
              <w:t>联系电话</w:t>
            </w:r>
          </w:p>
        </w:tc>
        <w:tc>
          <w:tcPr>
            <w:tcW w:w="7412" w:type="dxa"/>
            <w:tcBorders>
              <w:top w:val="single" w:color="000000" w:sz="4" w:space="0"/>
              <w:left w:val="nil"/>
              <w:bottom w:val="single" w:color="000000" w:sz="4" w:space="0"/>
              <w:right w:val="single" w:color="000000" w:sz="4" w:space="0"/>
            </w:tcBorders>
            <w:vAlign w:val="top"/>
          </w:tcPr>
          <w:p>
            <w:pPr>
              <w:widowControl/>
              <w:snapToGrid w:val="0"/>
              <w:jc w:val="left"/>
              <w:rPr>
                <w:rFonts w:hint="default"/>
                <w:kern w:val="0"/>
              </w:rPr>
            </w:pPr>
            <w:r>
              <w:rPr>
                <w:rFonts w:ascii="宋体" w:hAnsi="宋体"/>
                <w:kern w:val="0"/>
              </w:rPr>
              <w:t>0971-6126143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jc w:val="center"/>
        </w:trPr>
        <w:tc>
          <w:tcPr>
            <w:tcW w:w="1093" w:type="dxa"/>
            <w:tcBorders>
              <w:top w:val="single" w:color="000000" w:sz="4" w:space="0"/>
              <w:left w:val="single" w:color="000000" w:sz="4" w:space="0"/>
              <w:bottom w:val="single" w:color="000000" w:sz="4" w:space="0"/>
              <w:right w:val="single" w:color="000000" w:sz="4" w:space="0"/>
            </w:tcBorders>
            <w:vAlign w:val="center"/>
          </w:tcPr>
          <w:p>
            <w:pPr>
              <w:widowControl/>
              <w:snapToGrid w:val="0"/>
              <w:jc w:val="left"/>
              <w:rPr>
                <w:rFonts w:hint="default"/>
                <w:kern w:val="0"/>
                <w:sz w:val="20"/>
              </w:rPr>
            </w:pPr>
            <w:r>
              <w:rPr>
                <w:rFonts w:ascii="宋体" w:hAnsi="宋体"/>
                <w:kern w:val="0"/>
              </w:rPr>
              <w:t>办理流程</w:t>
            </w:r>
          </w:p>
        </w:tc>
        <w:tc>
          <w:tcPr>
            <w:tcW w:w="7412" w:type="dxa"/>
            <w:tcBorders>
              <w:top w:val="single" w:color="000000" w:sz="4" w:space="0"/>
              <w:left w:val="nil"/>
              <w:bottom w:val="single" w:color="000000" w:sz="4" w:space="0"/>
              <w:right w:val="single" w:color="000000" w:sz="4" w:space="0"/>
            </w:tcBorders>
            <w:vAlign w:val="top"/>
          </w:tcPr>
          <w:p>
            <w:pPr>
              <w:widowControl/>
              <w:snapToGrid w:val="0"/>
              <w:jc w:val="left"/>
              <w:rPr>
                <w:rFonts w:ascii="宋体" w:hAnsi="宋体"/>
                <w:kern w:val="0"/>
              </w:rPr>
            </w:pPr>
            <w:r>
              <w:rPr>
                <w:rFonts w:ascii="宋体" w:hAnsi="宋体"/>
                <w:kern w:val="0"/>
              </w:rPr>
              <w:t>1.上市公司凭外汇局购汇核准文件，直接在银行开立境内专用外汇账户用于存放回购资金并办理后续购付汇手续。该账户自上市公司股东大会通过回购B股的决议之日起6个月内有效，到期后账户应予关闭。账户关闭时如有资金余额，余额的处置须经所在地外汇局核准。</w:t>
            </w:r>
          </w:p>
          <w:p>
            <w:pPr>
              <w:widowControl/>
              <w:snapToGrid w:val="0"/>
              <w:jc w:val="left"/>
              <w:rPr>
                <w:rFonts w:ascii="宋体" w:hAnsi="宋体"/>
                <w:kern w:val="0"/>
              </w:rPr>
            </w:pPr>
            <w:r>
              <w:rPr>
                <w:rFonts w:ascii="宋体" w:hAnsi="宋体"/>
                <w:kern w:val="0"/>
              </w:rPr>
              <w:t>2.上市公司应在境内专用外汇账户开立、关闭后5个工作日内向所在地外汇局报备，并在发生资金汇兑和划转后5个工作日内向所在地外汇局报告账户资金收支情况。</w:t>
            </w:r>
          </w:p>
          <w:p>
            <w:pPr>
              <w:widowControl/>
              <w:snapToGrid w:val="0"/>
              <w:jc w:val="left"/>
              <w:rPr>
                <w:rFonts w:hint="default"/>
                <w:kern w:val="0"/>
                <w:sz w:val="20"/>
              </w:rPr>
            </w:pPr>
            <w:r>
              <w:rPr>
                <w:rFonts w:ascii="宋体" w:hAnsi="宋体"/>
                <w:kern w:val="0"/>
              </w:rPr>
              <w:t>3.上市公司应在完成B股回购、注销并减少相应注册资本后，将回购完成情况及变更后的工商营业执照</w:t>
            </w:r>
            <w:r>
              <w:rPr>
                <w:rFonts w:hint="eastAsia" w:ascii="宋体" w:hAnsi="宋体"/>
                <w:kern w:val="0"/>
              </w:rPr>
              <w:t>（尚未办理“五证合一”的机构，还需提供组织机构代码证）</w:t>
            </w:r>
            <w:r>
              <w:rPr>
                <w:rFonts w:ascii="宋体" w:hAnsi="宋体"/>
                <w:kern w:val="0"/>
              </w:rPr>
              <w:t>报所在地外汇局备案。</w:t>
            </w:r>
          </w:p>
        </w:tc>
      </w:tr>
    </w:tbl>
    <w:p>
      <w:pPr>
        <w:widowControl/>
        <w:snapToGrid w:val="0"/>
        <w:rPr>
          <w:rFonts w:hint="default"/>
          <w:b/>
          <w:kern w:val="0"/>
          <w:sz w:val="28"/>
        </w:rPr>
      </w:pPr>
    </w:p>
    <w:p>
      <w:pPr>
        <w:widowControl/>
        <w:snapToGrid w:val="0"/>
        <w:rPr>
          <w:rFonts w:hint="default"/>
          <w:b/>
          <w:kern w:val="0"/>
          <w:sz w:val="28"/>
        </w:rPr>
      </w:pPr>
    </w:p>
    <w:p>
      <w:pPr>
        <w:widowControl/>
        <w:snapToGrid w:val="0"/>
        <w:rPr>
          <w:rFonts w:hint="default"/>
          <w:b/>
          <w:kern w:val="0"/>
          <w:sz w:val="28"/>
        </w:rPr>
      </w:pPr>
    </w:p>
    <w:p>
      <w:pPr>
        <w:widowControl/>
        <w:snapToGrid w:val="0"/>
        <w:rPr>
          <w:rFonts w:hint="default"/>
          <w:b/>
          <w:kern w:val="0"/>
          <w:sz w:val="28"/>
        </w:rPr>
      </w:pPr>
    </w:p>
    <w:p>
      <w:pPr>
        <w:widowControl/>
        <w:snapToGrid w:val="0"/>
        <w:rPr>
          <w:rFonts w:hint="default"/>
          <w:b/>
          <w:kern w:val="0"/>
          <w:sz w:val="28"/>
        </w:rPr>
      </w:pPr>
    </w:p>
    <w:tbl>
      <w:tblPr>
        <w:tblStyle w:val="16"/>
        <w:tblW w:w="850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093"/>
        <w:gridCol w:w="741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jc w:val="center"/>
        </w:trPr>
        <w:tc>
          <w:tcPr>
            <w:tcW w:w="1093" w:type="dxa"/>
            <w:tcBorders>
              <w:top w:val="single" w:color="000000" w:sz="4" w:space="0"/>
              <w:left w:val="single" w:color="000000" w:sz="4" w:space="0"/>
              <w:bottom w:val="single" w:color="000000" w:sz="4" w:space="0"/>
              <w:right w:val="single" w:color="000000" w:sz="4" w:space="0"/>
            </w:tcBorders>
            <w:vAlign w:val="center"/>
          </w:tcPr>
          <w:p>
            <w:pPr>
              <w:widowControl/>
              <w:snapToGrid w:val="0"/>
              <w:jc w:val="left"/>
              <w:rPr>
                <w:rFonts w:hint="default"/>
                <w:kern w:val="0"/>
                <w:sz w:val="20"/>
              </w:rPr>
            </w:pPr>
            <w:r>
              <w:rPr>
                <w:rFonts w:ascii="宋体" w:hAnsi="宋体"/>
                <w:kern w:val="0"/>
              </w:rPr>
              <w:t>业务名称</w:t>
            </w:r>
          </w:p>
        </w:tc>
        <w:tc>
          <w:tcPr>
            <w:tcW w:w="7412" w:type="dxa"/>
            <w:tcBorders>
              <w:top w:val="single" w:color="000000" w:sz="4" w:space="0"/>
              <w:left w:val="nil"/>
              <w:bottom w:val="single" w:color="000000" w:sz="4" w:space="0"/>
              <w:right w:val="single" w:color="000000" w:sz="4" w:space="0"/>
            </w:tcBorders>
            <w:vAlign w:val="center"/>
          </w:tcPr>
          <w:p>
            <w:pPr>
              <w:widowControl/>
              <w:snapToGrid w:val="0"/>
              <w:jc w:val="left"/>
              <w:rPr>
                <w:rFonts w:hint="default"/>
                <w:b/>
                <w:kern w:val="0"/>
                <w:sz w:val="20"/>
              </w:rPr>
            </w:pPr>
            <w:r>
              <w:rPr>
                <w:rFonts w:ascii="宋体" w:hAnsi="宋体"/>
                <w:b/>
                <w:kern w:val="0"/>
              </w:rPr>
              <w:t>（</w:t>
            </w:r>
            <w:r>
              <w:rPr>
                <w:rFonts w:hint="eastAsia" w:ascii="宋体" w:hAnsi="宋体"/>
                <w:b/>
                <w:kern w:val="0"/>
                <w:lang w:eastAsia="zh-CN"/>
              </w:rPr>
              <w:t>二十二</w:t>
            </w:r>
            <w:r>
              <w:rPr>
                <w:rFonts w:ascii="宋体" w:hAnsi="宋体"/>
                <w:b/>
                <w:kern w:val="0"/>
              </w:rPr>
              <w:t>）</w:t>
            </w:r>
            <w:r>
              <w:rPr>
                <w:rFonts w:hint="eastAsia" w:ascii="宋体" w:hAnsi="宋体"/>
                <w:b/>
                <w:kern w:val="0"/>
              </w:rPr>
              <w:t>银行人民币结构性存款业务外汇登记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jc w:val="center"/>
        </w:trPr>
        <w:tc>
          <w:tcPr>
            <w:tcW w:w="1093" w:type="dxa"/>
            <w:tcBorders>
              <w:top w:val="single" w:color="000000" w:sz="4" w:space="0"/>
              <w:left w:val="single" w:color="000000" w:sz="4" w:space="0"/>
              <w:bottom w:val="single" w:color="000000" w:sz="4" w:space="0"/>
              <w:right w:val="single" w:color="000000" w:sz="4" w:space="0"/>
            </w:tcBorders>
            <w:vAlign w:val="center"/>
          </w:tcPr>
          <w:p>
            <w:pPr>
              <w:widowControl/>
              <w:snapToGrid w:val="0"/>
              <w:jc w:val="left"/>
              <w:rPr>
                <w:rFonts w:hint="default"/>
                <w:kern w:val="0"/>
                <w:sz w:val="20"/>
              </w:rPr>
            </w:pPr>
            <w:r>
              <w:rPr>
                <w:rFonts w:ascii="宋体" w:hAnsi="宋体"/>
                <w:kern w:val="0"/>
              </w:rPr>
              <w:t>设定依据</w:t>
            </w:r>
          </w:p>
          <w:p>
            <w:pPr>
              <w:widowControl/>
              <w:spacing w:line="271" w:lineRule="auto"/>
              <w:jc w:val="center"/>
              <w:rPr>
                <w:rFonts w:hint="default" w:ascii="Times New Roman" w:eastAsia="Times New Roman"/>
                <w:b/>
                <w:kern w:val="0"/>
              </w:rPr>
            </w:pPr>
          </w:p>
        </w:tc>
        <w:tc>
          <w:tcPr>
            <w:tcW w:w="7412" w:type="dxa"/>
            <w:tcBorders>
              <w:top w:val="single" w:color="000000" w:sz="4" w:space="0"/>
              <w:left w:val="nil"/>
              <w:bottom w:val="single" w:color="000000" w:sz="4" w:space="0"/>
              <w:right w:val="single" w:color="000000" w:sz="4" w:space="0"/>
            </w:tcBorders>
            <w:vAlign w:val="center"/>
          </w:tcPr>
          <w:p>
            <w:pPr>
              <w:widowControl/>
              <w:snapToGrid w:val="0"/>
              <w:jc w:val="left"/>
              <w:rPr>
                <w:rFonts w:ascii="宋体" w:hAnsi="宋体"/>
                <w:kern w:val="0"/>
              </w:rPr>
            </w:pPr>
            <w:r>
              <w:rPr>
                <w:rFonts w:hint="eastAsia" w:ascii="宋体" w:hAnsi="宋体"/>
                <w:kern w:val="0"/>
              </w:rPr>
              <w:t>1.《中华人民共和国外汇管理条例》（国务院令第532号）。</w:t>
            </w:r>
          </w:p>
          <w:p>
            <w:pPr>
              <w:widowControl/>
              <w:snapToGrid w:val="0"/>
              <w:jc w:val="left"/>
              <w:rPr>
                <w:rFonts w:ascii="宋体" w:hAnsi="宋体"/>
                <w:kern w:val="0"/>
              </w:rPr>
            </w:pPr>
            <w:r>
              <w:rPr>
                <w:rFonts w:hint="eastAsia" w:ascii="宋体" w:hAnsi="宋体"/>
                <w:kern w:val="0"/>
              </w:rPr>
              <w:t>2.其他相关法规。</w:t>
            </w:r>
          </w:p>
          <w:p>
            <w:pPr>
              <w:widowControl/>
              <w:snapToGrid w:val="0"/>
              <w:jc w:val="left"/>
              <w:rPr>
                <w:rFonts w:hint="default" w:ascii="宋体" w:hAnsi="宋体"/>
                <w:kern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jc w:val="center"/>
        </w:trPr>
        <w:tc>
          <w:tcPr>
            <w:tcW w:w="1093"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rFonts w:ascii="宋体" w:hAnsi="宋体"/>
                <w:kern w:val="0"/>
              </w:rPr>
            </w:pPr>
            <w:r>
              <w:rPr>
                <w:rFonts w:ascii="宋体" w:hAnsi="宋体"/>
                <w:kern w:val="0"/>
              </w:rPr>
              <w:t>申请条件</w:t>
            </w:r>
          </w:p>
          <w:p>
            <w:pPr>
              <w:widowControl/>
              <w:snapToGrid w:val="0"/>
              <w:jc w:val="center"/>
              <w:rPr>
                <w:rFonts w:hint="eastAsia" w:ascii="宋体" w:hAnsi="宋体"/>
                <w:kern w:val="0"/>
                <w:lang w:val="en-US" w:eastAsia="zh-CN"/>
              </w:rPr>
            </w:pPr>
            <w:r>
              <w:rPr>
                <w:rFonts w:hint="eastAsia" w:ascii="宋体" w:hAnsi="宋体"/>
                <w:kern w:val="0"/>
                <w:lang w:val="en-US" w:eastAsia="zh-CN"/>
              </w:rPr>
              <w:t>及</w:t>
            </w:r>
          </w:p>
          <w:p>
            <w:pPr>
              <w:widowControl/>
              <w:snapToGrid w:val="0"/>
              <w:jc w:val="center"/>
              <w:rPr>
                <w:rFonts w:hint="eastAsia" w:ascii="宋体" w:hAnsi="宋体"/>
                <w:kern w:val="0"/>
                <w:lang w:val="en-US" w:eastAsia="zh-CN"/>
              </w:rPr>
            </w:pPr>
            <w:r>
              <w:rPr>
                <w:rFonts w:hint="eastAsia" w:ascii="宋体" w:hAnsi="宋体"/>
                <w:kern w:val="0"/>
                <w:lang w:val="en-US" w:eastAsia="zh-CN"/>
              </w:rPr>
              <w:t>注意事项</w:t>
            </w:r>
          </w:p>
        </w:tc>
        <w:tc>
          <w:tcPr>
            <w:tcW w:w="7412" w:type="dxa"/>
            <w:tcBorders>
              <w:top w:val="single" w:color="000000" w:sz="4" w:space="0"/>
              <w:left w:val="nil"/>
              <w:bottom w:val="single" w:color="000000" w:sz="4" w:space="0"/>
              <w:right w:val="single" w:color="000000" w:sz="4" w:space="0"/>
            </w:tcBorders>
            <w:vAlign w:val="center"/>
          </w:tcPr>
          <w:p>
            <w:pPr>
              <w:widowControl/>
              <w:snapToGrid w:val="0"/>
              <w:jc w:val="left"/>
              <w:rPr>
                <w:rFonts w:ascii="宋体" w:hAnsi="宋体"/>
                <w:kern w:val="0"/>
              </w:rPr>
            </w:pPr>
            <w:r>
              <w:rPr>
                <w:rFonts w:hint="eastAsia" w:ascii="宋体" w:hAnsi="宋体"/>
                <w:kern w:val="0"/>
              </w:rPr>
              <w:t>1.银行以资金管理人身份吸收人民币结构性存款的，应在首次开办业务前15个工作日到外汇局办理登记。</w:t>
            </w:r>
          </w:p>
          <w:p>
            <w:pPr>
              <w:widowControl/>
              <w:snapToGrid w:val="0"/>
              <w:jc w:val="left"/>
              <w:rPr>
                <w:rFonts w:ascii="宋体" w:hAnsi="宋体"/>
                <w:kern w:val="0"/>
              </w:rPr>
            </w:pPr>
            <w:r>
              <w:rPr>
                <w:rFonts w:hint="eastAsia" w:ascii="宋体" w:hAnsi="宋体"/>
                <w:kern w:val="0"/>
              </w:rPr>
              <w:t>2.仅销售产品但不实际管理资金的银行不需办理登记。</w:t>
            </w:r>
          </w:p>
          <w:p>
            <w:pPr>
              <w:widowControl/>
              <w:snapToGrid w:val="0"/>
              <w:jc w:val="left"/>
              <w:rPr>
                <w:rFonts w:ascii="宋体" w:hAnsi="宋体"/>
                <w:kern w:val="0"/>
              </w:rPr>
            </w:pPr>
            <w:r>
              <w:rPr>
                <w:rFonts w:hint="eastAsia" w:ascii="宋体" w:hAnsi="宋体"/>
                <w:kern w:val="0"/>
              </w:rPr>
              <w:t>3.银行吸收人民币结构性存款涉及的资金跨境收付应根据国际收支申报要求办理申报手续，其结售汇纳入结售汇综合头寸统一办理。</w:t>
            </w:r>
          </w:p>
          <w:p>
            <w:pPr>
              <w:widowControl/>
              <w:snapToGrid w:val="0"/>
              <w:jc w:val="left"/>
              <w:rPr>
                <w:rFonts w:ascii="宋体" w:hAnsi="宋体"/>
                <w:kern w:val="0"/>
              </w:rPr>
            </w:pPr>
            <w:r>
              <w:rPr>
                <w:rFonts w:hint="eastAsia" w:ascii="宋体" w:hAnsi="宋体"/>
                <w:kern w:val="0"/>
              </w:rPr>
              <w:t>4.已办理登记的银行应在每月初5个工作日内通过资本项目信息系统报送《商业银行人民币结构性存款业务月报表》。</w:t>
            </w:r>
          </w:p>
          <w:p>
            <w:pPr>
              <w:widowControl/>
              <w:snapToGrid w:val="0"/>
              <w:jc w:val="left"/>
              <w:rPr>
                <w:rFonts w:hint="default" w:ascii="宋体" w:hAnsi="宋体"/>
                <w:kern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jc w:val="center"/>
        </w:trPr>
        <w:tc>
          <w:tcPr>
            <w:tcW w:w="1093" w:type="dxa"/>
            <w:tcBorders>
              <w:top w:val="single" w:color="000000" w:sz="4" w:space="0"/>
              <w:left w:val="single" w:color="000000" w:sz="4" w:space="0"/>
              <w:bottom w:val="single" w:color="000000" w:sz="4" w:space="0"/>
              <w:right w:val="single" w:color="000000" w:sz="4" w:space="0"/>
            </w:tcBorders>
            <w:vAlign w:val="center"/>
          </w:tcPr>
          <w:p>
            <w:pPr>
              <w:widowControl/>
              <w:snapToGrid w:val="0"/>
              <w:jc w:val="left"/>
              <w:rPr>
                <w:rFonts w:hint="default"/>
                <w:kern w:val="0"/>
                <w:sz w:val="20"/>
              </w:rPr>
            </w:pPr>
            <w:r>
              <w:rPr>
                <w:rFonts w:ascii="宋体" w:hAnsi="宋体"/>
                <w:kern w:val="0"/>
              </w:rPr>
              <w:t>办理材料</w:t>
            </w:r>
          </w:p>
        </w:tc>
        <w:tc>
          <w:tcPr>
            <w:tcW w:w="7412" w:type="dxa"/>
            <w:tcBorders>
              <w:top w:val="single" w:color="000000" w:sz="4" w:space="0"/>
              <w:left w:val="nil"/>
              <w:bottom w:val="single" w:color="000000" w:sz="4" w:space="0"/>
              <w:right w:val="single" w:color="000000" w:sz="4" w:space="0"/>
            </w:tcBorders>
            <w:vAlign w:val="center"/>
          </w:tcPr>
          <w:p>
            <w:pPr>
              <w:widowControl/>
              <w:snapToGrid w:val="0"/>
              <w:jc w:val="left"/>
              <w:rPr>
                <w:rFonts w:ascii="宋体" w:hAnsi="宋体"/>
                <w:kern w:val="0"/>
              </w:rPr>
            </w:pPr>
            <w:r>
              <w:rPr>
                <w:rFonts w:hint="eastAsia" w:ascii="宋体" w:hAnsi="宋体"/>
                <w:kern w:val="0"/>
              </w:rPr>
              <w:t>1.《商业银行人民币结构性存款业务外汇登记申请表》（一式两份）。</w:t>
            </w:r>
          </w:p>
          <w:p>
            <w:pPr>
              <w:widowControl/>
              <w:snapToGrid w:val="0"/>
              <w:jc w:val="left"/>
              <w:rPr>
                <w:rFonts w:ascii="宋体" w:hAnsi="宋体"/>
                <w:kern w:val="0"/>
              </w:rPr>
            </w:pPr>
            <w:r>
              <w:rPr>
                <w:rFonts w:hint="eastAsia" w:ascii="宋体" w:hAnsi="宋体"/>
                <w:kern w:val="0"/>
              </w:rPr>
              <w:t>2.银监部门同意其开办衍生产品交易业务的批准文件。</w:t>
            </w:r>
          </w:p>
          <w:p>
            <w:pPr>
              <w:widowControl/>
              <w:snapToGrid w:val="0"/>
              <w:jc w:val="left"/>
              <w:rPr>
                <w:rFonts w:hint="default" w:ascii="宋体" w:hAnsi="宋体"/>
                <w:kern w:val="0"/>
              </w:rPr>
            </w:pPr>
            <w:r>
              <w:rPr>
                <w:rFonts w:hint="eastAsia" w:ascii="宋体" w:hAnsi="宋体"/>
                <w:kern w:val="0"/>
              </w:rPr>
              <w:t>3.前述材料内容不一致或不能说明交易真实性时，要求提供的补充材料。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1" w:hRule="atLeast"/>
          <w:jc w:val="center"/>
        </w:trPr>
        <w:tc>
          <w:tcPr>
            <w:tcW w:w="1093" w:type="dxa"/>
            <w:tcBorders>
              <w:top w:val="single" w:color="000000" w:sz="4" w:space="0"/>
              <w:left w:val="single" w:color="000000" w:sz="4" w:space="0"/>
              <w:bottom w:val="single" w:color="000000" w:sz="4" w:space="0"/>
              <w:right w:val="single" w:color="000000" w:sz="4" w:space="0"/>
            </w:tcBorders>
            <w:vAlign w:val="center"/>
          </w:tcPr>
          <w:p>
            <w:pPr>
              <w:widowControl/>
              <w:snapToGrid w:val="0"/>
              <w:jc w:val="left"/>
              <w:rPr>
                <w:rFonts w:hint="default"/>
                <w:kern w:val="0"/>
                <w:sz w:val="20"/>
              </w:rPr>
            </w:pPr>
            <w:r>
              <w:rPr>
                <w:rFonts w:ascii="宋体" w:hAnsi="宋体"/>
                <w:kern w:val="0"/>
              </w:rPr>
              <w:t>办理地点</w:t>
            </w:r>
          </w:p>
        </w:tc>
        <w:tc>
          <w:tcPr>
            <w:tcW w:w="7412" w:type="dxa"/>
            <w:tcBorders>
              <w:top w:val="single" w:color="000000" w:sz="4" w:space="0"/>
              <w:left w:val="nil"/>
              <w:bottom w:val="single" w:color="000000" w:sz="4" w:space="0"/>
              <w:right w:val="single" w:color="000000" w:sz="4" w:space="0"/>
            </w:tcBorders>
            <w:vAlign w:val="top"/>
          </w:tcPr>
          <w:p>
            <w:pPr>
              <w:widowControl/>
              <w:snapToGrid w:val="0"/>
              <w:jc w:val="left"/>
              <w:rPr>
                <w:rFonts w:hint="default"/>
                <w:kern w:val="0"/>
              </w:rPr>
            </w:pPr>
            <w:r>
              <w:rPr>
                <w:rFonts w:ascii="宋体" w:hAnsi="宋体"/>
                <w:kern w:val="0"/>
              </w:rPr>
              <w:t>国家外汇管理局青海省分局外汇管理处资本科（西宁市昆仑路3号人民银行政务大厅）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jc w:val="center"/>
        </w:trPr>
        <w:tc>
          <w:tcPr>
            <w:tcW w:w="1093" w:type="dxa"/>
            <w:tcBorders>
              <w:top w:val="single" w:color="000000" w:sz="4" w:space="0"/>
              <w:left w:val="single" w:color="000000" w:sz="4" w:space="0"/>
              <w:bottom w:val="single" w:color="000000" w:sz="4" w:space="0"/>
              <w:right w:val="single" w:color="000000" w:sz="4" w:space="0"/>
            </w:tcBorders>
            <w:vAlign w:val="center"/>
          </w:tcPr>
          <w:p>
            <w:pPr>
              <w:widowControl/>
              <w:snapToGrid w:val="0"/>
              <w:jc w:val="left"/>
              <w:rPr>
                <w:rFonts w:hint="default"/>
                <w:kern w:val="0"/>
                <w:sz w:val="20"/>
              </w:rPr>
            </w:pPr>
            <w:r>
              <w:rPr>
                <w:rFonts w:ascii="宋体" w:hAnsi="宋体"/>
                <w:kern w:val="0"/>
              </w:rPr>
              <w:t>办理时间</w:t>
            </w:r>
          </w:p>
          <w:p>
            <w:pPr>
              <w:widowControl/>
              <w:spacing w:line="271" w:lineRule="auto"/>
              <w:jc w:val="center"/>
              <w:rPr>
                <w:rFonts w:hint="default" w:ascii="Times New Roman" w:eastAsia="Times New Roman"/>
                <w:b/>
                <w:kern w:val="0"/>
              </w:rPr>
            </w:pPr>
          </w:p>
        </w:tc>
        <w:tc>
          <w:tcPr>
            <w:tcW w:w="7412" w:type="dxa"/>
            <w:tcBorders>
              <w:top w:val="single" w:color="000000" w:sz="4" w:space="0"/>
              <w:left w:val="nil"/>
              <w:bottom w:val="single" w:color="000000" w:sz="4" w:space="0"/>
              <w:right w:val="single" w:color="000000" w:sz="4" w:space="0"/>
            </w:tcBorders>
            <w:vAlign w:val="top"/>
          </w:tcPr>
          <w:p>
            <w:pPr>
              <w:widowControl/>
              <w:snapToGrid w:val="0"/>
              <w:jc w:val="left"/>
              <w:rPr>
                <w:rFonts w:hint="default" w:ascii="宋体" w:hAnsi="宋体"/>
                <w:kern w:val="0"/>
              </w:rPr>
            </w:pPr>
            <w:r>
              <w:rPr>
                <w:rFonts w:ascii="宋体" w:hAnsi="宋体"/>
                <w:kern w:val="0"/>
              </w:rPr>
              <w:t>周一至周五（法定节假日除外）</w:t>
            </w:r>
          </w:p>
          <w:p>
            <w:pPr>
              <w:widowControl/>
              <w:snapToGrid w:val="0"/>
              <w:jc w:val="left"/>
              <w:rPr>
                <w:rFonts w:hint="default"/>
                <w:kern w:val="0"/>
                <w:sz w:val="20"/>
              </w:rPr>
            </w:pPr>
            <w:r>
              <w:rPr>
                <w:rFonts w:ascii="宋体" w:hAnsi="宋体"/>
                <w:kern w:val="0"/>
              </w:rPr>
              <w:t>上午8：30-11：30，下午2：00-5：30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jc w:val="center"/>
        </w:trPr>
        <w:tc>
          <w:tcPr>
            <w:tcW w:w="1093" w:type="dxa"/>
            <w:tcBorders>
              <w:top w:val="single" w:color="000000" w:sz="4" w:space="0"/>
              <w:left w:val="single" w:color="000000" w:sz="4" w:space="0"/>
              <w:bottom w:val="single" w:color="000000" w:sz="4" w:space="0"/>
              <w:right w:val="single" w:color="000000" w:sz="4" w:space="0"/>
            </w:tcBorders>
            <w:vAlign w:val="center"/>
          </w:tcPr>
          <w:p>
            <w:pPr>
              <w:widowControl/>
              <w:snapToGrid w:val="0"/>
              <w:jc w:val="left"/>
              <w:rPr>
                <w:rFonts w:hint="default"/>
                <w:kern w:val="0"/>
                <w:sz w:val="20"/>
              </w:rPr>
            </w:pPr>
            <w:r>
              <w:rPr>
                <w:rFonts w:ascii="宋体" w:hAnsi="宋体"/>
                <w:kern w:val="0"/>
              </w:rPr>
              <w:t>联系电话</w:t>
            </w:r>
          </w:p>
        </w:tc>
        <w:tc>
          <w:tcPr>
            <w:tcW w:w="7412" w:type="dxa"/>
            <w:tcBorders>
              <w:top w:val="single" w:color="000000" w:sz="4" w:space="0"/>
              <w:left w:val="nil"/>
              <w:bottom w:val="single" w:color="000000" w:sz="4" w:space="0"/>
              <w:right w:val="single" w:color="000000" w:sz="4" w:space="0"/>
            </w:tcBorders>
            <w:vAlign w:val="top"/>
          </w:tcPr>
          <w:p>
            <w:pPr>
              <w:widowControl/>
              <w:snapToGrid w:val="0"/>
              <w:jc w:val="left"/>
              <w:rPr>
                <w:rFonts w:hint="default"/>
                <w:kern w:val="0"/>
              </w:rPr>
            </w:pPr>
            <w:r>
              <w:rPr>
                <w:rFonts w:ascii="宋体" w:hAnsi="宋体"/>
                <w:kern w:val="0"/>
              </w:rPr>
              <w:t>0971-6126143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jc w:val="center"/>
        </w:trPr>
        <w:tc>
          <w:tcPr>
            <w:tcW w:w="1093" w:type="dxa"/>
            <w:tcBorders>
              <w:top w:val="single" w:color="000000" w:sz="4" w:space="0"/>
              <w:left w:val="single" w:color="000000" w:sz="4" w:space="0"/>
              <w:bottom w:val="single" w:color="000000" w:sz="4" w:space="0"/>
              <w:right w:val="single" w:color="000000" w:sz="4" w:space="0"/>
            </w:tcBorders>
            <w:vAlign w:val="center"/>
          </w:tcPr>
          <w:p>
            <w:pPr>
              <w:widowControl/>
              <w:snapToGrid w:val="0"/>
              <w:jc w:val="left"/>
              <w:rPr>
                <w:rFonts w:hint="default"/>
                <w:kern w:val="0"/>
                <w:sz w:val="20"/>
              </w:rPr>
            </w:pPr>
            <w:r>
              <w:rPr>
                <w:rFonts w:ascii="宋体" w:hAnsi="宋体"/>
                <w:kern w:val="0"/>
              </w:rPr>
              <w:t>办理流程</w:t>
            </w:r>
          </w:p>
        </w:tc>
        <w:tc>
          <w:tcPr>
            <w:tcW w:w="7412" w:type="dxa"/>
            <w:tcBorders>
              <w:top w:val="single" w:color="000000" w:sz="4" w:space="0"/>
              <w:left w:val="nil"/>
              <w:bottom w:val="single" w:color="000000" w:sz="4" w:space="0"/>
              <w:right w:val="single" w:color="000000" w:sz="4" w:space="0"/>
            </w:tcBorders>
            <w:vAlign w:val="top"/>
          </w:tcPr>
          <w:p>
            <w:pPr>
              <w:widowControl/>
              <w:snapToGrid w:val="0"/>
              <w:jc w:val="left"/>
              <w:rPr>
                <w:rFonts w:hint="eastAsia" w:ascii="宋体" w:hAnsi="宋体"/>
                <w:kern w:val="0"/>
                <w:lang w:val="en-US" w:eastAsia="zh-CN"/>
              </w:rPr>
            </w:pPr>
            <w:r>
              <w:rPr>
                <w:rFonts w:hint="eastAsia" w:ascii="宋体" w:hAnsi="宋体"/>
                <w:kern w:val="0"/>
                <w:lang w:val="en-US" w:eastAsia="zh-CN"/>
              </w:rPr>
              <w:t>1.申请银行获得银监部门批准文件;</w:t>
            </w:r>
          </w:p>
          <w:p>
            <w:pPr>
              <w:widowControl/>
              <w:snapToGrid w:val="0"/>
              <w:jc w:val="left"/>
              <w:rPr>
                <w:rFonts w:hint="eastAsia"/>
                <w:kern w:val="0"/>
                <w:sz w:val="20"/>
                <w:lang w:val="en-US" w:eastAsia="zh-CN"/>
              </w:rPr>
            </w:pPr>
            <w:r>
              <w:rPr>
                <w:rFonts w:hint="eastAsia" w:ascii="宋体" w:hAnsi="宋体"/>
                <w:kern w:val="0"/>
                <w:lang w:val="en-US" w:eastAsia="zh-CN"/>
              </w:rPr>
              <w:t>2.当地外汇局办理登记;</w:t>
            </w:r>
          </w:p>
        </w:tc>
      </w:tr>
    </w:tbl>
    <w:p>
      <w:pPr>
        <w:widowControl/>
        <w:snapToGrid w:val="0"/>
        <w:rPr>
          <w:rFonts w:hint="default"/>
          <w:b/>
          <w:kern w:val="0"/>
          <w:sz w:val="28"/>
        </w:rPr>
      </w:pPr>
    </w:p>
    <w:p>
      <w:pPr>
        <w:widowControl/>
        <w:snapToGrid w:val="0"/>
        <w:rPr>
          <w:rFonts w:hint="default"/>
          <w:b/>
          <w:kern w:val="0"/>
          <w:sz w:val="28"/>
        </w:rPr>
      </w:pPr>
    </w:p>
    <w:p>
      <w:pPr>
        <w:widowControl/>
        <w:snapToGrid w:val="0"/>
        <w:rPr>
          <w:rFonts w:hint="default"/>
          <w:b/>
          <w:kern w:val="0"/>
          <w:sz w:val="28"/>
        </w:rPr>
      </w:pPr>
    </w:p>
    <w:p>
      <w:pPr>
        <w:widowControl/>
        <w:snapToGrid w:val="0"/>
        <w:rPr>
          <w:rFonts w:hint="default"/>
          <w:b/>
          <w:kern w:val="0"/>
          <w:sz w:val="28"/>
        </w:rPr>
      </w:pPr>
    </w:p>
    <w:p>
      <w:pPr>
        <w:widowControl/>
        <w:snapToGrid w:val="0"/>
        <w:rPr>
          <w:rFonts w:hint="default"/>
          <w:b/>
          <w:kern w:val="0"/>
          <w:sz w:val="28"/>
        </w:rPr>
      </w:pPr>
    </w:p>
    <w:p>
      <w:pPr>
        <w:widowControl/>
        <w:snapToGrid w:val="0"/>
        <w:rPr>
          <w:rFonts w:hint="default"/>
          <w:b/>
          <w:kern w:val="0"/>
          <w:sz w:val="28"/>
        </w:rPr>
      </w:pPr>
    </w:p>
    <w:p>
      <w:pPr>
        <w:widowControl/>
        <w:snapToGrid w:val="0"/>
        <w:rPr>
          <w:rFonts w:hint="default"/>
          <w:b/>
          <w:kern w:val="0"/>
          <w:sz w:val="28"/>
        </w:rPr>
      </w:pPr>
    </w:p>
    <w:p>
      <w:pPr>
        <w:widowControl/>
        <w:snapToGrid w:val="0"/>
        <w:rPr>
          <w:rFonts w:hint="default"/>
          <w:b/>
          <w:kern w:val="0"/>
          <w:sz w:val="28"/>
        </w:rPr>
      </w:pPr>
    </w:p>
    <w:p>
      <w:pPr>
        <w:widowControl/>
        <w:snapToGrid w:val="0"/>
        <w:rPr>
          <w:rFonts w:hint="default"/>
          <w:b/>
          <w:kern w:val="0"/>
          <w:sz w:val="28"/>
        </w:rPr>
      </w:pPr>
    </w:p>
    <w:p>
      <w:pPr>
        <w:widowControl/>
        <w:snapToGrid w:val="0"/>
        <w:rPr>
          <w:rFonts w:hint="default"/>
          <w:b/>
          <w:kern w:val="0"/>
          <w:sz w:val="28"/>
        </w:rPr>
      </w:pPr>
    </w:p>
    <w:p>
      <w:pPr>
        <w:widowControl/>
        <w:snapToGrid w:val="0"/>
        <w:rPr>
          <w:rFonts w:hint="default"/>
          <w:b/>
          <w:kern w:val="0"/>
          <w:sz w:val="28"/>
        </w:rPr>
      </w:pPr>
    </w:p>
    <w:p>
      <w:pPr>
        <w:widowControl/>
        <w:snapToGrid w:val="0"/>
        <w:rPr>
          <w:rFonts w:hint="default"/>
          <w:b/>
          <w:kern w:val="0"/>
          <w:sz w:val="28"/>
        </w:rPr>
      </w:pPr>
    </w:p>
    <w:p>
      <w:pPr>
        <w:widowControl/>
        <w:snapToGrid w:val="0"/>
        <w:rPr>
          <w:rFonts w:hint="default"/>
          <w:b/>
          <w:kern w:val="0"/>
          <w:sz w:val="28"/>
        </w:rPr>
      </w:pPr>
    </w:p>
    <w:p>
      <w:pPr>
        <w:widowControl/>
        <w:snapToGrid w:val="0"/>
        <w:rPr>
          <w:rFonts w:hint="default"/>
          <w:b/>
          <w:kern w:val="0"/>
          <w:sz w:val="28"/>
        </w:rPr>
      </w:pPr>
    </w:p>
    <w:p>
      <w:pPr>
        <w:widowControl/>
        <w:snapToGrid w:val="0"/>
        <w:rPr>
          <w:rFonts w:hint="default"/>
          <w:b/>
          <w:kern w:val="0"/>
          <w:sz w:val="28"/>
        </w:rPr>
      </w:pPr>
    </w:p>
    <w:p>
      <w:pPr>
        <w:widowControl/>
        <w:snapToGrid w:val="0"/>
        <w:rPr>
          <w:rFonts w:hint="default"/>
          <w:b/>
          <w:kern w:val="0"/>
          <w:sz w:val="28"/>
        </w:rPr>
      </w:pPr>
    </w:p>
    <w:p>
      <w:pPr>
        <w:widowControl/>
        <w:snapToGrid w:val="0"/>
        <w:rPr>
          <w:rFonts w:hint="default"/>
          <w:b/>
          <w:kern w:val="0"/>
          <w:sz w:val="28"/>
        </w:rPr>
      </w:pPr>
    </w:p>
    <w:tbl>
      <w:tblPr>
        <w:tblStyle w:val="16"/>
        <w:tblW w:w="850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093"/>
        <w:gridCol w:w="741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jc w:val="center"/>
        </w:trPr>
        <w:tc>
          <w:tcPr>
            <w:tcW w:w="1093" w:type="dxa"/>
            <w:tcBorders>
              <w:top w:val="single" w:color="000000" w:sz="4" w:space="0"/>
              <w:left w:val="single" w:color="000000" w:sz="4" w:space="0"/>
              <w:bottom w:val="single" w:color="000000" w:sz="4" w:space="0"/>
              <w:right w:val="single" w:color="000000" w:sz="4" w:space="0"/>
            </w:tcBorders>
            <w:vAlign w:val="center"/>
          </w:tcPr>
          <w:p>
            <w:pPr>
              <w:widowControl/>
              <w:snapToGrid w:val="0"/>
              <w:jc w:val="left"/>
              <w:rPr>
                <w:rFonts w:hint="default"/>
                <w:kern w:val="0"/>
                <w:sz w:val="20"/>
              </w:rPr>
            </w:pPr>
            <w:r>
              <w:rPr>
                <w:rFonts w:ascii="宋体" w:hAnsi="宋体"/>
                <w:kern w:val="0"/>
              </w:rPr>
              <w:t>业务名称</w:t>
            </w:r>
          </w:p>
        </w:tc>
        <w:tc>
          <w:tcPr>
            <w:tcW w:w="7412" w:type="dxa"/>
            <w:tcBorders>
              <w:top w:val="single" w:color="000000" w:sz="4" w:space="0"/>
              <w:left w:val="nil"/>
              <w:bottom w:val="single" w:color="000000" w:sz="4" w:space="0"/>
              <w:right w:val="single" w:color="000000" w:sz="4" w:space="0"/>
            </w:tcBorders>
            <w:vAlign w:val="center"/>
          </w:tcPr>
          <w:p>
            <w:pPr>
              <w:widowControl/>
              <w:snapToGrid w:val="0"/>
              <w:jc w:val="left"/>
              <w:rPr>
                <w:rFonts w:hint="default"/>
                <w:b/>
                <w:kern w:val="0"/>
                <w:sz w:val="20"/>
              </w:rPr>
            </w:pPr>
            <w:r>
              <w:rPr>
                <w:rFonts w:ascii="宋体" w:hAnsi="宋体"/>
                <w:b/>
                <w:kern w:val="0"/>
              </w:rPr>
              <w:t>（</w:t>
            </w:r>
            <w:r>
              <w:rPr>
                <w:rFonts w:hint="eastAsia" w:ascii="宋体" w:hAnsi="宋体"/>
                <w:b/>
                <w:kern w:val="0"/>
                <w:lang w:eastAsia="zh-CN"/>
              </w:rPr>
              <w:t>二十三</w:t>
            </w:r>
            <w:r>
              <w:rPr>
                <w:rFonts w:ascii="宋体" w:hAnsi="宋体"/>
                <w:b/>
                <w:kern w:val="0"/>
              </w:rPr>
              <w:t>）</w:t>
            </w:r>
            <w:r>
              <w:rPr>
                <w:rFonts w:hint="eastAsia" w:ascii="宋体" w:hAnsi="宋体"/>
                <w:b/>
                <w:kern w:val="0"/>
              </w:rPr>
              <w:t>非银行金融机构主体信息登记及变更登记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jc w:val="center"/>
        </w:trPr>
        <w:tc>
          <w:tcPr>
            <w:tcW w:w="1093" w:type="dxa"/>
            <w:tcBorders>
              <w:top w:val="single" w:color="000000" w:sz="4" w:space="0"/>
              <w:left w:val="single" w:color="000000" w:sz="4" w:space="0"/>
              <w:bottom w:val="single" w:color="000000" w:sz="4" w:space="0"/>
              <w:right w:val="single" w:color="000000" w:sz="4" w:space="0"/>
            </w:tcBorders>
            <w:vAlign w:val="center"/>
          </w:tcPr>
          <w:p>
            <w:pPr>
              <w:widowControl/>
              <w:snapToGrid w:val="0"/>
              <w:jc w:val="left"/>
              <w:rPr>
                <w:rFonts w:hint="default"/>
                <w:kern w:val="0"/>
                <w:sz w:val="20"/>
              </w:rPr>
            </w:pPr>
            <w:r>
              <w:rPr>
                <w:rFonts w:ascii="宋体" w:hAnsi="宋体"/>
                <w:kern w:val="0"/>
              </w:rPr>
              <w:t>设定依据</w:t>
            </w:r>
          </w:p>
          <w:p>
            <w:pPr>
              <w:widowControl/>
              <w:spacing w:line="271" w:lineRule="auto"/>
              <w:jc w:val="center"/>
              <w:rPr>
                <w:rFonts w:hint="default" w:ascii="Times New Roman" w:eastAsia="Times New Roman"/>
                <w:b/>
                <w:kern w:val="0"/>
              </w:rPr>
            </w:pPr>
          </w:p>
        </w:tc>
        <w:tc>
          <w:tcPr>
            <w:tcW w:w="7412" w:type="dxa"/>
            <w:tcBorders>
              <w:top w:val="single" w:color="000000" w:sz="4" w:space="0"/>
              <w:left w:val="nil"/>
              <w:bottom w:val="single" w:color="000000" w:sz="4" w:space="0"/>
              <w:right w:val="single" w:color="000000" w:sz="4" w:space="0"/>
            </w:tcBorders>
            <w:vAlign w:val="center"/>
          </w:tcPr>
          <w:p>
            <w:pPr>
              <w:widowControl/>
              <w:snapToGrid w:val="0"/>
              <w:jc w:val="left"/>
              <w:rPr>
                <w:rFonts w:hint="eastAsia" w:ascii="宋体" w:hAnsi="宋体"/>
                <w:kern w:val="0"/>
              </w:rPr>
            </w:pPr>
            <w:r>
              <w:rPr>
                <w:rFonts w:hint="eastAsia" w:ascii="宋体" w:hAnsi="宋体"/>
                <w:kern w:val="0"/>
              </w:rPr>
              <w:t>1.《中华人民共和国外汇管理条例》（国务院令第532号）。</w:t>
            </w:r>
          </w:p>
          <w:p>
            <w:pPr>
              <w:widowControl/>
              <w:snapToGrid w:val="0"/>
              <w:jc w:val="left"/>
              <w:rPr>
                <w:rFonts w:hint="eastAsia" w:ascii="宋体" w:hAnsi="宋体"/>
                <w:kern w:val="0"/>
              </w:rPr>
            </w:pPr>
            <w:r>
              <w:rPr>
                <w:rFonts w:hint="eastAsia" w:ascii="宋体" w:hAnsi="宋体"/>
                <w:kern w:val="0"/>
              </w:rPr>
              <w:t>2.其他相关法规。</w:t>
            </w:r>
          </w:p>
          <w:p>
            <w:pPr>
              <w:widowControl/>
              <w:snapToGrid w:val="0"/>
              <w:jc w:val="left"/>
              <w:rPr>
                <w:rFonts w:hint="default" w:ascii="宋体" w:hAnsi="宋体"/>
                <w:kern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jc w:val="center"/>
        </w:trPr>
        <w:tc>
          <w:tcPr>
            <w:tcW w:w="1093"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rFonts w:ascii="宋体" w:hAnsi="宋体"/>
                <w:kern w:val="0"/>
              </w:rPr>
            </w:pPr>
            <w:r>
              <w:rPr>
                <w:rFonts w:ascii="宋体" w:hAnsi="宋体"/>
                <w:kern w:val="0"/>
              </w:rPr>
              <w:t>申请条件</w:t>
            </w:r>
          </w:p>
          <w:p>
            <w:pPr>
              <w:widowControl/>
              <w:snapToGrid w:val="0"/>
              <w:jc w:val="center"/>
              <w:rPr>
                <w:rFonts w:hint="eastAsia" w:ascii="宋体" w:hAnsi="宋体"/>
                <w:kern w:val="0"/>
                <w:lang w:val="en-US" w:eastAsia="zh-CN"/>
              </w:rPr>
            </w:pPr>
            <w:r>
              <w:rPr>
                <w:rFonts w:hint="eastAsia" w:ascii="宋体" w:hAnsi="宋体"/>
                <w:kern w:val="0"/>
                <w:lang w:val="en-US" w:eastAsia="zh-CN"/>
              </w:rPr>
              <w:t>及</w:t>
            </w:r>
          </w:p>
          <w:p>
            <w:pPr>
              <w:widowControl/>
              <w:snapToGrid w:val="0"/>
              <w:jc w:val="center"/>
              <w:rPr>
                <w:rFonts w:hint="eastAsia" w:ascii="宋体" w:hAnsi="宋体"/>
                <w:kern w:val="0"/>
                <w:lang w:val="en-US" w:eastAsia="zh-CN"/>
              </w:rPr>
            </w:pPr>
            <w:r>
              <w:rPr>
                <w:rFonts w:hint="eastAsia" w:ascii="宋体" w:hAnsi="宋体"/>
                <w:kern w:val="0"/>
                <w:lang w:val="en-US" w:eastAsia="zh-CN"/>
              </w:rPr>
              <w:t>注意事项</w:t>
            </w:r>
          </w:p>
        </w:tc>
        <w:tc>
          <w:tcPr>
            <w:tcW w:w="7412" w:type="dxa"/>
            <w:tcBorders>
              <w:top w:val="single" w:color="000000" w:sz="4" w:space="0"/>
              <w:left w:val="nil"/>
              <w:bottom w:val="single" w:color="000000" w:sz="4" w:space="0"/>
              <w:right w:val="single" w:color="000000" w:sz="4" w:space="0"/>
            </w:tcBorders>
            <w:vAlign w:val="center"/>
          </w:tcPr>
          <w:p>
            <w:pPr>
              <w:widowControl/>
              <w:snapToGrid w:val="0"/>
              <w:jc w:val="left"/>
              <w:rPr>
                <w:rFonts w:hint="default" w:ascii="宋体" w:hAnsi="宋体"/>
                <w:kern w:val="0"/>
              </w:rPr>
            </w:pPr>
            <w:r>
              <w:rPr>
                <w:rFonts w:hint="eastAsia" w:ascii="宋体" w:hAnsi="宋体"/>
                <w:kern w:val="0"/>
                <w:lang w:val="en-US" w:eastAsia="zh-CN"/>
              </w:rPr>
              <w:t>1.</w:t>
            </w:r>
            <w:r>
              <w:rPr>
                <w:rFonts w:hint="default" w:ascii="宋体" w:hAnsi="宋体"/>
                <w:kern w:val="0"/>
              </w:rPr>
              <w:t>由机构注册地外汇局办理登记。</w:t>
            </w:r>
          </w:p>
          <w:p>
            <w:pPr>
              <w:widowControl/>
              <w:snapToGrid w:val="0"/>
              <w:jc w:val="left"/>
              <w:rPr>
                <w:rFonts w:hint="eastAsia" w:ascii="宋体" w:hAnsi="宋体"/>
                <w:kern w:val="0"/>
              </w:rPr>
            </w:pPr>
            <w:r>
              <w:rPr>
                <w:rFonts w:hint="eastAsia" w:ascii="宋体" w:hAnsi="宋体"/>
                <w:kern w:val="0"/>
                <w:lang w:val="en-US" w:eastAsia="zh-CN"/>
              </w:rPr>
              <w:t>2.</w:t>
            </w:r>
            <w:r>
              <w:rPr>
                <w:rFonts w:hint="eastAsia" w:ascii="宋体" w:hAnsi="宋体"/>
                <w:kern w:val="0"/>
              </w:rPr>
              <w:t>登记信息与相关批复文件或证明材料等一致。</w:t>
            </w:r>
          </w:p>
          <w:p>
            <w:pPr>
              <w:widowControl/>
              <w:snapToGrid w:val="0"/>
              <w:jc w:val="left"/>
              <w:rPr>
                <w:rFonts w:hint="default" w:ascii="宋体" w:hAnsi="宋体"/>
                <w:kern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jc w:val="center"/>
        </w:trPr>
        <w:tc>
          <w:tcPr>
            <w:tcW w:w="1093" w:type="dxa"/>
            <w:tcBorders>
              <w:top w:val="single" w:color="000000" w:sz="4" w:space="0"/>
              <w:left w:val="single" w:color="000000" w:sz="4" w:space="0"/>
              <w:bottom w:val="single" w:color="000000" w:sz="4" w:space="0"/>
              <w:right w:val="single" w:color="000000" w:sz="4" w:space="0"/>
            </w:tcBorders>
            <w:vAlign w:val="center"/>
          </w:tcPr>
          <w:p>
            <w:pPr>
              <w:widowControl/>
              <w:snapToGrid w:val="0"/>
              <w:jc w:val="left"/>
              <w:rPr>
                <w:rFonts w:hint="default"/>
                <w:kern w:val="0"/>
                <w:sz w:val="20"/>
              </w:rPr>
            </w:pPr>
            <w:r>
              <w:rPr>
                <w:rFonts w:ascii="宋体" w:hAnsi="宋体"/>
                <w:kern w:val="0"/>
              </w:rPr>
              <w:t>办理材料</w:t>
            </w:r>
          </w:p>
        </w:tc>
        <w:tc>
          <w:tcPr>
            <w:tcW w:w="7412" w:type="dxa"/>
            <w:tcBorders>
              <w:top w:val="single" w:color="000000" w:sz="4" w:space="0"/>
              <w:left w:val="nil"/>
              <w:bottom w:val="single" w:color="000000" w:sz="4" w:space="0"/>
              <w:right w:val="single" w:color="000000" w:sz="4" w:space="0"/>
            </w:tcBorders>
            <w:vAlign w:val="center"/>
          </w:tcPr>
          <w:p>
            <w:pPr>
              <w:widowControl/>
              <w:snapToGrid w:val="0"/>
              <w:jc w:val="left"/>
              <w:rPr>
                <w:rFonts w:ascii="宋体" w:hAnsi="宋体"/>
                <w:kern w:val="0"/>
              </w:rPr>
            </w:pPr>
            <w:r>
              <w:rPr>
                <w:rFonts w:hint="eastAsia" w:ascii="宋体" w:hAnsi="宋体"/>
                <w:kern w:val="0"/>
              </w:rPr>
              <w:t>1.书面申请（内容包括公司概况、股东结构及其基本情况、拟开展的外汇业务等）。</w:t>
            </w:r>
          </w:p>
          <w:p>
            <w:pPr>
              <w:widowControl/>
              <w:snapToGrid w:val="0"/>
              <w:jc w:val="left"/>
              <w:rPr>
                <w:rFonts w:ascii="宋体" w:hAnsi="宋体"/>
                <w:kern w:val="0"/>
              </w:rPr>
            </w:pPr>
            <w:r>
              <w:rPr>
                <w:rFonts w:hint="eastAsia" w:ascii="宋体" w:hAnsi="宋体"/>
                <w:kern w:val="0"/>
              </w:rPr>
              <w:t>2.监管机构或其授权的行业管理组织批准设立的文件或颁发的金融业务许可证。</w:t>
            </w:r>
          </w:p>
          <w:p>
            <w:pPr>
              <w:widowControl/>
              <w:snapToGrid w:val="0"/>
              <w:jc w:val="left"/>
              <w:rPr>
                <w:rFonts w:ascii="宋体" w:hAnsi="宋体"/>
                <w:kern w:val="0"/>
              </w:rPr>
            </w:pPr>
            <w:r>
              <w:rPr>
                <w:rFonts w:hint="eastAsia" w:ascii="宋体" w:hAnsi="宋体"/>
                <w:kern w:val="0"/>
              </w:rPr>
              <w:t>3.企业法人营业执照（尚未办理“五证合一”的企业，还需提供组织机构代码证）。</w:t>
            </w:r>
          </w:p>
          <w:p>
            <w:pPr>
              <w:widowControl/>
              <w:snapToGrid w:val="0"/>
              <w:jc w:val="left"/>
              <w:rPr>
                <w:rFonts w:ascii="宋体" w:hAnsi="宋体"/>
                <w:kern w:val="0"/>
              </w:rPr>
            </w:pPr>
            <w:r>
              <w:rPr>
                <w:rFonts w:hint="eastAsia" w:ascii="宋体" w:hAnsi="宋体"/>
                <w:kern w:val="0"/>
              </w:rPr>
              <w:t>4.前述材料内容不一致或不能说明交易真实性时，要求提供的补充材料。</w:t>
            </w:r>
          </w:p>
          <w:p>
            <w:pPr>
              <w:widowControl/>
              <w:snapToGrid w:val="0"/>
              <w:jc w:val="left"/>
              <w:rPr>
                <w:rFonts w:hint="default" w:ascii="宋体" w:hAnsi="宋体"/>
                <w:kern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1" w:hRule="atLeast"/>
          <w:jc w:val="center"/>
        </w:trPr>
        <w:tc>
          <w:tcPr>
            <w:tcW w:w="1093" w:type="dxa"/>
            <w:tcBorders>
              <w:top w:val="single" w:color="000000" w:sz="4" w:space="0"/>
              <w:left w:val="single" w:color="000000" w:sz="4" w:space="0"/>
              <w:bottom w:val="single" w:color="000000" w:sz="4" w:space="0"/>
              <w:right w:val="single" w:color="000000" w:sz="4" w:space="0"/>
            </w:tcBorders>
            <w:vAlign w:val="center"/>
          </w:tcPr>
          <w:p>
            <w:pPr>
              <w:widowControl/>
              <w:snapToGrid w:val="0"/>
              <w:jc w:val="left"/>
              <w:rPr>
                <w:rFonts w:hint="default"/>
                <w:kern w:val="0"/>
                <w:sz w:val="20"/>
              </w:rPr>
            </w:pPr>
            <w:r>
              <w:rPr>
                <w:rFonts w:ascii="宋体" w:hAnsi="宋体"/>
                <w:kern w:val="0"/>
              </w:rPr>
              <w:t>办理地点</w:t>
            </w:r>
          </w:p>
        </w:tc>
        <w:tc>
          <w:tcPr>
            <w:tcW w:w="7412" w:type="dxa"/>
            <w:tcBorders>
              <w:top w:val="single" w:color="000000" w:sz="4" w:space="0"/>
              <w:left w:val="nil"/>
              <w:bottom w:val="single" w:color="000000" w:sz="4" w:space="0"/>
              <w:right w:val="single" w:color="000000" w:sz="4" w:space="0"/>
            </w:tcBorders>
            <w:vAlign w:val="top"/>
          </w:tcPr>
          <w:p>
            <w:pPr>
              <w:widowControl/>
              <w:snapToGrid w:val="0"/>
              <w:jc w:val="left"/>
              <w:rPr>
                <w:rFonts w:hint="default"/>
                <w:kern w:val="0"/>
              </w:rPr>
            </w:pPr>
            <w:r>
              <w:rPr>
                <w:rFonts w:ascii="宋体" w:hAnsi="宋体"/>
                <w:kern w:val="0"/>
              </w:rPr>
              <w:t>国家外汇管理局青海省分局外汇管理处资本科（西宁市昆仑路3号人民银行政务大厅）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jc w:val="center"/>
        </w:trPr>
        <w:tc>
          <w:tcPr>
            <w:tcW w:w="1093" w:type="dxa"/>
            <w:tcBorders>
              <w:top w:val="single" w:color="000000" w:sz="4" w:space="0"/>
              <w:left w:val="single" w:color="000000" w:sz="4" w:space="0"/>
              <w:bottom w:val="single" w:color="000000" w:sz="4" w:space="0"/>
              <w:right w:val="single" w:color="000000" w:sz="4" w:space="0"/>
            </w:tcBorders>
            <w:vAlign w:val="center"/>
          </w:tcPr>
          <w:p>
            <w:pPr>
              <w:widowControl/>
              <w:snapToGrid w:val="0"/>
              <w:jc w:val="left"/>
              <w:rPr>
                <w:rFonts w:hint="default"/>
                <w:kern w:val="0"/>
                <w:sz w:val="20"/>
              </w:rPr>
            </w:pPr>
            <w:r>
              <w:rPr>
                <w:rFonts w:ascii="宋体" w:hAnsi="宋体"/>
                <w:kern w:val="0"/>
              </w:rPr>
              <w:t>办理时间</w:t>
            </w:r>
          </w:p>
          <w:p>
            <w:pPr>
              <w:widowControl/>
              <w:spacing w:line="271" w:lineRule="auto"/>
              <w:jc w:val="center"/>
              <w:rPr>
                <w:rFonts w:hint="default" w:ascii="Times New Roman" w:eastAsia="Times New Roman"/>
                <w:b/>
                <w:kern w:val="0"/>
              </w:rPr>
            </w:pPr>
          </w:p>
        </w:tc>
        <w:tc>
          <w:tcPr>
            <w:tcW w:w="7412" w:type="dxa"/>
            <w:tcBorders>
              <w:top w:val="single" w:color="000000" w:sz="4" w:space="0"/>
              <w:left w:val="nil"/>
              <w:bottom w:val="single" w:color="000000" w:sz="4" w:space="0"/>
              <w:right w:val="single" w:color="000000" w:sz="4" w:space="0"/>
            </w:tcBorders>
            <w:vAlign w:val="top"/>
          </w:tcPr>
          <w:p>
            <w:pPr>
              <w:widowControl/>
              <w:snapToGrid w:val="0"/>
              <w:jc w:val="left"/>
              <w:rPr>
                <w:rFonts w:hint="default"/>
                <w:kern w:val="0"/>
              </w:rPr>
            </w:pPr>
            <w:r>
              <w:rPr>
                <w:rFonts w:ascii="宋体" w:hAnsi="宋体"/>
                <w:kern w:val="0"/>
              </w:rPr>
              <w:t>周一至周五（法定节假日除外）</w:t>
            </w:r>
          </w:p>
          <w:p>
            <w:pPr>
              <w:widowControl/>
              <w:snapToGrid w:val="0"/>
              <w:jc w:val="left"/>
              <w:rPr>
                <w:rFonts w:hint="default"/>
                <w:kern w:val="0"/>
                <w:sz w:val="20"/>
              </w:rPr>
            </w:pPr>
            <w:r>
              <w:rPr>
                <w:rFonts w:ascii="宋体" w:hAnsi="宋体"/>
                <w:kern w:val="0"/>
              </w:rPr>
              <w:t>上午8：30-11：30，下午2：00-5：30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jc w:val="center"/>
        </w:trPr>
        <w:tc>
          <w:tcPr>
            <w:tcW w:w="1093" w:type="dxa"/>
            <w:tcBorders>
              <w:top w:val="single" w:color="000000" w:sz="4" w:space="0"/>
              <w:left w:val="single" w:color="000000" w:sz="4" w:space="0"/>
              <w:bottom w:val="single" w:color="000000" w:sz="4" w:space="0"/>
              <w:right w:val="single" w:color="000000" w:sz="4" w:space="0"/>
            </w:tcBorders>
            <w:vAlign w:val="center"/>
          </w:tcPr>
          <w:p>
            <w:pPr>
              <w:widowControl/>
              <w:snapToGrid w:val="0"/>
              <w:jc w:val="left"/>
              <w:rPr>
                <w:rFonts w:hint="default"/>
                <w:kern w:val="0"/>
                <w:sz w:val="20"/>
              </w:rPr>
            </w:pPr>
            <w:r>
              <w:rPr>
                <w:rFonts w:ascii="宋体" w:hAnsi="宋体"/>
                <w:kern w:val="0"/>
              </w:rPr>
              <w:t>联系电话</w:t>
            </w:r>
          </w:p>
        </w:tc>
        <w:tc>
          <w:tcPr>
            <w:tcW w:w="7412" w:type="dxa"/>
            <w:tcBorders>
              <w:top w:val="single" w:color="000000" w:sz="4" w:space="0"/>
              <w:left w:val="nil"/>
              <w:bottom w:val="single" w:color="000000" w:sz="4" w:space="0"/>
              <w:right w:val="single" w:color="000000" w:sz="4" w:space="0"/>
            </w:tcBorders>
            <w:vAlign w:val="top"/>
          </w:tcPr>
          <w:p>
            <w:pPr>
              <w:widowControl/>
              <w:snapToGrid w:val="0"/>
              <w:jc w:val="left"/>
              <w:rPr>
                <w:rFonts w:hint="default"/>
                <w:kern w:val="0"/>
              </w:rPr>
            </w:pPr>
            <w:r>
              <w:rPr>
                <w:rFonts w:ascii="宋体" w:hAnsi="宋体"/>
                <w:kern w:val="0"/>
              </w:rPr>
              <w:t>0971-6126143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jc w:val="center"/>
        </w:trPr>
        <w:tc>
          <w:tcPr>
            <w:tcW w:w="1093" w:type="dxa"/>
            <w:tcBorders>
              <w:top w:val="single" w:color="000000" w:sz="4" w:space="0"/>
              <w:left w:val="single" w:color="000000" w:sz="4" w:space="0"/>
              <w:bottom w:val="single" w:color="000000" w:sz="4" w:space="0"/>
              <w:right w:val="single" w:color="000000" w:sz="4" w:space="0"/>
            </w:tcBorders>
            <w:vAlign w:val="center"/>
          </w:tcPr>
          <w:p>
            <w:pPr>
              <w:widowControl/>
              <w:snapToGrid w:val="0"/>
              <w:jc w:val="left"/>
              <w:rPr>
                <w:rFonts w:hint="default"/>
                <w:kern w:val="0"/>
                <w:sz w:val="20"/>
              </w:rPr>
            </w:pPr>
            <w:r>
              <w:rPr>
                <w:rFonts w:ascii="宋体" w:hAnsi="宋体"/>
                <w:kern w:val="0"/>
              </w:rPr>
              <w:t>办理流程</w:t>
            </w:r>
          </w:p>
        </w:tc>
        <w:tc>
          <w:tcPr>
            <w:tcW w:w="7412" w:type="dxa"/>
            <w:tcBorders>
              <w:top w:val="single" w:color="000000" w:sz="4" w:space="0"/>
              <w:left w:val="nil"/>
              <w:bottom w:val="single" w:color="000000" w:sz="4" w:space="0"/>
              <w:right w:val="single" w:color="000000" w:sz="4" w:space="0"/>
            </w:tcBorders>
            <w:vAlign w:val="top"/>
          </w:tcPr>
          <w:p>
            <w:pPr>
              <w:widowControl/>
              <w:snapToGrid w:val="0"/>
              <w:jc w:val="left"/>
              <w:rPr>
                <w:rFonts w:hint="eastAsia" w:ascii="宋体" w:hAnsi="宋体"/>
                <w:kern w:val="0"/>
              </w:rPr>
            </w:pPr>
            <w:r>
              <w:rPr>
                <w:rFonts w:hint="eastAsia" w:ascii="宋体" w:hAnsi="宋体"/>
                <w:kern w:val="0"/>
              </w:rPr>
              <w:t>1.非银行金融机构应在开展外汇业务前30日内到所在地外汇局办理基本信息登记。</w:t>
            </w:r>
          </w:p>
          <w:p>
            <w:pPr>
              <w:widowControl/>
              <w:snapToGrid w:val="0"/>
              <w:jc w:val="left"/>
              <w:rPr>
                <w:rFonts w:hint="eastAsia" w:ascii="宋体" w:hAnsi="宋体"/>
                <w:kern w:val="0"/>
              </w:rPr>
            </w:pPr>
            <w:r>
              <w:rPr>
                <w:rFonts w:hint="eastAsia" w:ascii="宋体" w:hAnsi="宋体"/>
                <w:kern w:val="0"/>
              </w:rPr>
              <w:t>2.所在地外汇局收到完整申请材料，经审核无误后，应在5个工作日内进行登记。</w:t>
            </w:r>
          </w:p>
          <w:p>
            <w:pPr>
              <w:widowControl/>
              <w:snapToGrid w:val="0"/>
              <w:jc w:val="left"/>
              <w:rPr>
                <w:rFonts w:hint="eastAsia" w:ascii="宋体" w:hAnsi="宋体"/>
                <w:kern w:val="0"/>
              </w:rPr>
            </w:pPr>
            <w:r>
              <w:rPr>
                <w:rFonts w:hint="eastAsia" w:ascii="宋体" w:hAnsi="宋体"/>
                <w:kern w:val="0"/>
              </w:rPr>
              <w:t>3.非银行金融机构名称、组织机构代码/统一社会信用代码、注册地、营业场所、营业执照注册号、经营范围等基本信息发送变更的，应在变更之日起30日内持相关材料到所在地外汇局办理基本信息变更登记。</w:t>
            </w:r>
          </w:p>
          <w:p>
            <w:pPr>
              <w:widowControl/>
              <w:snapToGrid w:val="0"/>
              <w:jc w:val="left"/>
              <w:rPr>
                <w:rFonts w:hint="eastAsia" w:ascii="宋体" w:hAnsi="宋体"/>
                <w:kern w:val="0"/>
              </w:rPr>
            </w:pPr>
            <w:r>
              <w:rPr>
                <w:rFonts w:hint="eastAsia" w:ascii="宋体" w:hAnsi="宋体"/>
                <w:kern w:val="0"/>
              </w:rPr>
              <w:t>4.外国投资者在境内直接投资设立（新设）非银行金融机构（含保险公司）的，参照本操作指引“6.2新设外商投资企业基本信息登记”办理。</w:t>
            </w:r>
          </w:p>
          <w:p>
            <w:pPr>
              <w:widowControl/>
              <w:snapToGrid w:val="0"/>
              <w:jc w:val="left"/>
              <w:rPr>
                <w:rFonts w:hint="default"/>
                <w:kern w:val="0"/>
                <w:sz w:val="20"/>
              </w:rPr>
            </w:pPr>
          </w:p>
        </w:tc>
      </w:tr>
    </w:tbl>
    <w:p>
      <w:pPr>
        <w:widowControl/>
        <w:snapToGrid w:val="0"/>
        <w:rPr>
          <w:rFonts w:hint="default"/>
          <w:b/>
          <w:kern w:val="0"/>
          <w:sz w:val="28"/>
        </w:rPr>
      </w:pPr>
    </w:p>
    <w:p>
      <w:pPr>
        <w:widowControl/>
        <w:snapToGrid w:val="0"/>
        <w:rPr>
          <w:rFonts w:hint="default"/>
          <w:b/>
          <w:kern w:val="0"/>
          <w:sz w:val="28"/>
        </w:rPr>
      </w:pPr>
    </w:p>
    <w:p>
      <w:pPr>
        <w:widowControl/>
        <w:snapToGrid w:val="0"/>
        <w:rPr>
          <w:rFonts w:hint="default"/>
          <w:b/>
          <w:kern w:val="0"/>
          <w:sz w:val="28"/>
        </w:rPr>
      </w:pPr>
    </w:p>
    <w:p>
      <w:pPr>
        <w:widowControl/>
        <w:snapToGrid w:val="0"/>
        <w:rPr>
          <w:rFonts w:hint="default"/>
          <w:b/>
          <w:kern w:val="0"/>
          <w:sz w:val="28"/>
        </w:rPr>
      </w:pPr>
    </w:p>
    <w:p>
      <w:pPr>
        <w:widowControl/>
        <w:snapToGrid w:val="0"/>
        <w:rPr>
          <w:rFonts w:hint="default"/>
          <w:b/>
          <w:kern w:val="0"/>
          <w:sz w:val="28"/>
        </w:rPr>
      </w:pPr>
    </w:p>
    <w:p>
      <w:pPr>
        <w:widowControl/>
        <w:snapToGrid w:val="0"/>
        <w:rPr>
          <w:rFonts w:hint="default"/>
          <w:b/>
          <w:kern w:val="0"/>
          <w:sz w:val="28"/>
        </w:rPr>
      </w:pPr>
    </w:p>
    <w:p>
      <w:pPr>
        <w:widowControl/>
        <w:snapToGrid w:val="0"/>
        <w:rPr>
          <w:rFonts w:hint="default"/>
          <w:b/>
          <w:kern w:val="0"/>
          <w:sz w:val="28"/>
        </w:rPr>
      </w:pPr>
    </w:p>
    <w:p>
      <w:pPr>
        <w:widowControl/>
        <w:snapToGrid w:val="0"/>
        <w:rPr>
          <w:rFonts w:hint="default"/>
          <w:b/>
          <w:kern w:val="0"/>
          <w:sz w:val="28"/>
        </w:rPr>
      </w:pPr>
    </w:p>
    <w:p>
      <w:pPr>
        <w:widowControl/>
        <w:snapToGrid w:val="0"/>
        <w:rPr>
          <w:rFonts w:hint="default"/>
          <w:b/>
          <w:kern w:val="0"/>
          <w:sz w:val="28"/>
        </w:rPr>
      </w:pPr>
    </w:p>
    <w:p>
      <w:pPr>
        <w:widowControl/>
        <w:snapToGrid w:val="0"/>
        <w:rPr>
          <w:rFonts w:hint="default"/>
          <w:b/>
          <w:kern w:val="0"/>
          <w:sz w:val="28"/>
        </w:rPr>
      </w:pPr>
    </w:p>
    <w:p>
      <w:pPr>
        <w:widowControl/>
        <w:snapToGrid w:val="0"/>
        <w:rPr>
          <w:rFonts w:hint="default"/>
          <w:b/>
          <w:kern w:val="0"/>
          <w:sz w:val="28"/>
        </w:rPr>
      </w:pPr>
    </w:p>
    <w:p>
      <w:pPr>
        <w:widowControl/>
        <w:snapToGrid w:val="0"/>
        <w:rPr>
          <w:rFonts w:hint="default"/>
          <w:b/>
          <w:kern w:val="0"/>
          <w:sz w:val="28"/>
        </w:rPr>
      </w:pPr>
    </w:p>
    <w:tbl>
      <w:tblPr>
        <w:tblStyle w:val="16"/>
        <w:tblW w:w="850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093"/>
        <w:gridCol w:w="741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jc w:val="center"/>
        </w:trPr>
        <w:tc>
          <w:tcPr>
            <w:tcW w:w="1093" w:type="dxa"/>
            <w:tcBorders>
              <w:top w:val="single" w:color="000000" w:sz="4" w:space="0"/>
              <w:left w:val="single" w:color="000000" w:sz="4" w:space="0"/>
              <w:bottom w:val="single" w:color="000000" w:sz="4" w:space="0"/>
              <w:right w:val="single" w:color="000000" w:sz="4" w:space="0"/>
            </w:tcBorders>
            <w:vAlign w:val="center"/>
          </w:tcPr>
          <w:p>
            <w:pPr>
              <w:widowControl/>
              <w:snapToGrid w:val="0"/>
              <w:jc w:val="left"/>
              <w:rPr>
                <w:rFonts w:hint="default"/>
                <w:kern w:val="0"/>
                <w:sz w:val="20"/>
              </w:rPr>
            </w:pPr>
            <w:r>
              <w:rPr>
                <w:rFonts w:ascii="宋体" w:hAnsi="宋体"/>
                <w:kern w:val="0"/>
              </w:rPr>
              <w:t>业务名称</w:t>
            </w:r>
          </w:p>
        </w:tc>
        <w:tc>
          <w:tcPr>
            <w:tcW w:w="7412" w:type="dxa"/>
            <w:tcBorders>
              <w:top w:val="single" w:color="000000" w:sz="4" w:space="0"/>
              <w:left w:val="nil"/>
              <w:bottom w:val="single" w:color="000000" w:sz="4" w:space="0"/>
              <w:right w:val="single" w:color="000000" w:sz="4" w:space="0"/>
            </w:tcBorders>
            <w:vAlign w:val="center"/>
          </w:tcPr>
          <w:p>
            <w:pPr>
              <w:widowControl/>
              <w:snapToGrid w:val="0"/>
              <w:jc w:val="left"/>
              <w:rPr>
                <w:rFonts w:hint="default"/>
                <w:b/>
                <w:kern w:val="0"/>
                <w:sz w:val="20"/>
              </w:rPr>
            </w:pPr>
            <w:r>
              <w:rPr>
                <w:rFonts w:hint="eastAsia" w:ascii="宋体" w:hAnsi="宋体"/>
                <w:b/>
                <w:kern w:val="0"/>
              </w:rPr>
              <w:t>（</w:t>
            </w:r>
            <w:r>
              <w:rPr>
                <w:rFonts w:hint="eastAsia" w:ascii="宋体" w:hAnsi="宋体"/>
                <w:b/>
                <w:kern w:val="0"/>
                <w:lang w:eastAsia="zh-CN"/>
              </w:rPr>
              <w:t>二十四</w:t>
            </w:r>
            <w:r>
              <w:rPr>
                <w:rFonts w:hint="eastAsia" w:ascii="宋体" w:hAnsi="宋体"/>
                <w:b/>
                <w:kern w:val="0"/>
              </w:rPr>
              <w:t>）非银行金融机构申请结售汇业务资格初审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jc w:val="center"/>
        </w:trPr>
        <w:tc>
          <w:tcPr>
            <w:tcW w:w="1093" w:type="dxa"/>
            <w:tcBorders>
              <w:top w:val="single" w:color="000000" w:sz="4" w:space="0"/>
              <w:left w:val="single" w:color="000000" w:sz="4" w:space="0"/>
              <w:bottom w:val="single" w:color="000000" w:sz="4" w:space="0"/>
              <w:right w:val="single" w:color="000000" w:sz="4" w:space="0"/>
            </w:tcBorders>
            <w:vAlign w:val="center"/>
          </w:tcPr>
          <w:p>
            <w:pPr>
              <w:widowControl/>
              <w:snapToGrid w:val="0"/>
              <w:jc w:val="left"/>
              <w:rPr>
                <w:rFonts w:hint="default"/>
                <w:kern w:val="0"/>
                <w:sz w:val="20"/>
              </w:rPr>
            </w:pPr>
            <w:r>
              <w:rPr>
                <w:rFonts w:ascii="宋体" w:hAnsi="宋体"/>
                <w:kern w:val="0"/>
              </w:rPr>
              <w:t>设定依据</w:t>
            </w:r>
          </w:p>
          <w:p>
            <w:pPr>
              <w:widowControl/>
              <w:spacing w:line="271" w:lineRule="auto"/>
              <w:jc w:val="center"/>
              <w:rPr>
                <w:rFonts w:hint="default" w:ascii="Times New Roman" w:eastAsia="Times New Roman"/>
                <w:b/>
                <w:kern w:val="0"/>
              </w:rPr>
            </w:pPr>
          </w:p>
        </w:tc>
        <w:tc>
          <w:tcPr>
            <w:tcW w:w="7412" w:type="dxa"/>
            <w:tcBorders>
              <w:top w:val="single" w:color="000000" w:sz="4" w:space="0"/>
              <w:left w:val="nil"/>
              <w:bottom w:val="single" w:color="000000" w:sz="4" w:space="0"/>
              <w:right w:val="single" w:color="000000" w:sz="4" w:space="0"/>
            </w:tcBorders>
            <w:vAlign w:val="center"/>
          </w:tcPr>
          <w:p>
            <w:pPr>
              <w:widowControl/>
              <w:snapToGrid w:val="0"/>
              <w:jc w:val="left"/>
              <w:rPr>
                <w:rFonts w:ascii="宋体" w:hAnsi="宋体"/>
                <w:kern w:val="0"/>
              </w:rPr>
            </w:pPr>
            <w:r>
              <w:rPr>
                <w:rFonts w:hint="eastAsia" w:ascii="宋体" w:hAnsi="宋体"/>
                <w:kern w:val="0"/>
              </w:rPr>
              <w:t>1.《中华人民共和国外汇管理条例》（国务院令第532号）。</w:t>
            </w:r>
          </w:p>
          <w:p>
            <w:pPr>
              <w:widowControl/>
              <w:snapToGrid w:val="0"/>
              <w:jc w:val="left"/>
              <w:rPr>
                <w:rFonts w:ascii="宋体" w:hAnsi="宋体"/>
                <w:kern w:val="0"/>
              </w:rPr>
            </w:pPr>
            <w:r>
              <w:rPr>
                <w:rFonts w:hint="eastAsia" w:ascii="宋体" w:hAnsi="宋体"/>
                <w:kern w:val="0"/>
              </w:rPr>
              <w:t>2.《国家外汇管理局关于发布〈境内企业内部成员外汇资金集中运营管理规定〉的通知》（汇发〔2009〕49号）。</w:t>
            </w:r>
          </w:p>
          <w:p>
            <w:pPr>
              <w:widowControl/>
              <w:snapToGrid w:val="0"/>
              <w:jc w:val="left"/>
              <w:rPr>
                <w:rFonts w:ascii="宋体" w:hAnsi="宋体"/>
                <w:kern w:val="0"/>
              </w:rPr>
            </w:pPr>
            <w:r>
              <w:rPr>
                <w:rFonts w:hint="eastAsia" w:ascii="宋体" w:hAnsi="宋体"/>
                <w:kern w:val="0"/>
              </w:rPr>
              <w:t>3.《国家外汇管理局关于调整金融机构进入银行间外汇市场有关管理政策的通知》（汇发〔2014〕48号）。</w:t>
            </w:r>
          </w:p>
          <w:p>
            <w:pPr>
              <w:widowControl/>
              <w:snapToGrid w:val="0"/>
              <w:jc w:val="left"/>
              <w:rPr>
                <w:rFonts w:ascii="宋体" w:hAnsi="宋体"/>
                <w:kern w:val="0"/>
              </w:rPr>
            </w:pPr>
            <w:r>
              <w:rPr>
                <w:rFonts w:hint="eastAsia" w:ascii="宋体" w:hAnsi="宋体"/>
                <w:kern w:val="0"/>
              </w:rPr>
              <w:t>4.《国家外汇管理局关于发布银行办理结售汇业务实施细则的通知》（汇发〔2014〕53号）。</w:t>
            </w:r>
          </w:p>
          <w:p>
            <w:pPr>
              <w:widowControl/>
              <w:snapToGrid w:val="0"/>
              <w:jc w:val="left"/>
              <w:rPr>
                <w:rFonts w:ascii="宋体" w:hAnsi="宋体"/>
                <w:kern w:val="0"/>
              </w:rPr>
            </w:pPr>
            <w:r>
              <w:rPr>
                <w:rFonts w:hint="eastAsia" w:ascii="宋体" w:hAnsi="宋体"/>
                <w:kern w:val="0"/>
              </w:rPr>
              <w:t>5.《国家外汇管理局关于进一步促进贸易投资便利化完善真实性审核的通知》（汇发〔2016〕7号）。</w:t>
            </w:r>
          </w:p>
          <w:p>
            <w:pPr>
              <w:widowControl/>
              <w:snapToGrid w:val="0"/>
              <w:jc w:val="left"/>
              <w:rPr>
                <w:rFonts w:hint="default"/>
                <w:kern w:val="0"/>
                <w:sz w:val="20"/>
              </w:rPr>
            </w:pPr>
            <w:r>
              <w:rPr>
                <w:rFonts w:hint="eastAsia" w:ascii="宋体" w:hAnsi="宋体"/>
                <w:kern w:val="0"/>
              </w:rPr>
              <w:t>6.其他相关法规。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jc w:val="center"/>
        </w:trPr>
        <w:tc>
          <w:tcPr>
            <w:tcW w:w="1093"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rFonts w:ascii="宋体" w:hAnsi="宋体"/>
                <w:kern w:val="0"/>
              </w:rPr>
            </w:pPr>
            <w:r>
              <w:rPr>
                <w:rFonts w:ascii="宋体" w:hAnsi="宋体"/>
                <w:kern w:val="0"/>
              </w:rPr>
              <w:t>申请条件</w:t>
            </w:r>
          </w:p>
          <w:p>
            <w:pPr>
              <w:widowControl/>
              <w:snapToGrid w:val="0"/>
              <w:jc w:val="center"/>
              <w:rPr>
                <w:rFonts w:hint="eastAsia" w:ascii="宋体" w:hAnsi="宋体"/>
                <w:kern w:val="0"/>
                <w:lang w:val="en-US" w:eastAsia="zh-CN"/>
              </w:rPr>
            </w:pPr>
            <w:r>
              <w:rPr>
                <w:rFonts w:hint="eastAsia" w:ascii="宋体" w:hAnsi="宋体"/>
                <w:kern w:val="0"/>
                <w:lang w:val="en-US" w:eastAsia="zh-CN"/>
              </w:rPr>
              <w:t>及</w:t>
            </w:r>
          </w:p>
          <w:p>
            <w:pPr>
              <w:widowControl/>
              <w:snapToGrid w:val="0"/>
              <w:jc w:val="center"/>
              <w:rPr>
                <w:rFonts w:hint="eastAsia" w:ascii="宋体" w:hAnsi="宋体"/>
                <w:kern w:val="0"/>
                <w:lang w:val="en-US" w:eastAsia="zh-CN"/>
              </w:rPr>
            </w:pPr>
            <w:r>
              <w:rPr>
                <w:rFonts w:hint="eastAsia" w:ascii="宋体" w:hAnsi="宋体"/>
                <w:kern w:val="0"/>
                <w:lang w:val="en-US" w:eastAsia="zh-CN"/>
              </w:rPr>
              <w:t>注意事项</w:t>
            </w:r>
          </w:p>
        </w:tc>
        <w:tc>
          <w:tcPr>
            <w:tcW w:w="7412" w:type="dxa"/>
            <w:tcBorders>
              <w:top w:val="single" w:color="000000" w:sz="4" w:space="0"/>
              <w:left w:val="nil"/>
              <w:bottom w:val="single" w:color="000000" w:sz="4" w:space="0"/>
              <w:right w:val="single" w:color="000000" w:sz="4" w:space="0"/>
            </w:tcBorders>
            <w:vAlign w:val="center"/>
          </w:tcPr>
          <w:p>
            <w:pPr>
              <w:widowControl/>
              <w:snapToGrid w:val="0"/>
              <w:jc w:val="left"/>
              <w:rPr>
                <w:rFonts w:hint="eastAsia" w:ascii="宋体" w:hAnsi="宋体"/>
                <w:kern w:val="0"/>
              </w:rPr>
            </w:pPr>
            <w:r>
              <w:rPr>
                <w:rFonts w:hint="eastAsia" w:ascii="宋体" w:hAnsi="宋体"/>
                <w:kern w:val="0"/>
              </w:rPr>
              <w:t>1.具有开展金融业务的资格。</w:t>
            </w:r>
          </w:p>
          <w:p>
            <w:pPr>
              <w:widowControl/>
              <w:snapToGrid w:val="0"/>
              <w:jc w:val="left"/>
              <w:rPr>
                <w:rFonts w:hint="eastAsia" w:ascii="宋体" w:hAnsi="宋体"/>
                <w:kern w:val="0"/>
              </w:rPr>
            </w:pPr>
            <w:r>
              <w:rPr>
                <w:rFonts w:hint="eastAsia" w:ascii="宋体" w:hAnsi="宋体"/>
                <w:kern w:val="0"/>
              </w:rPr>
              <w:t>2.具有真实的结售汇需求，且有一定结售汇业务规模（可提供行业公认的排名、业绩认定等）。</w:t>
            </w:r>
          </w:p>
          <w:p>
            <w:pPr>
              <w:widowControl/>
              <w:snapToGrid w:val="0"/>
              <w:jc w:val="left"/>
              <w:rPr>
                <w:rFonts w:hint="eastAsia" w:ascii="宋体" w:hAnsi="宋体"/>
                <w:kern w:val="0"/>
              </w:rPr>
            </w:pPr>
            <w:r>
              <w:rPr>
                <w:rFonts w:hint="eastAsia" w:ascii="宋体" w:hAnsi="宋体"/>
                <w:kern w:val="0"/>
              </w:rPr>
              <w:t>3.监管机构或其授权的行业管理组织对非银行金融机构开展结售汇业务许可或无异议。</w:t>
            </w:r>
          </w:p>
          <w:p>
            <w:pPr>
              <w:widowControl/>
              <w:snapToGrid w:val="0"/>
              <w:jc w:val="left"/>
              <w:rPr>
                <w:rFonts w:hint="eastAsia" w:ascii="宋体" w:hAnsi="宋体"/>
                <w:kern w:val="0"/>
              </w:rPr>
            </w:pPr>
            <w:r>
              <w:rPr>
                <w:rFonts w:hint="eastAsia" w:ascii="宋体" w:hAnsi="宋体"/>
                <w:kern w:val="0"/>
              </w:rPr>
              <w:t>4.具备完善的业务管理制度。</w:t>
            </w:r>
          </w:p>
          <w:p>
            <w:pPr>
              <w:widowControl/>
              <w:snapToGrid w:val="0"/>
              <w:jc w:val="left"/>
              <w:rPr>
                <w:rFonts w:hint="eastAsia" w:ascii="宋体" w:hAnsi="宋体"/>
                <w:kern w:val="0"/>
              </w:rPr>
            </w:pPr>
            <w:r>
              <w:rPr>
                <w:rFonts w:hint="eastAsia" w:ascii="宋体" w:hAnsi="宋体"/>
                <w:kern w:val="0"/>
              </w:rPr>
              <w:t>5.具备办理业务所必需的场所和其他软硬件设施。</w:t>
            </w:r>
          </w:p>
          <w:p>
            <w:pPr>
              <w:widowControl/>
              <w:snapToGrid w:val="0"/>
              <w:jc w:val="left"/>
              <w:rPr>
                <w:rFonts w:hint="eastAsia" w:ascii="宋体" w:hAnsi="宋体"/>
                <w:kern w:val="0"/>
              </w:rPr>
            </w:pPr>
            <w:r>
              <w:rPr>
                <w:rFonts w:hint="eastAsia" w:ascii="宋体" w:hAnsi="宋体"/>
                <w:kern w:val="0"/>
              </w:rPr>
              <w:t>6.具有相应业务工作经验的高级管理人员和业务人员。</w:t>
            </w:r>
          </w:p>
          <w:p>
            <w:pPr>
              <w:widowControl/>
              <w:snapToGrid w:val="0"/>
              <w:jc w:val="left"/>
              <w:rPr>
                <w:rFonts w:hint="eastAsia" w:ascii="宋体" w:hAnsi="宋体"/>
                <w:kern w:val="0"/>
              </w:rPr>
            </w:pPr>
            <w:r>
              <w:rPr>
                <w:rFonts w:hint="eastAsia" w:ascii="宋体" w:hAnsi="宋体"/>
                <w:kern w:val="0"/>
              </w:rPr>
              <w:t>7.申请开展衍生产品业务的，应取得即期结售汇业务资格，且监管机构或其授权的行业管理组织对其开展衍生产品业务许可或无异议。</w:t>
            </w:r>
          </w:p>
          <w:p>
            <w:pPr>
              <w:widowControl/>
              <w:snapToGrid w:val="0"/>
              <w:jc w:val="left"/>
              <w:rPr>
                <w:rFonts w:hint="default" w:ascii="宋体" w:hAnsi="宋体"/>
                <w:kern w:val="0"/>
                <w:lang w:val="en-US" w:eastAsia="zh-CN"/>
              </w:rPr>
            </w:pPr>
            <w:r>
              <w:rPr>
                <w:rFonts w:hint="eastAsia" w:ascii="宋体" w:hAnsi="宋体"/>
                <w:kern w:val="0"/>
              </w:rPr>
              <w:t>8.审核材料的规范性、齐备性及材料之间的一致性，且应具备针对性与适用性。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jc w:val="center"/>
        </w:trPr>
        <w:tc>
          <w:tcPr>
            <w:tcW w:w="1093"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rFonts w:ascii="宋体" w:hAnsi="宋体"/>
                <w:kern w:val="0"/>
              </w:rPr>
            </w:pPr>
            <w:r>
              <w:rPr>
                <w:rFonts w:ascii="宋体" w:hAnsi="宋体"/>
                <w:kern w:val="0"/>
              </w:rPr>
              <w:t>办理材料</w:t>
            </w:r>
          </w:p>
          <w:p>
            <w:pPr>
              <w:widowControl/>
              <w:snapToGrid w:val="0"/>
              <w:jc w:val="center"/>
              <w:rPr>
                <w:rFonts w:hint="eastAsia" w:ascii="宋体" w:hAnsi="宋体"/>
                <w:kern w:val="0"/>
                <w:lang w:val="en-US" w:eastAsia="zh-CN"/>
              </w:rPr>
            </w:pPr>
          </w:p>
        </w:tc>
        <w:tc>
          <w:tcPr>
            <w:tcW w:w="7412" w:type="dxa"/>
            <w:tcBorders>
              <w:top w:val="single" w:color="000000" w:sz="4" w:space="0"/>
              <w:left w:val="nil"/>
              <w:bottom w:val="single" w:color="000000" w:sz="4" w:space="0"/>
              <w:right w:val="single" w:color="000000" w:sz="4" w:space="0"/>
            </w:tcBorders>
            <w:vAlign w:val="center"/>
          </w:tcPr>
          <w:p>
            <w:pPr>
              <w:widowControl/>
              <w:snapToGrid w:val="0"/>
              <w:jc w:val="left"/>
              <w:rPr>
                <w:rFonts w:hint="eastAsia" w:ascii="宋体" w:hAnsi="宋体"/>
                <w:kern w:val="0"/>
              </w:rPr>
            </w:pPr>
            <w:r>
              <w:rPr>
                <w:rFonts w:hint="eastAsia" w:ascii="宋体" w:hAnsi="宋体"/>
                <w:kern w:val="0"/>
              </w:rPr>
              <w:t>1.书面申请。包括但不限于机构基本情况、机构自身外汇收支和结售汇情况、开展结售汇业务可行性分析、结售汇业务计划和种类、结售汇综合头寸需求等。</w:t>
            </w:r>
          </w:p>
          <w:p>
            <w:pPr>
              <w:widowControl/>
              <w:snapToGrid w:val="0"/>
              <w:jc w:val="left"/>
              <w:rPr>
                <w:rFonts w:hint="eastAsia" w:ascii="宋体" w:hAnsi="宋体"/>
                <w:kern w:val="0"/>
              </w:rPr>
            </w:pPr>
            <w:r>
              <w:rPr>
                <w:rFonts w:hint="eastAsia" w:ascii="宋体" w:hAnsi="宋体"/>
                <w:kern w:val="0"/>
              </w:rPr>
              <w:t>2.监管机构批准设立的批复文件或《金融许可证》。</w:t>
            </w:r>
          </w:p>
          <w:p>
            <w:pPr>
              <w:widowControl/>
              <w:snapToGrid w:val="0"/>
              <w:jc w:val="left"/>
              <w:rPr>
                <w:rFonts w:hint="eastAsia" w:ascii="宋体" w:hAnsi="宋体"/>
                <w:kern w:val="0"/>
              </w:rPr>
            </w:pPr>
            <w:r>
              <w:rPr>
                <w:rFonts w:hint="eastAsia" w:ascii="宋体" w:hAnsi="宋体"/>
                <w:kern w:val="0"/>
              </w:rPr>
              <w:t>3.结售汇业务内部管理规章制度。包括但不限于结售汇业务操作规程、结售汇业务单证管理制度、结售汇业务统计报告制度、结售汇综合头寸管理制度、结售汇业务会计科目和核算办法、结售汇业务内部审计、风险控制及合规制度、从业人员岗位责任制度、结售汇业务授权管理制度等。</w:t>
            </w:r>
          </w:p>
          <w:p>
            <w:pPr>
              <w:widowControl/>
              <w:snapToGrid w:val="0"/>
              <w:jc w:val="left"/>
              <w:rPr>
                <w:rFonts w:hint="eastAsia" w:ascii="宋体" w:hAnsi="宋体"/>
                <w:kern w:val="0"/>
              </w:rPr>
            </w:pPr>
            <w:r>
              <w:rPr>
                <w:rFonts w:hint="eastAsia" w:ascii="宋体" w:hAnsi="宋体"/>
                <w:kern w:val="0"/>
              </w:rPr>
              <w:t>4.具备办理结售汇业务所必需的软硬件设施的说明材料（如结售汇汇价接收、发送管理系统及查询报送数据设施等）。</w:t>
            </w:r>
          </w:p>
          <w:p>
            <w:pPr>
              <w:widowControl/>
              <w:snapToGrid w:val="0"/>
              <w:jc w:val="left"/>
              <w:rPr>
                <w:rFonts w:hint="eastAsia" w:ascii="宋体" w:hAnsi="宋体"/>
                <w:kern w:val="0"/>
              </w:rPr>
            </w:pPr>
            <w:r>
              <w:rPr>
                <w:rFonts w:hint="eastAsia" w:ascii="宋体" w:hAnsi="宋体"/>
                <w:kern w:val="0"/>
              </w:rPr>
              <w:t>5.拥有具备相应业务工作经验的高级管理人员和业务人员的说明材料。</w:t>
            </w:r>
          </w:p>
          <w:p>
            <w:pPr>
              <w:widowControl/>
              <w:snapToGrid w:val="0"/>
              <w:jc w:val="left"/>
              <w:rPr>
                <w:rFonts w:hint="eastAsia" w:ascii="宋体" w:hAnsi="宋体"/>
                <w:kern w:val="0"/>
              </w:rPr>
            </w:pPr>
            <w:r>
              <w:rPr>
                <w:rFonts w:hint="eastAsia" w:ascii="宋体" w:hAnsi="宋体"/>
                <w:kern w:val="0"/>
              </w:rPr>
              <w:t>6.监管机构或其授权的行业管理组织许可或同意非银行金融机构开展结售汇业务的许可文件或证明文件、无异议材料等。</w:t>
            </w:r>
          </w:p>
          <w:p>
            <w:pPr>
              <w:widowControl/>
              <w:snapToGrid w:val="0"/>
              <w:jc w:val="left"/>
              <w:rPr>
                <w:rFonts w:ascii="宋体"/>
                <w:sz w:val="24"/>
              </w:rPr>
            </w:pPr>
            <w:r>
              <w:rPr>
                <w:rFonts w:hint="eastAsia" w:ascii="宋体" w:hAnsi="宋体"/>
                <w:kern w:val="0"/>
              </w:rPr>
              <w:t>7.非银行金融机构申请开展衍生产品业务的，除提交书面申请（包括可行性报告、业务计划书等）和衍生产品业务内部管理规章制度（包括但不限于业务操作规程、产品定价模型、统计报告制度、会计核算制度、风险管理制度等）外，还需提供主管人员和主要交易人员名单、履历，以及监管部门或其授权的行业管理部门许可其开展衍</w:t>
            </w:r>
            <w:r>
              <w:rPr>
                <w:rFonts w:hint="eastAsia" w:ascii="宋体"/>
                <w:sz w:val="24"/>
              </w:rPr>
              <w:t>生产品业务的相关资格许可文件或证明文件、无异议材料等。</w:t>
            </w:r>
          </w:p>
          <w:p>
            <w:pPr>
              <w:widowControl/>
              <w:snapToGrid w:val="0"/>
              <w:jc w:val="left"/>
              <w:rPr>
                <w:rFonts w:hint="eastAsia" w:ascii="宋体" w:hAnsi="宋体"/>
                <w:kern w:val="0"/>
              </w:rPr>
            </w:pPr>
            <w:r>
              <w:rPr>
                <w:rFonts w:hint="eastAsia" w:ascii="宋体" w:hAnsi="宋体"/>
                <w:kern w:val="0"/>
              </w:rPr>
              <w:t>8.非银行金融机构需行业监管部门批准外汇业务经营资格的，还应具备相应的外汇业务经营资格。</w:t>
            </w:r>
          </w:p>
          <w:p>
            <w:pPr>
              <w:widowControl/>
              <w:snapToGrid w:val="0"/>
              <w:jc w:val="left"/>
              <w:rPr>
                <w:rFonts w:hint="default" w:ascii="宋体" w:hAnsi="宋体"/>
                <w:kern w:val="0"/>
              </w:rPr>
            </w:pPr>
            <w:r>
              <w:rPr>
                <w:rFonts w:hint="eastAsia" w:ascii="宋体" w:hAnsi="宋体"/>
                <w:kern w:val="0"/>
              </w:rPr>
              <w:t>9.外汇局要求的其他材料。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1" w:hRule="atLeast"/>
          <w:jc w:val="center"/>
        </w:trPr>
        <w:tc>
          <w:tcPr>
            <w:tcW w:w="1093" w:type="dxa"/>
            <w:tcBorders>
              <w:top w:val="single" w:color="000000" w:sz="4" w:space="0"/>
              <w:left w:val="single" w:color="000000" w:sz="4" w:space="0"/>
              <w:bottom w:val="single" w:color="000000" w:sz="4" w:space="0"/>
              <w:right w:val="single" w:color="000000" w:sz="4" w:space="0"/>
            </w:tcBorders>
            <w:vAlign w:val="center"/>
          </w:tcPr>
          <w:p>
            <w:pPr>
              <w:widowControl/>
              <w:snapToGrid w:val="0"/>
              <w:jc w:val="left"/>
              <w:rPr>
                <w:rFonts w:hint="default"/>
                <w:kern w:val="0"/>
                <w:sz w:val="20"/>
              </w:rPr>
            </w:pPr>
            <w:r>
              <w:rPr>
                <w:rFonts w:ascii="宋体" w:hAnsi="宋体"/>
                <w:kern w:val="0"/>
              </w:rPr>
              <w:t>办理地点</w:t>
            </w:r>
          </w:p>
        </w:tc>
        <w:tc>
          <w:tcPr>
            <w:tcW w:w="7412" w:type="dxa"/>
            <w:tcBorders>
              <w:top w:val="single" w:color="000000" w:sz="4" w:space="0"/>
              <w:left w:val="nil"/>
              <w:bottom w:val="single" w:color="000000" w:sz="4" w:space="0"/>
              <w:right w:val="single" w:color="000000" w:sz="4" w:space="0"/>
            </w:tcBorders>
            <w:vAlign w:val="top"/>
          </w:tcPr>
          <w:p>
            <w:pPr>
              <w:widowControl/>
              <w:snapToGrid w:val="0"/>
              <w:jc w:val="left"/>
              <w:rPr>
                <w:rFonts w:hint="default"/>
                <w:kern w:val="0"/>
              </w:rPr>
            </w:pPr>
            <w:r>
              <w:rPr>
                <w:rFonts w:ascii="宋体" w:hAnsi="宋体"/>
                <w:kern w:val="0"/>
              </w:rPr>
              <w:t>国家外汇管理局青海省分局外汇管理处资本科（西宁市昆仑路3号人民银行政务大厅）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jc w:val="center"/>
        </w:trPr>
        <w:tc>
          <w:tcPr>
            <w:tcW w:w="1093" w:type="dxa"/>
            <w:tcBorders>
              <w:top w:val="single" w:color="000000" w:sz="4" w:space="0"/>
              <w:left w:val="single" w:color="000000" w:sz="4" w:space="0"/>
              <w:bottom w:val="single" w:color="000000" w:sz="4" w:space="0"/>
              <w:right w:val="single" w:color="000000" w:sz="4" w:space="0"/>
            </w:tcBorders>
            <w:vAlign w:val="center"/>
          </w:tcPr>
          <w:p>
            <w:pPr>
              <w:widowControl/>
              <w:snapToGrid w:val="0"/>
              <w:jc w:val="left"/>
              <w:rPr>
                <w:rFonts w:hint="default"/>
                <w:kern w:val="0"/>
                <w:sz w:val="20"/>
              </w:rPr>
            </w:pPr>
            <w:r>
              <w:rPr>
                <w:rFonts w:ascii="宋体" w:hAnsi="宋体"/>
                <w:kern w:val="0"/>
              </w:rPr>
              <w:t>办理时间</w:t>
            </w:r>
          </w:p>
          <w:p>
            <w:pPr>
              <w:widowControl/>
              <w:spacing w:line="271" w:lineRule="auto"/>
              <w:jc w:val="center"/>
              <w:rPr>
                <w:rFonts w:hint="default" w:ascii="Times New Roman" w:eastAsia="Times New Roman"/>
                <w:b/>
                <w:kern w:val="0"/>
              </w:rPr>
            </w:pPr>
          </w:p>
        </w:tc>
        <w:tc>
          <w:tcPr>
            <w:tcW w:w="7412" w:type="dxa"/>
            <w:tcBorders>
              <w:top w:val="single" w:color="000000" w:sz="4" w:space="0"/>
              <w:left w:val="nil"/>
              <w:bottom w:val="single" w:color="000000" w:sz="4" w:space="0"/>
              <w:right w:val="single" w:color="000000" w:sz="4" w:space="0"/>
            </w:tcBorders>
            <w:vAlign w:val="top"/>
          </w:tcPr>
          <w:p>
            <w:pPr>
              <w:widowControl/>
              <w:snapToGrid w:val="0"/>
              <w:jc w:val="left"/>
              <w:rPr>
                <w:rFonts w:hint="default"/>
                <w:kern w:val="0"/>
              </w:rPr>
            </w:pPr>
            <w:r>
              <w:rPr>
                <w:rFonts w:ascii="宋体" w:hAnsi="宋体"/>
                <w:kern w:val="0"/>
              </w:rPr>
              <w:t>周一至周五（法定节假日除外）</w:t>
            </w:r>
          </w:p>
          <w:p>
            <w:pPr>
              <w:widowControl/>
              <w:snapToGrid w:val="0"/>
              <w:jc w:val="left"/>
              <w:rPr>
                <w:rFonts w:hint="default"/>
                <w:kern w:val="0"/>
                <w:sz w:val="20"/>
              </w:rPr>
            </w:pPr>
            <w:r>
              <w:rPr>
                <w:rFonts w:ascii="宋体" w:hAnsi="宋体"/>
                <w:kern w:val="0"/>
              </w:rPr>
              <w:t>上午8：30-11：30，下午2：00-5：30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jc w:val="center"/>
        </w:trPr>
        <w:tc>
          <w:tcPr>
            <w:tcW w:w="1093" w:type="dxa"/>
            <w:tcBorders>
              <w:top w:val="single" w:color="000000" w:sz="4" w:space="0"/>
              <w:left w:val="single" w:color="000000" w:sz="4" w:space="0"/>
              <w:bottom w:val="single" w:color="000000" w:sz="4" w:space="0"/>
              <w:right w:val="single" w:color="000000" w:sz="4" w:space="0"/>
            </w:tcBorders>
            <w:vAlign w:val="center"/>
          </w:tcPr>
          <w:p>
            <w:pPr>
              <w:widowControl/>
              <w:snapToGrid w:val="0"/>
              <w:jc w:val="left"/>
              <w:rPr>
                <w:rFonts w:hint="default"/>
                <w:kern w:val="0"/>
                <w:sz w:val="20"/>
              </w:rPr>
            </w:pPr>
            <w:r>
              <w:rPr>
                <w:rFonts w:ascii="宋体" w:hAnsi="宋体"/>
                <w:kern w:val="0"/>
              </w:rPr>
              <w:t>联系电话</w:t>
            </w:r>
          </w:p>
        </w:tc>
        <w:tc>
          <w:tcPr>
            <w:tcW w:w="7412" w:type="dxa"/>
            <w:tcBorders>
              <w:top w:val="single" w:color="000000" w:sz="4" w:space="0"/>
              <w:left w:val="nil"/>
              <w:bottom w:val="single" w:color="000000" w:sz="4" w:space="0"/>
              <w:right w:val="single" w:color="000000" w:sz="4" w:space="0"/>
            </w:tcBorders>
            <w:vAlign w:val="top"/>
          </w:tcPr>
          <w:p>
            <w:pPr>
              <w:widowControl/>
              <w:snapToGrid w:val="0"/>
              <w:jc w:val="left"/>
              <w:rPr>
                <w:rFonts w:hint="default"/>
                <w:kern w:val="0"/>
              </w:rPr>
            </w:pPr>
            <w:r>
              <w:rPr>
                <w:rFonts w:ascii="宋体" w:hAnsi="宋体"/>
                <w:kern w:val="0"/>
              </w:rPr>
              <w:t>0971-6126143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799" w:hRule="atLeast"/>
          <w:jc w:val="center"/>
        </w:trPr>
        <w:tc>
          <w:tcPr>
            <w:tcW w:w="1093" w:type="dxa"/>
            <w:tcBorders>
              <w:top w:val="single" w:color="000000" w:sz="4" w:space="0"/>
              <w:left w:val="single" w:color="000000" w:sz="4" w:space="0"/>
              <w:bottom w:val="single" w:color="000000" w:sz="4" w:space="0"/>
              <w:right w:val="single" w:color="000000" w:sz="4" w:space="0"/>
            </w:tcBorders>
            <w:vAlign w:val="center"/>
          </w:tcPr>
          <w:p>
            <w:pPr>
              <w:widowControl/>
              <w:snapToGrid w:val="0"/>
              <w:jc w:val="left"/>
              <w:rPr>
                <w:rFonts w:hint="default"/>
                <w:kern w:val="0"/>
                <w:sz w:val="20"/>
              </w:rPr>
            </w:pPr>
            <w:r>
              <w:rPr>
                <w:rFonts w:ascii="宋体" w:hAnsi="宋体"/>
                <w:kern w:val="0"/>
              </w:rPr>
              <w:t>办理流程</w:t>
            </w:r>
          </w:p>
        </w:tc>
        <w:tc>
          <w:tcPr>
            <w:tcW w:w="7412" w:type="dxa"/>
            <w:tcBorders>
              <w:top w:val="single" w:color="000000" w:sz="4" w:space="0"/>
              <w:left w:val="nil"/>
              <w:bottom w:val="single" w:color="000000" w:sz="4" w:space="0"/>
              <w:right w:val="single" w:color="000000" w:sz="4" w:space="0"/>
            </w:tcBorders>
            <w:vAlign w:val="top"/>
          </w:tcPr>
          <w:p>
            <w:pPr>
              <w:widowControl/>
              <w:snapToGrid w:val="0"/>
              <w:jc w:val="left"/>
              <w:rPr>
                <w:rFonts w:ascii="宋体" w:hAnsi="宋体"/>
                <w:kern w:val="0"/>
              </w:rPr>
            </w:pPr>
            <w:r>
              <w:rPr>
                <w:rFonts w:hint="eastAsia" w:ascii="宋体" w:hAnsi="宋体"/>
                <w:kern w:val="0"/>
              </w:rPr>
              <w:t>所在地外汇局对申请材料进行初审中，可根据情况对非银行金融机构相关软硬件基础设施进行实地检查，根据非银行金融机构申请材料和软硬件基础设施情况做出初审结论。</w:t>
            </w:r>
          </w:p>
          <w:p>
            <w:pPr>
              <w:widowControl/>
              <w:snapToGrid w:val="0"/>
              <w:jc w:val="left"/>
              <w:rPr>
                <w:rFonts w:ascii="宋体" w:hAnsi="宋体"/>
                <w:kern w:val="0"/>
              </w:rPr>
            </w:pPr>
          </w:p>
          <w:p>
            <w:pPr>
              <w:widowControl/>
              <w:numPr>
                <w:numId w:val="0"/>
              </w:numPr>
              <w:snapToGrid w:val="0"/>
              <w:jc w:val="left"/>
              <w:rPr>
                <w:rFonts w:hint="default" w:ascii="宋体" w:hAnsi="宋体"/>
                <w:kern w:val="0"/>
              </w:rPr>
            </w:pPr>
          </w:p>
        </w:tc>
      </w:tr>
    </w:tbl>
    <w:p>
      <w:pPr>
        <w:widowControl/>
        <w:snapToGrid w:val="0"/>
        <w:rPr>
          <w:rFonts w:hint="default"/>
          <w:b/>
          <w:kern w:val="0"/>
          <w:sz w:val="28"/>
        </w:rPr>
      </w:pPr>
    </w:p>
    <w:p>
      <w:pPr>
        <w:widowControl/>
        <w:snapToGrid w:val="0"/>
        <w:rPr>
          <w:rFonts w:hint="default"/>
          <w:b/>
          <w:kern w:val="0"/>
          <w:sz w:val="28"/>
        </w:rPr>
      </w:pPr>
    </w:p>
    <w:p>
      <w:pPr>
        <w:widowControl/>
        <w:snapToGrid w:val="0"/>
        <w:rPr>
          <w:rFonts w:hint="default"/>
          <w:b/>
          <w:kern w:val="0"/>
          <w:sz w:val="28"/>
        </w:rPr>
      </w:pPr>
    </w:p>
    <w:p>
      <w:pPr>
        <w:widowControl/>
        <w:snapToGrid w:val="0"/>
        <w:rPr>
          <w:rFonts w:hint="default"/>
          <w:b/>
          <w:kern w:val="0"/>
          <w:sz w:val="28"/>
        </w:rPr>
      </w:pPr>
    </w:p>
    <w:p>
      <w:pPr>
        <w:widowControl/>
        <w:snapToGrid w:val="0"/>
        <w:rPr>
          <w:rFonts w:hint="default"/>
          <w:b/>
          <w:kern w:val="0"/>
          <w:sz w:val="28"/>
        </w:rPr>
      </w:pPr>
    </w:p>
    <w:p>
      <w:pPr>
        <w:widowControl/>
        <w:snapToGrid w:val="0"/>
        <w:rPr>
          <w:rFonts w:hint="default"/>
          <w:b/>
          <w:kern w:val="0"/>
          <w:sz w:val="28"/>
        </w:rPr>
      </w:pPr>
    </w:p>
    <w:p>
      <w:pPr>
        <w:widowControl/>
        <w:snapToGrid w:val="0"/>
        <w:rPr>
          <w:rFonts w:hint="default"/>
          <w:b/>
          <w:kern w:val="0"/>
          <w:sz w:val="28"/>
        </w:rPr>
      </w:pPr>
    </w:p>
    <w:p>
      <w:pPr>
        <w:widowControl/>
        <w:snapToGrid w:val="0"/>
        <w:rPr>
          <w:rFonts w:hint="default"/>
          <w:b/>
          <w:kern w:val="0"/>
          <w:sz w:val="28"/>
        </w:rPr>
      </w:pPr>
    </w:p>
    <w:p>
      <w:pPr>
        <w:widowControl/>
        <w:snapToGrid w:val="0"/>
        <w:rPr>
          <w:rFonts w:hint="default"/>
          <w:b/>
          <w:kern w:val="0"/>
          <w:sz w:val="28"/>
        </w:rPr>
      </w:pPr>
    </w:p>
    <w:p>
      <w:pPr>
        <w:widowControl/>
        <w:snapToGrid w:val="0"/>
        <w:rPr>
          <w:rFonts w:hint="default"/>
          <w:b/>
          <w:kern w:val="0"/>
          <w:sz w:val="28"/>
        </w:rPr>
      </w:pPr>
    </w:p>
    <w:p>
      <w:pPr>
        <w:widowControl/>
        <w:snapToGrid w:val="0"/>
        <w:rPr>
          <w:rFonts w:hint="default"/>
          <w:b/>
          <w:kern w:val="0"/>
          <w:sz w:val="28"/>
        </w:rPr>
      </w:pPr>
    </w:p>
    <w:p>
      <w:pPr>
        <w:widowControl/>
        <w:snapToGrid w:val="0"/>
        <w:rPr>
          <w:rFonts w:hint="default"/>
          <w:b/>
          <w:kern w:val="0"/>
          <w:sz w:val="28"/>
        </w:rPr>
      </w:pPr>
    </w:p>
    <w:p>
      <w:pPr>
        <w:widowControl/>
        <w:snapToGrid w:val="0"/>
        <w:rPr>
          <w:rFonts w:hint="default"/>
          <w:b/>
          <w:kern w:val="0"/>
          <w:sz w:val="28"/>
        </w:rPr>
      </w:pPr>
    </w:p>
    <w:p>
      <w:pPr>
        <w:widowControl/>
        <w:snapToGrid w:val="0"/>
        <w:rPr>
          <w:rFonts w:hint="default"/>
          <w:b/>
          <w:kern w:val="0"/>
          <w:sz w:val="28"/>
        </w:rPr>
      </w:pPr>
    </w:p>
    <w:p>
      <w:pPr>
        <w:widowControl/>
        <w:snapToGrid w:val="0"/>
        <w:rPr>
          <w:rFonts w:hint="default"/>
          <w:b/>
          <w:kern w:val="0"/>
          <w:sz w:val="28"/>
        </w:rPr>
      </w:pPr>
    </w:p>
    <w:p>
      <w:pPr>
        <w:widowControl/>
        <w:snapToGrid w:val="0"/>
        <w:rPr>
          <w:rFonts w:hint="default"/>
          <w:b/>
          <w:kern w:val="0"/>
          <w:sz w:val="28"/>
        </w:rPr>
      </w:pPr>
    </w:p>
    <w:p>
      <w:pPr>
        <w:widowControl/>
        <w:snapToGrid w:val="0"/>
        <w:rPr>
          <w:rFonts w:hint="default"/>
          <w:b/>
          <w:kern w:val="0"/>
          <w:sz w:val="28"/>
        </w:rPr>
      </w:pPr>
    </w:p>
    <w:p>
      <w:pPr>
        <w:widowControl/>
        <w:snapToGrid w:val="0"/>
        <w:rPr>
          <w:rFonts w:hint="default"/>
          <w:b/>
          <w:kern w:val="0"/>
          <w:sz w:val="28"/>
        </w:rPr>
      </w:pPr>
    </w:p>
    <w:p>
      <w:pPr>
        <w:widowControl/>
        <w:snapToGrid w:val="0"/>
        <w:rPr>
          <w:rFonts w:hint="default"/>
          <w:b/>
          <w:kern w:val="0"/>
          <w:sz w:val="28"/>
        </w:rPr>
      </w:pPr>
    </w:p>
    <w:p>
      <w:pPr>
        <w:widowControl/>
        <w:snapToGrid w:val="0"/>
        <w:rPr>
          <w:rFonts w:hint="default"/>
          <w:b/>
          <w:kern w:val="0"/>
          <w:sz w:val="28"/>
        </w:rPr>
      </w:pPr>
    </w:p>
    <w:p>
      <w:pPr>
        <w:widowControl/>
        <w:snapToGrid w:val="0"/>
        <w:rPr>
          <w:rFonts w:hint="default"/>
          <w:b/>
          <w:kern w:val="0"/>
          <w:sz w:val="28"/>
        </w:rPr>
      </w:pPr>
    </w:p>
    <w:p>
      <w:pPr>
        <w:widowControl/>
        <w:snapToGrid w:val="0"/>
        <w:rPr>
          <w:rFonts w:hint="default"/>
          <w:b/>
          <w:kern w:val="0"/>
          <w:sz w:val="28"/>
        </w:rPr>
      </w:pPr>
    </w:p>
    <w:p>
      <w:pPr>
        <w:widowControl/>
        <w:snapToGrid w:val="0"/>
        <w:rPr>
          <w:rFonts w:hint="default"/>
          <w:b/>
          <w:kern w:val="0"/>
          <w:sz w:val="28"/>
        </w:rPr>
      </w:pPr>
    </w:p>
    <w:p>
      <w:pPr>
        <w:widowControl/>
        <w:snapToGrid w:val="0"/>
        <w:rPr>
          <w:rFonts w:hint="default"/>
          <w:b/>
          <w:kern w:val="0"/>
          <w:sz w:val="28"/>
        </w:rPr>
      </w:pPr>
    </w:p>
    <w:p>
      <w:pPr>
        <w:widowControl/>
        <w:snapToGrid w:val="0"/>
        <w:rPr>
          <w:rFonts w:hint="default"/>
          <w:b/>
          <w:kern w:val="0"/>
          <w:sz w:val="28"/>
        </w:rPr>
      </w:pPr>
    </w:p>
    <w:p>
      <w:pPr>
        <w:widowControl/>
        <w:snapToGrid w:val="0"/>
        <w:rPr>
          <w:rFonts w:hint="default"/>
          <w:b/>
          <w:kern w:val="0"/>
          <w:sz w:val="28"/>
        </w:rPr>
      </w:pPr>
    </w:p>
    <w:tbl>
      <w:tblPr>
        <w:tblStyle w:val="16"/>
        <w:tblW w:w="850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093"/>
        <w:gridCol w:w="741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jc w:val="center"/>
        </w:trPr>
        <w:tc>
          <w:tcPr>
            <w:tcW w:w="1093" w:type="dxa"/>
            <w:tcBorders>
              <w:top w:val="single" w:color="000000" w:sz="4" w:space="0"/>
              <w:left w:val="single" w:color="000000" w:sz="4" w:space="0"/>
              <w:bottom w:val="single" w:color="000000" w:sz="4" w:space="0"/>
              <w:right w:val="single" w:color="000000" w:sz="4" w:space="0"/>
            </w:tcBorders>
            <w:vAlign w:val="center"/>
          </w:tcPr>
          <w:p>
            <w:pPr>
              <w:widowControl/>
              <w:snapToGrid w:val="0"/>
              <w:jc w:val="left"/>
              <w:rPr>
                <w:rFonts w:hint="default"/>
                <w:kern w:val="0"/>
                <w:sz w:val="20"/>
              </w:rPr>
            </w:pPr>
            <w:r>
              <w:rPr>
                <w:rFonts w:ascii="宋体" w:hAnsi="宋体"/>
                <w:kern w:val="0"/>
              </w:rPr>
              <w:t>业务名称</w:t>
            </w:r>
          </w:p>
        </w:tc>
        <w:tc>
          <w:tcPr>
            <w:tcW w:w="7412" w:type="dxa"/>
            <w:tcBorders>
              <w:top w:val="single" w:color="000000" w:sz="4" w:space="0"/>
              <w:left w:val="nil"/>
              <w:bottom w:val="single" w:color="000000" w:sz="4" w:space="0"/>
              <w:right w:val="single" w:color="000000" w:sz="4" w:space="0"/>
            </w:tcBorders>
            <w:vAlign w:val="center"/>
          </w:tcPr>
          <w:p>
            <w:pPr>
              <w:pStyle w:val="2"/>
              <w:spacing w:before="0" w:after="0" w:line="240" w:lineRule="auto"/>
              <w:rPr>
                <w:rFonts w:hint="default"/>
                <w:b/>
                <w:kern w:val="0"/>
                <w:sz w:val="20"/>
              </w:rPr>
            </w:pPr>
            <w:r>
              <w:rPr>
                <w:rFonts w:hint="eastAsia" w:ascii="宋体" w:hAnsi="宋体" w:eastAsia="宋体" w:cs="Times New Roman"/>
                <w:b/>
                <w:bCs w:val="0"/>
                <w:kern w:val="0"/>
                <w:sz w:val="21"/>
                <w:szCs w:val="20"/>
                <w:lang w:val="en-US" w:eastAsia="zh-CN" w:bidi="ar-SA"/>
              </w:rPr>
              <w:t>（二十五）非银行金融机构外汇业务备案管理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jc w:val="center"/>
        </w:trPr>
        <w:tc>
          <w:tcPr>
            <w:tcW w:w="1093" w:type="dxa"/>
            <w:tcBorders>
              <w:top w:val="single" w:color="000000" w:sz="4" w:space="0"/>
              <w:left w:val="single" w:color="000000" w:sz="4" w:space="0"/>
              <w:bottom w:val="single" w:color="000000" w:sz="4" w:space="0"/>
              <w:right w:val="single" w:color="000000" w:sz="4" w:space="0"/>
            </w:tcBorders>
            <w:vAlign w:val="center"/>
          </w:tcPr>
          <w:p>
            <w:pPr>
              <w:widowControl/>
              <w:snapToGrid w:val="0"/>
              <w:jc w:val="left"/>
              <w:rPr>
                <w:rFonts w:hint="default"/>
                <w:kern w:val="0"/>
                <w:sz w:val="20"/>
              </w:rPr>
            </w:pPr>
            <w:r>
              <w:rPr>
                <w:rFonts w:ascii="宋体" w:hAnsi="宋体"/>
                <w:kern w:val="0"/>
              </w:rPr>
              <w:t>设定依据</w:t>
            </w:r>
          </w:p>
          <w:p>
            <w:pPr>
              <w:widowControl/>
              <w:spacing w:line="271" w:lineRule="auto"/>
              <w:jc w:val="center"/>
              <w:rPr>
                <w:rFonts w:hint="default" w:ascii="Times New Roman" w:eastAsia="Times New Roman"/>
                <w:b/>
                <w:kern w:val="0"/>
              </w:rPr>
            </w:pPr>
          </w:p>
        </w:tc>
        <w:tc>
          <w:tcPr>
            <w:tcW w:w="7412" w:type="dxa"/>
            <w:tcBorders>
              <w:top w:val="single" w:color="000000" w:sz="4" w:space="0"/>
              <w:left w:val="nil"/>
              <w:bottom w:val="single" w:color="000000" w:sz="4" w:space="0"/>
              <w:right w:val="single" w:color="000000" w:sz="4" w:space="0"/>
            </w:tcBorders>
            <w:vAlign w:val="center"/>
          </w:tcPr>
          <w:p>
            <w:pPr>
              <w:widowControl/>
              <w:snapToGrid w:val="0"/>
              <w:jc w:val="left"/>
              <w:rPr>
                <w:rFonts w:ascii="宋体" w:hAnsi="宋体"/>
                <w:kern w:val="0"/>
              </w:rPr>
            </w:pPr>
            <w:r>
              <w:rPr>
                <w:rFonts w:hint="eastAsia" w:ascii="宋体" w:hAnsi="宋体"/>
                <w:kern w:val="0"/>
              </w:rPr>
              <w:t>1.《中华人民共和国外汇管理条例》（国务院令第532号）。</w:t>
            </w:r>
          </w:p>
          <w:p>
            <w:pPr>
              <w:widowControl/>
              <w:snapToGrid w:val="0"/>
              <w:jc w:val="left"/>
              <w:rPr>
                <w:rFonts w:ascii="宋体" w:hAnsi="宋体"/>
                <w:kern w:val="0"/>
              </w:rPr>
            </w:pPr>
            <w:r>
              <w:rPr>
                <w:rFonts w:hint="eastAsia" w:ascii="宋体" w:hAnsi="宋体"/>
                <w:kern w:val="0"/>
              </w:rPr>
              <w:t>2.其他相关法规。</w:t>
            </w:r>
          </w:p>
          <w:p>
            <w:pPr>
              <w:widowControl/>
              <w:snapToGrid w:val="0"/>
              <w:jc w:val="left"/>
              <w:rPr>
                <w:rFonts w:hint="eastAsia" w:ascii="宋体" w:hAnsi="宋体"/>
                <w:kern w:val="0"/>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jc w:val="center"/>
        </w:trPr>
        <w:tc>
          <w:tcPr>
            <w:tcW w:w="1093"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rFonts w:ascii="宋体" w:hAnsi="宋体"/>
                <w:kern w:val="0"/>
              </w:rPr>
            </w:pPr>
            <w:r>
              <w:rPr>
                <w:rFonts w:ascii="宋体" w:hAnsi="宋体"/>
                <w:kern w:val="0"/>
              </w:rPr>
              <w:t>申请条件</w:t>
            </w:r>
          </w:p>
          <w:p>
            <w:pPr>
              <w:widowControl/>
              <w:snapToGrid w:val="0"/>
              <w:jc w:val="center"/>
              <w:rPr>
                <w:rFonts w:hint="eastAsia" w:ascii="宋体" w:hAnsi="宋体"/>
                <w:kern w:val="0"/>
                <w:lang w:val="en-US" w:eastAsia="zh-CN"/>
              </w:rPr>
            </w:pPr>
            <w:r>
              <w:rPr>
                <w:rFonts w:hint="eastAsia" w:ascii="宋体" w:hAnsi="宋体"/>
                <w:kern w:val="0"/>
                <w:lang w:val="en-US" w:eastAsia="zh-CN"/>
              </w:rPr>
              <w:t>及</w:t>
            </w:r>
          </w:p>
          <w:p>
            <w:pPr>
              <w:widowControl/>
              <w:snapToGrid w:val="0"/>
              <w:jc w:val="center"/>
              <w:rPr>
                <w:rFonts w:hint="eastAsia" w:ascii="宋体" w:hAnsi="宋体" w:eastAsia="宋体"/>
                <w:kern w:val="0"/>
                <w:lang w:val="en-US" w:eastAsia="zh-CN"/>
              </w:rPr>
            </w:pPr>
            <w:r>
              <w:rPr>
                <w:rFonts w:hint="eastAsia" w:ascii="宋体" w:hAnsi="宋体"/>
                <w:kern w:val="0"/>
                <w:lang w:val="en-US" w:eastAsia="zh-CN"/>
              </w:rPr>
              <w:t>注意事项</w:t>
            </w:r>
          </w:p>
        </w:tc>
        <w:tc>
          <w:tcPr>
            <w:tcW w:w="7412" w:type="dxa"/>
            <w:tcBorders>
              <w:top w:val="single" w:color="000000" w:sz="4" w:space="0"/>
              <w:left w:val="nil"/>
              <w:bottom w:val="single" w:color="000000" w:sz="4" w:space="0"/>
              <w:right w:val="single" w:color="000000" w:sz="4" w:space="0"/>
            </w:tcBorders>
            <w:vAlign w:val="center"/>
          </w:tcPr>
          <w:p>
            <w:pPr>
              <w:widowControl/>
              <w:snapToGrid w:val="0"/>
              <w:jc w:val="left"/>
              <w:rPr>
                <w:rFonts w:ascii="宋体" w:hAnsi="宋体"/>
                <w:kern w:val="0"/>
              </w:rPr>
            </w:pPr>
            <w:r>
              <w:rPr>
                <w:rFonts w:hint="eastAsia" w:ascii="宋体" w:hAnsi="宋体"/>
                <w:kern w:val="0"/>
              </w:rPr>
              <w:t>1.非银行金融机构经监管机构或其授权的行业管理组织许可或同意或认定相关资质的，应在开展相关外汇业务前30日内到所在地外汇局办理开展外汇业务备案登记。</w:t>
            </w:r>
          </w:p>
          <w:p>
            <w:pPr>
              <w:widowControl/>
              <w:snapToGrid w:val="0"/>
              <w:jc w:val="left"/>
              <w:rPr>
                <w:rFonts w:ascii="宋体" w:hAnsi="宋体"/>
                <w:kern w:val="0"/>
              </w:rPr>
            </w:pPr>
            <w:r>
              <w:rPr>
                <w:rFonts w:hint="eastAsia" w:ascii="宋体" w:hAnsi="宋体"/>
                <w:kern w:val="0"/>
              </w:rPr>
              <w:t>2.非银行金融机构需事先备案的外汇业务为：接受客户委托跨境代理买卖有价证券及衍生产品、B股经纪等经纪业务；跨境证券承销或境内外币有价证券承销业务；跨境基金或其他产品销售业务；跨境信托计划；境内外汇存款、外汇贷款、外汇同业拆借、外汇对外汇买卖业务；境内外汇信托计划；境内外汇资产管理业务；国家外汇管理局规定的其他外汇业务。</w:t>
            </w:r>
          </w:p>
          <w:p>
            <w:pPr>
              <w:widowControl/>
              <w:snapToGrid w:val="0"/>
              <w:jc w:val="left"/>
              <w:rPr>
                <w:rFonts w:ascii="宋体" w:hAnsi="宋体"/>
                <w:kern w:val="0"/>
              </w:rPr>
            </w:pPr>
            <w:r>
              <w:rPr>
                <w:rFonts w:hint="eastAsia" w:ascii="宋体" w:hAnsi="宋体"/>
                <w:kern w:val="0"/>
              </w:rPr>
              <w:t>3.经银监会批准具有存贷款业务资格的非银行金融机构办理境内外汇存款、外汇贷款、外汇同业拆借业务无需办理备案。保险机构开展境内外汇业务，按照保险机构外汇管理有关规定办理。</w:t>
            </w:r>
          </w:p>
          <w:p>
            <w:pPr>
              <w:widowControl/>
              <w:snapToGrid w:val="0"/>
              <w:jc w:val="left"/>
              <w:rPr>
                <w:rFonts w:ascii="宋体" w:hAnsi="宋体"/>
                <w:kern w:val="0"/>
              </w:rPr>
            </w:pPr>
            <w:r>
              <w:rPr>
                <w:rFonts w:hint="eastAsia" w:ascii="宋体" w:hAnsi="宋体"/>
                <w:kern w:val="0"/>
              </w:rPr>
              <w:t>4.所在地外汇局收到非银行金融机构完整备案材料，经审核无误后，应在20个工作日内为机构出具备案文件。</w:t>
            </w:r>
          </w:p>
          <w:p>
            <w:pPr>
              <w:widowControl/>
              <w:snapToGrid w:val="0"/>
              <w:jc w:val="left"/>
              <w:rPr>
                <w:rFonts w:ascii="宋体" w:hAnsi="宋体"/>
                <w:kern w:val="0"/>
              </w:rPr>
            </w:pPr>
            <w:r>
              <w:rPr>
                <w:rFonts w:hint="eastAsia" w:ascii="宋体" w:hAnsi="宋体"/>
                <w:kern w:val="0"/>
              </w:rPr>
              <w:t>5.非银行金融机构经外汇局备案确认的相关事项发生变更的，应在变更发生之日起30日内，持相关变更情况说明材料到所在地外汇局办理变更手续。</w:t>
            </w:r>
          </w:p>
          <w:p>
            <w:pPr>
              <w:widowControl/>
              <w:snapToGrid w:val="0"/>
              <w:jc w:val="left"/>
              <w:rPr>
                <w:rFonts w:ascii="宋体" w:hAnsi="宋体"/>
                <w:kern w:val="0"/>
              </w:rPr>
            </w:pPr>
            <w:r>
              <w:rPr>
                <w:rFonts w:hint="eastAsia" w:ascii="宋体" w:hAnsi="宋体"/>
                <w:kern w:val="0"/>
              </w:rPr>
              <w:t>6.非银行金融机构的分支机构办理外汇业务，应取得其总公司就相关外汇业务的书面授权，并及时将授权情况以书面形式向所在地外汇局报备。</w:t>
            </w:r>
          </w:p>
          <w:p>
            <w:pPr>
              <w:widowControl/>
              <w:snapToGrid w:val="0"/>
              <w:jc w:val="left"/>
              <w:rPr>
                <w:rFonts w:hint="default" w:ascii="宋体" w:hAnsi="宋体"/>
                <w:kern w:val="0"/>
              </w:rPr>
            </w:pPr>
            <w:r>
              <w:rPr>
                <w:rFonts w:hint="eastAsia" w:ascii="宋体" w:hAnsi="宋体"/>
                <w:kern w:val="0"/>
              </w:rPr>
              <w:t>7.非银行金融机构发生下列情形之一的，自下列情形发生之日起，其经外汇局审批的相关文件失效：因分立、合并或公司章程规定的解散事由而解散；被行业主管部门终止其金融业务资格或营业资格；被人民法院依法宣告破产；被上级授权机构终止外汇业务；国家法律、法规规定的其他情形。非银行金融机构应自上述情形发生之日起30日内，向所在地外汇局书面报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jc w:val="center"/>
        </w:trPr>
        <w:tc>
          <w:tcPr>
            <w:tcW w:w="1093" w:type="dxa"/>
            <w:tcBorders>
              <w:top w:val="single" w:color="000000" w:sz="4" w:space="0"/>
              <w:left w:val="single" w:color="000000" w:sz="4" w:space="0"/>
              <w:bottom w:val="single" w:color="000000" w:sz="4" w:space="0"/>
              <w:right w:val="single" w:color="000000" w:sz="4" w:space="0"/>
            </w:tcBorders>
            <w:vAlign w:val="center"/>
          </w:tcPr>
          <w:p>
            <w:pPr>
              <w:widowControl/>
              <w:snapToGrid w:val="0"/>
              <w:jc w:val="left"/>
              <w:rPr>
                <w:rFonts w:hint="default"/>
                <w:kern w:val="0"/>
                <w:sz w:val="20"/>
              </w:rPr>
            </w:pPr>
            <w:r>
              <w:rPr>
                <w:rFonts w:ascii="宋体" w:hAnsi="宋体"/>
                <w:kern w:val="0"/>
              </w:rPr>
              <w:t>办理材料</w:t>
            </w:r>
          </w:p>
        </w:tc>
        <w:tc>
          <w:tcPr>
            <w:tcW w:w="7412" w:type="dxa"/>
            <w:tcBorders>
              <w:top w:val="single" w:color="000000" w:sz="4" w:space="0"/>
              <w:left w:val="nil"/>
              <w:bottom w:val="single" w:color="000000" w:sz="4" w:space="0"/>
              <w:right w:val="single" w:color="000000" w:sz="4" w:space="0"/>
            </w:tcBorders>
            <w:vAlign w:val="center"/>
          </w:tcPr>
          <w:p>
            <w:pPr>
              <w:widowControl/>
              <w:snapToGrid w:val="0"/>
              <w:jc w:val="left"/>
              <w:rPr>
                <w:rFonts w:hint="eastAsia" w:ascii="宋体" w:hAnsi="宋体"/>
                <w:kern w:val="0"/>
              </w:rPr>
            </w:pPr>
            <w:r>
              <w:rPr>
                <w:rFonts w:hint="eastAsia" w:ascii="宋体" w:hAnsi="宋体"/>
                <w:kern w:val="0"/>
              </w:rPr>
              <w:t>1.书面申请（包括但不限于业务类型、业务规则和流程、汇兑安排、内部管理制度、人员要求及准备情况等），并填写完整的《境内非银行金融机构外汇业务备案表》。</w:t>
            </w:r>
          </w:p>
          <w:p>
            <w:pPr>
              <w:widowControl/>
              <w:snapToGrid w:val="0"/>
              <w:jc w:val="left"/>
              <w:rPr>
                <w:rFonts w:hint="eastAsia" w:ascii="宋体" w:hAnsi="宋体"/>
                <w:kern w:val="0"/>
              </w:rPr>
            </w:pPr>
            <w:r>
              <w:rPr>
                <w:rFonts w:hint="eastAsia" w:ascii="宋体" w:hAnsi="宋体"/>
                <w:kern w:val="0"/>
              </w:rPr>
              <w:t>2.企业法人营业执照（尚未办理“五证合一”的企业，还需提供组织机构代码证）。</w:t>
            </w:r>
          </w:p>
          <w:p>
            <w:pPr>
              <w:widowControl/>
              <w:snapToGrid w:val="0"/>
              <w:jc w:val="left"/>
              <w:rPr>
                <w:rFonts w:hint="eastAsia" w:ascii="宋体" w:hAnsi="宋体"/>
                <w:kern w:val="0"/>
              </w:rPr>
            </w:pPr>
            <w:r>
              <w:rPr>
                <w:rFonts w:hint="eastAsia" w:ascii="宋体" w:hAnsi="宋体"/>
                <w:kern w:val="0"/>
              </w:rPr>
              <w:t>3.监管机构或其授权的行业管理组织许可或同意其开展相关业务的文件、无异议材料或出具的相关资质证明。</w:t>
            </w:r>
          </w:p>
          <w:p>
            <w:pPr>
              <w:widowControl/>
              <w:snapToGrid w:val="0"/>
              <w:jc w:val="left"/>
              <w:rPr>
                <w:rFonts w:hint="eastAsia" w:ascii="宋体" w:hAnsi="宋体"/>
                <w:kern w:val="0"/>
              </w:rPr>
            </w:pPr>
            <w:r>
              <w:rPr>
                <w:rFonts w:hint="eastAsia" w:ascii="宋体" w:hAnsi="宋体"/>
                <w:kern w:val="0"/>
              </w:rPr>
              <w:t>4.最近一年内无重大违规及没有受到监管机构处罚的说明材料。</w:t>
            </w:r>
          </w:p>
          <w:p>
            <w:pPr>
              <w:widowControl/>
              <w:snapToGrid w:val="0"/>
              <w:jc w:val="left"/>
              <w:rPr>
                <w:rFonts w:hint="eastAsia" w:ascii="宋体" w:hAnsi="宋体"/>
                <w:kern w:val="0"/>
              </w:rPr>
            </w:pPr>
            <w:r>
              <w:rPr>
                <w:rFonts w:hint="eastAsia" w:ascii="宋体" w:hAnsi="宋体"/>
                <w:kern w:val="0"/>
              </w:rPr>
              <w:t>5.前述材料内容不一致或不能说明交易真实性时，要求提供的补充材料。</w:t>
            </w:r>
          </w:p>
          <w:p>
            <w:pPr>
              <w:widowControl/>
              <w:snapToGrid w:val="0"/>
              <w:jc w:val="left"/>
              <w:rPr>
                <w:rFonts w:hint="default" w:ascii="宋体" w:hAnsi="宋体"/>
                <w:kern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1" w:hRule="atLeast"/>
          <w:jc w:val="center"/>
        </w:trPr>
        <w:tc>
          <w:tcPr>
            <w:tcW w:w="1093" w:type="dxa"/>
            <w:tcBorders>
              <w:top w:val="single" w:color="000000" w:sz="4" w:space="0"/>
              <w:left w:val="single" w:color="000000" w:sz="4" w:space="0"/>
              <w:bottom w:val="single" w:color="000000" w:sz="4" w:space="0"/>
              <w:right w:val="single" w:color="000000" w:sz="4" w:space="0"/>
            </w:tcBorders>
            <w:vAlign w:val="center"/>
          </w:tcPr>
          <w:p>
            <w:pPr>
              <w:widowControl/>
              <w:snapToGrid w:val="0"/>
              <w:jc w:val="left"/>
              <w:rPr>
                <w:rFonts w:hint="default"/>
                <w:kern w:val="0"/>
                <w:sz w:val="20"/>
              </w:rPr>
            </w:pPr>
            <w:r>
              <w:rPr>
                <w:rFonts w:ascii="宋体" w:hAnsi="宋体"/>
                <w:kern w:val="0"/>
              </w:rPr>
              <w:t>办理地点</w:t>
            </w:r>
          </w:p>
        </w:tc>
        <w:tc>
          <w:tcPr>
            <w:tcW w:w="7412" w:type="dxa"/>
            <w:tcBorders>
              <w:top w:val="single" w:color="000000" w:sz="4" w:space="0"/>
              <w:left w:val="nil"/>
              <w:bottom w:val="single" w:color="000000" w:sz="4" w:space="0"/>
              <w:right w:val="single" w:color="000000" w:sz="4" w:space="0"/>
            </w:tcBorders>
            <w:vAlign w:val="top"/>
          </w:tcPr>
          <w:p>
            <w:pPr>
              <w:widowControl/>
              <w:snapToGrid w:val="0"/>
              <w:jc w:val="left"/>
              <w:rPr>
                <w:rFonts w:hint="default"/>
                <w:kern w:val="0"/>
              </w:rPr>
            </w:pPr>
            <w:r>
              <w:rPr>
                <w:rFonts w:ascii="宋体" w:hAnsi="宋体"/>
                <w:kern w:val="0"/>
              </w:rPr>
              <w:t>国家外汇管理局青海省分局外汇管理处资本科（西宁市昆仑路3号人民银行政务大厅）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jc w:val="center"/>
        </w:trPr>
        <w:tc>
          <w:tcPr>
            <w:tcW w:w="1093" w:type="dxa"/>
            <w:tcBorders>
              <w:top w:val="single" w:color="000000" w:sz="4" w:space="0"/>
              <w:left w:val="single" w:color="000000" w:sz="4" w:space="0"/>
              <w:bottom w:val="single" w:color="000000" w:sz="4" w:space="0"/>
              <w:right w:val="single" w:color="000000" w:sz="4" w:space="0"/>
            </w:tcBorders>
            <w:vAlign w:val="center"/>
          </w:tcPr>
          <w:p>
            <w:pPr>
              <w:widowControl/>
              <w:snapToGrid w:val="0"/>
              <w:jc w:val="left"/>
              <w:rPr>
                <w:rFonts w:hint="default"/>
                <w:kern w:val="0"/>
                <w:sz w:val="20"/>
              </w:rPr>
            </w:pPr>
            <w:r>
              <w:rPr>
                <w:rFonts w:ascii="宋体" w:hAnsi="宋体"/>
                <w:kern w:val="0"/>
              </w:rPr>
              <w:t>办理时间</w:t>
            </w:r>
          </w:p>
          <w:p>
            <w:pPr>
              <w:widowControl/>
              <w:spacing w:line="271" w:lineRule="auto"/>
              <w:jc w:val="center"/>
              <w:rPr>
                <w:rFonts w:hint="default" w:ascii="Times New Roman" w:eastAsia="Times New Roman"/>
                <w:b/>
                <w:kern w:val="0"/>
              </w:rPr>
            </w:pPr>
          </w:p>
        </w:tc>
        <w:tc>
          <w:tcPr>
            <w:tcW w:w="7412" w:type="dxa"/>
            <w:tcBorders>
              <w:top w:val="single" w:color="000000" w:sz="4" w:space="0"/>
              <w:left w:val="nil"/>
              <w:bottom w:val="single" w:color="000000" w:sz="4" w:space="0"/>
              <w:right w:val="single" w:color="000000" w:sz="4" w:space="0"/>
            </w:tcBorders>
            <w:vAlign w:val="top"/>
          </w:tcPr>
          <w:p>
            <w:pPr>
              <w:widowControl/>
              <w:snapToGrid w:val="0"/>
              <w:jc w:val="left"/>
              <w:rPr>
                <w:rFonts w:hint="default"/>
                <w:kern w:val="0"/>
              </w:rPr>
            </w:pPr>
            <w:r>
              <w:rPr>
                <w:rFonts w:ascii="宋体" w:hAnsi="宋体"/>
                <w:kern w:val="0"/>
              </w:rPr>
              <w:t>周一至周五（法定节假日除外）</w:t>
            </w:r>
          </w:p>
          <w:p>
            <w:pPr>
              <w:widowControl/>
              <w:snapToGrid w:val="0"/>
              <w:jc w:val="left"/>
              <w:rPr>
                <w:rFonts w:hint="default"/>
                <w:kern w:val="0"/>
                <w:sz w:val="20"/>
              </w:rPr>
            </w:pPr>
            <w:r>
              <w:rPr>
                <w:rFonts w:ascii="宋体" w:hAnsi="宋体"/>
                <w:kern w:val="0"/>
              </w:rPr>
              <w:t>上午8：30-11：30，下午2：00-5：30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jc w:val="center"/>
        </w:trPr>
        <w:tc>
          <w:tcPr>
            <w:tcW w:w="1093" w:type="dxa"/>
            <w:tcBorders>
              <w:top w:val="single" w:color="000000" w:sz="4" w:space="0"/>
              <w:left w:val="single" w:color="000000" w:sz="4" w:space="0"/>
              <w:bottom w:val="single" w:color="000000" w:sz="4" w:space="0"/>
              <w:right w:val="single" w:color="000000" w:sz="4" w:space="0"/>
            </w:tcBorders>
            <w:vAlign w:val="center"/>
          </w:tcPr>
          <w:p>
            <w:pPr>
              <w:widowControl/>
              <w:snapToGrid w:val="0"/>
              <w:jc w:val="left"/>
              <w:rPr>
                <w:rFonts w:hint="default"/>
                <w:kern w:val="0"/>
                <w:sz w:val="20"/>
              </w:rPr>
            </w:pPr>
            <w:r>
              <w:rPr>
                <w:rFonts w:ascii="宋体" w:hAnsi="宋体"/>
                <w:kern w:val="0"/>
              </w:rPr>
              <w:t>联系电话</w:t>
            </w:r>
          </w:p>
        </w:tc>
        <w:tc>
          <w:tcPr>
            <w:tcW w:w="7412" w:type="dxa"/>
            <w:tcBorders>
              <w:top w:val="single" w:color="000000" w:sz="4" w:space="0"/>
              <w:left w:val="nil"/>
              <w:bottom w:val="single" w:color="000000" w:sz="4" w:space="0"/>
              <w:right w:val="single" w:color="000000" w:sz="4" w:space="0"/>
            </w:tcBorders>
            <w:vAlign w:val="top"/>
          </w:tcPr>
          <w:p>
            <w:pPr>
              <w:widowControl/>
              <w:snapToGrid w:val="0"/>
              <w:jc w:val="left"/>
              <w:rPr>
                <w:rFonts w:hint="default"/>
                <w:kern w:val="0"/>
              </w:rPr>
            </w:pPr>
            <w:r>
              <w:rPr>
                <w:rFonts w:ascii="宋体" w:hAnsi="宋体"/>
                <w:kern w:val="0"/>
              </w:rPr>
              <w:t>0971-6126143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jc w:val="center"/>
        </w:trPr>
        <w:tc>
          <w:tcPr>
            <w:tcW w:w="1093" w:type="dxa"/>
            <w:tcBorders>
              <w:top w:val="single" w:color="000000" w:sz="4" w:space="0"/>
              <w:left w:val="single" w:color="000000" w:sz="4" w:space="0"/>
              <w:bottom w:val="single" w:color="000000" w:sz="4" w:space="0"/>
              <w:right w:val="single" w:color="000000" w:sz="4" w:space="0"/>
            </w:tcBorders>
            <w:vAlign w:val="center"/>
          </w:tcPr>
          <w:p>
            <w:pPr>
              <w:widowControl/>
              <w:snapToGrid w:val="0"/>
              <w:jc w:val="left"/>
              <w:rPr>
                <w:rFonts w:hint="default"/>
                <w:kern w:val="0"/>
                <w:sz w:val="20"/>
              </w:rPr>
            </w:pPr>
            <w:r>
              <w:rPr>
                <w:rFonts w:ascii="宋体" w:hAnsi="宋体"/>
                <w:kern w:val="0"/>
              </w:rPr>
              <w:t>办理流程</w:t>
            </w:r>
          </w:p>
        </w:tc>
        <w:tc>
          <w:tcPr>
            <w:tcW w:w="7412" w:type="dxa"/>
            <w:tcBorders>
              <w:top w:val="single" w:color="000000" w:sz="4" w:space="0"/>
              <w:left w:val="nil"/>
              <w:bottom w:val="single" w:color="000000" w:sz="4" w:space="0"/>
              <w:right w:val="single" w:color="000000" w:sz="4" w:space="0"/>
            </w:tcBorders>
            <w:vAlign w:val="top"/>
          </w:tcPr>
          <w:p>
            <w:pPr>
              <w:widowControl/>
              <w:numPr>
                <w:numId w:val="0"/>
              </w:numPr>
              <w:snapToGrid w:val="0"/>
              <w:jc w:val="left"/>
              <w:rPr>
                <w:rFonts w:hint="eastAsia" w:ascii="宋体" w:hAnsi="宋体"/>
                <w:kern w:val="0"/>
                <w:lang w:val="en-US" w:eastAsia="zh-CN"/>
              </w:rPr>
            </w:pPr>
            <w:r>
              <w:rPr>
                <w:rFonts w:hint="eastAsia" w:ascii="宋体" w:hAnsi="宋体"/>
                <w:kern w:val="0"/>
                <w:lang w:val="en-US" w:eastAsia="zh-CN"/>
              </w:rPr>
              <w:t>1.申请人提出申请；</w:t>
            </w:r>
          </w:p>
          <w:p>
            <w:pPr>
              <w:widowControl/>
              <w:numPr>
                <w:numId w:val="0"/>
              </w:numPr>
              <w:snapToGrid w:val="0"/>
              <w:jc w:val="left"/>
              <w:rPr>
                <w:rFonts w:hint="eastAsia" w:ascii="宋体" w:hAnsi="宋体"/>
                <w:kern w:val="0"/>
                <w:lang w:val="en-US" w:eastAsia="zh-CN"/>
              </w:rPr>
            </w:pPr>
            <w:r>
              <w:rPr>
                <w:rFonts w:hint="eastAsia" w:ascii="宋体" w:hAnsi="宋体"/>
                <w:kern w:val="0"/>
                <w:lang w:val="en-US" w:eastAsia="zh-CN"/>
              </w:rPr>
              <w:t>2.外汇局审核；</w:t>
            </w:r>
          </w:p>
          <w:p>
            <w:pPr>
              <w:widowControl/>
              <w:numPr>
                <w:numId w:val="0"/>
              </w:numPr>
              <w:snapToGrid w:val="0"/>
              <w:jc w:val="left"/>
              <w:rPr>
                <w:rFonts w:hint="eastAsia" w:ascii="宋体" w:hAnsi="宋体"/>
                <w:kern w:val="0"/>
                <w:lang w:val="en-US" w:eastAsia="zh-CN"/>
              </w:rPr>
            </w:pPr>
            <w:r>
              <w:rPr>
                <w:rFonts w:hint="eastAsia" w:ascii="宋体" w:hAnsi="宋体"/>
                <w:kern w:val="0"/>
                <w:lang w:val="en-US" w:eastAsia="zh-CN"/>
              </w:rPr>
              <w:t>3.外汇局开立核准件；</w:t>
            </w:r>
          </w:p>
          <w:p>
            <w:pPr>
              <w:widowControl/>
              <w:numPr>
                <w:numId w:val="0"/>
              </w:numPr>
              <w:snapToGrid w:val="0"/>
              <w:jc w:val="left"/>
              <w:rPr>
                <w:rFonts w:hint="eastAsia" w:ascii="宋体" w:hAnsi="宋体"/>
                <w:kern w:val="0"/>
                <w:lang w:val="en-US" w:eastAsia="zh-CN"/>
              </w:rPr>
            </w:pPr>
            <w:r>
              <w:rPr>
                <w:rFonts w:hint="eastAsia" w:ascii="宋体" w:hAnsi="宋体"/>
                <w:kern w:val="0"/>
                <w:lang w:val="en-US" w:eastAsia="zh-CN"/>
              </w:rPr>
              <w:t>4.申请人按照登记凭证到银行办理后续业务。</w:t>
            </w:r>
          </w:p>
        </w:tc>
      </w:tr>
    </w:tbl>
    <w:p>
      <w:pPr>
        <w:widowControl/>
        <w:snapToGrid w:val="0"/>
        <w:rPr>
          <w:rFonts w:hint="default"/>
          <w:b/>
          <w:kern w:val="0"/>
          <w:sz w:val="28"/>
        </w:rPr>
      </w:pPr>
    </w:p>
    <w:p>
      <w:pPr>
        <w:widowControl/>
        <w:snapToGrid w:val="0"/>
        <w:rPr>
          <w:rFonts w:hint="default"/>
          <w:b/>
          <w:kern w:val="0"/>
          <w:sz w:val="28"/>
        </w:rPr>
      </w:pPr>
    </w:p>
    <w:p>
      <w:pPr>
        <w:widowControl/>
        <w:snapToGrid w:val="0"/>
        <w:rPr>
          <w:rFonts w:hint="default"/>
          <w:b/>
          <w:kern w:val="0"/>
          <w:sz w:val="28"/>
        </w:rPr>
      </w:pPr>
    </w:p>
    <w:p>
      <w:pPr>
        <w:widowControl/>
        <w:snapToGrid w:val="0"/>
        <w:rPr>
          <w:rFonts w:hint="default"/>
          <w:b/>
          <w:kern w:val="0"/>
          <w:sz w:val="28"/>
        </w:rPr>
      </w:pPr>
    </w:p>
    <w:p>
      <w:pPr>
        <w:widowControl/>
        <w:snapToGrid w:val="0"/>
        <w:rPr>
          <w:rFonts w:hint="default"/>
          <w:b/>
          <w:kern w:val="0"/>
          <w:sz w:val="28"/>
        </w:rPr>
      </w:pPr>
    </w:p>
    <w:p>
      <w:pPr>
        <w:widowControl/>
        <w:snapToGrid w:val="0"/>
        <w:rPr>
          <w:rFonts w:hint="default"/>
          <w:b/>
          <w:kern w:val="0"/>
          <w:sz w:val="28"/>
        </w:rPr>
      </w:pPr>
    </w:p>
    <w:p>
      <w:pPr>
        <w:widowControl/>
        <w:snapToGrid w:val="0"/>
        <w:rPr>
          <w:rFonts w:hint="default"/>
          <w:b/>
          <w:kern w:val="0"/>
          <w:sz w:val="28"/>
        </w:rPr>
      </w:pPr>
    </w:p>
    <w:p>
      <w:pPr>
        <w:widowControl/>
        <w:snapToGrid w:val="0"/>
        <w:rPr>
          <w:rFonts w:hint="default"/>
          <w:b/>
          <w:kern w:val="0"/>
          <w:sz w:val="28"/>
        </w:rPr>
      </w:pPr>
    </w:p>
    <w:p>
      <w:pPr>
        <w:widowControl/>
        <w:snapToGrid w:val="0"/>
        <w:rPr>
          <w:rFonts w:hint="default"/>
          <w:b/>
          <w:kern w:val="0"/>
          <w:sz w:val="28"/>
        </w:rPr>
      </w:pPr>
    </w:p>
    <w:p>
      <w:pPr>
        <w:widowControl/>
        <w:snapToGrid w:val="0"/>
        <w:rPr>
          <w:rFonts w:hint="default"/>
          <w:b/>
          <w:kern w:val="0"/>
          <w:sz w:val="28"/>
        </w:rPr>
      </w:pPr>
    </w:p>
    <w:p>
      <w:pPr>
        <w:widowControl/>
        <w:snapToGrid w:val="0"/>
        <w:rPr>
          <w:rFonts w:hint="default"/>
          <w:b/>
          <w:kern w:val="0"/>
          <w:sz w:val="28"/>
        </w:rPr>
      </w:pPr>
    </w:p>
    <w:p>
      <w:pPr>
        <w:widowControl/>
        <w:snapToGrid w:val="0"/>
        <w:rPr>
          <w:rFonts w:hint="default"/>
          <w:b/>
          <w:kern w:val="0"/>
          <w:sz w:val="28"/>
        </w:rPr>
      </w:pPr>
    </w:p>
    <w:p>
      <w:pPr>
        <w:widowControl/>
        <w:snapToGrid w:val="0"/>
        <w:rPr>
          <w:rFonts w:hint="default"/>
          <w:b/>
          <w:kern w:val="0"/>
          <w:sz w:val="28"/>
        </w:rPr>
      </w:pPr>
    </w:p>
    <w:p>
      <w:pPr>
        <w:widowControl/>
        <w:snapToGrid w:val="0"/>
        <w:rPr>
          <w:rFonts w:hint="default"/>
          <w:b/>
          <w:kern w:val="0"/>
          <w:sz w:val="28"/>
        </w:rPr>
      </w:pPr>
    </w:p>
    <w:p>
      <w:pPr>
        <w:widowControl/>
        <w:snapToGrid w:val="0"/>
        <w:rPr>
          <w:rFonts w:hint="default"/>
          <w:b/>
          <w:kern w:val="0"/>
          <w:sz w:val="28"/>
        </w:rPr>
      </w:pPr>
    </w:p>
    <w:p>
      <w:pPr>
        <w:widowControl/>
        <w:snapToGrid w:val="0"/>
        <w:rPr>
          <w:rFonts w:hint="default"/>
          <w:b/>
          <w:kern w:val="0"/>
          <w:sz w:val="28"/>
        </w:rPr>
      </w:pPr>
    </w:p>
    <w:p>
      <w:pPr>
        <w:widowControl/>
        <w:snapToGrid w:val="0"/>
        <w:rPr>
          <w:rFonts w:hint="default"/>
          <w:b/>
          <w:kern w:val="0"/>
          <w:sz w:val="28"/>
        </w:rPr>
      </w:pPr>
    </w:p>
    <w:p>
      <w:pPr>
        <w:widowControl/>
        <w:snapToGrid w:val="0"/>
        <w:rPr>
          <w:rFonts w:hint="default"/>
          <w:b/>
          <w:kern w:val="0"/>
          <w:sz w:val="28"/>
        </w:rPr>
      </w:pPr>
    </w:p>
    <w:p>
      <w:pPr>
        <w:widowControl/>
        <w:snapToGrid w:val="0"/>
        <w:rPr>
          <w:rFonts w:hint="default"/>
          <w:b/>
          <w:kern w:val="0"/>
          <w:sz w:val="28"/>
        </w:rPr>
      </w:pPr>
    </w:p>
    <w:p>
      <w:pPr>
        <w:widowControl/>
        <w:snapToGrid w:val="0"/>
        <w:rPr>
          <w:rFonts w:hint="default"/>
          <w:b/>
          <w:kern w:val="0"/>
          <w:sz w:val="28"/>
        </w:rPr>
      </w:pPr>
    </w:p>
    <w:p>
      <w:pPr>
        <w:widowControl/>
        <w:snapToGrid w:val="0"/>
        <w:rPr>
          <w:rFonts w:hint="default"/>
          <w:b/>
          <w:kern w:val="0"/>
          <w:sz w:val="28"/>
        </w:rPr>
      </w:pPr>
    </w:p>
    <w:p>
      <w:pPr>
        <w:widowControl/>
        <w:snapToGrid w:val="0"/>
        <w:rPr>
          <w:rFonts w:hint="default"/>
          <w:b/>
          <w:kern w:val="0"/>
          <w:sz w:val="28"/>
        </w:rPr>
      </w:pPr>
    </w:p>
    <w:p>
      <w:pPr>
        <w:widowControl/>
        <w:snapToGrid w:val="0"/>
        <w:rPr>
          <w:rFonts w:hint="default"/>
          <w:b/>
          <w:kern w:val="0"/>
          <w:sz w:val="28"/>
        </w:rPr>
      </w:pPr>
    </w:p>
    <w:p>
      <w:pPr>
        <w:widowControl/>
        <w:snapToGrid w:val="0"/>
        <w:rPr>
          <w:rFonts w:hint="default"/>
          <w:b/>
          <w:kern w:val="0"/>
          <w:sz w:val="28"/>
        </w:rPr>
      </w:pPr>
    </w:p>
    <w:p>
      <w:pPr>
        <w:widowControl/>
        <w:snapToGrid w:val="0"/>
        <w:rPr>
          <w:rFonts w:hint="default"/>
          <w:b/>
          <w:kern w:val="0"/>
          <w:sz w:val="28"/>
        </w:rPr>
      </w:pPr>
    </w:p>
    <w:p>
      <w:pPr>
        <w:widowControl/>
        <w:snapToGrid w:val="0"/>
        <w:rPr>
          <w:rFonts w:hint="default"/>
          <w:b/>
          <w:kern w:val="0"/>
          <w:sz w:val="28"/>
        </w:rPr>
      </w:pPr>
    </w:p>
    <w:p>
      <w:pPr>
        <w:widowControl/>
        <w:snapToGrid w:val="0"/>
        <w:rPr>
          <w:rFonts w:hint="default"/>
          <w:b/>
          <w:kern w:val="0"/>
          <w:sz w:val="28"/>
        </w:rPr>
      </w:pPr>
    </w:p>
    <w:p>
      <w:pPr>
        <w:widowControl/>
        <w:snapToGrid w:val="0"/>
        <w:rPr>
          <w:rFonts w:hint="default"/>
          <w:b/>
          <w:kern w:val="0"/>
          <w:sz w:val="28"/>
        </w:rPr>
      </w:pPr>
    </w:p>
    <w:p>
      <w:pPr>
        <w:widowControl/>
        <w:snapToGrid w:val="0"/>
        <w:rPr>
          <w:rFonts w:hint="default"/>
          <w:b/>
          <w:kern w:val="0"/>
          <w:sz w:val="28"/>
        </w:rPr>
      </w:pPr>
    </w:p>
    <w:p>
      <w:pPr>
        <w:widowControl/>
        <w:snapToGrid w:val="0"/>
        <w:rPr>
          <w:rFonts w:hint="default"/>
          <w:b/>
          <w:kern w:val="0"/>
          <w:sz w:val="28"/>
        </w:rPr>
      </w:pPr>
    </w:p>
    <w:p>
      <w:pPr>
        <w:widowControl/>
        <w:snapToGrid w:val="0"/>
        <w:rPr>
          <w:rFonts w:hint="default"/>
          <w:b/>
          <w:kern w:val="0"/>
          <w:sz w:val="28"/>
        </w:rPr>
      </w:pPr>
    </w:p>
    <w:p>
      <w:pPr>
        <w:widowControl/>
        <w:snapToGrid w:val="0"/>
        <w:rPr>
          <w:rFonts w:hint="default"/>
          <w:b/>
          <w:kern w:val="0"/>
          <w:sz w:val="28"/>
        </w:rPr>
      </w:pPr>
    </w:p>
    <w:p>
      <w:pPr>
        <w:widowControl/>
        <w:snapToGrid w:val="0"/>
        <w:rPr>
          <w:rFonts w:hint="default"/>
          <w:b/>
          <w:kern w:val="0"/>
          <w:sz w:val="28"/>
        </w:rPr>
      </w:pPr>
    </w:p>
    <w:p>
      <w:pPr>
        <w:widowControl/>
        <w:snapToGrid w:val="0"/>
        <w:rPr>
          <w:rFonts w:hint="default"/>
          <w:b/>
          <w:kern w:val="0"/>
          <w:sz w:val="28"/>
        </w:rPr>
      </w:pPr>
    </w:p>
    <w:p>
      <w:pPr>
        <w:widowControl/>
        <w:snapToGrid w:val="0"/>
        <w:rPr>
          <w:rFonts w:hint="default"/>
          <w:b/>
          <w:kern w:val="0"/>
          <w:sz w:val="28"/>
        </w:rPr>
      </w:pPr>
    </w:p>
    <w:tbl>
      <w:tblPr>
        <w:tblStyle w:val="16"/>
        <w:tblW w:w="858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093"/>
        <w:gridCol w:w="749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jc w:val="center"/>
        </w:trPr>
        <w:tc>
          <w:tcPr>
            <w:tcW w:w="1093" w:type="dxa"/>
            <w:tcBorders>
              <w:top w:val="single" w:color="000000" w:sz="4" w:space="0"/>
              <w:left w:val="single" w:color="000000" w:sz="4" w:space="0"/>
              <w:bottom w:val="single" w:color="000000" w:sz="4" w:space="0"/>
              <w:right w:val="single" w:color="000000" w:sz="4" w:space="0"/>
            </w:tcBorders>
            <w:vAlign w:val="center"/>
          </w:tcPr>
          <w:p>
            <w:pPr>
              <w:widowControl/>
              <w:snapToGrid w:val="0"/>
              <w:jc w:val="left"/>
              <w:rPr>
                <w:rFonts w:hint="default"/>
                <w:kern w:val="0"/>
                <w:sz w:val="20"/>
              </w:rPr>
            </w:pPr>
            <w:r>
              <w:rPr>
                <w:rFonts w:ascii="宋体" w:hAnsi="宋体"/>
                <w:kern w:val="0"/>
              </w:rPr>
              <w:t>业务名称</w:t>
            </w:r>
          </w:p>
        </w:tc>
        <w:tc>
          <w:tcPr>
            <w:tcW w:w="7492" w:type="dxa"/>
            <w:tcBorders>
              <w:top w:val="single" w:color="000000" w:sz="4" w:space="0"/>
              <w:left w:val="nil"/>
              <w:bottom w:val="single" w:color="000000" w:sz="4" w:space="0"/>
              <w:right w:val="single" w:color="000000" w:sz="4" w:space="0"/>
            </w:tcBorders>
            <w:vAlign w:val="center"/>
          </w:tcPr>
          <w:p>
            <w:pPr>
              <w:widowControl/>
              <w:snapToGrid w:val="0"/>
              <w:jc w:val="left"/>
              <w:rPr>
                <w:rFonts w:hint="default" w:ascii="宋体" w:hAnsi="宋体"/>
                <w:b/>
                <w:bCs/>
                <w:kern w:val="0"/>
                <w:lang w:val="en-US" w:eastAsia="zh-CN"/>
              </w:rPr>
            </w:pPr>
            <w:r>
              <w:rPr>
                <w:rFonts w:ascii="宋体" w:hAnsi="宋体"/>
                <w:b/>
                <w:bCs/>
                <w:kern w:val="0"/>
              </w:rPr>
              <w:t>（</w:t>
            </w:r>
            <w:r>
              <w:rPr>
                <w:rFonts w:hint="eastAsia" w:ascii="宋体" w:hAnsi="宋体"/>
                <w:b/>
                <w:bCs/>
                <w:kern w:val="0"/>
                <w:lang w:val="en-US" w:eastAsia="zh-CN"/>
              </w:rPr>
              <w:t>二十六</w:t>
            </w:r>
            <w:r>
              <w:rPr>
                <w:rFonts w:hint="default" w:ascii="宋体" w:hAnsi="宋体"/>
                <w:b/>
                <w:bCs/>
                <w:kern w:val="0"/>
                <w:lang w:val="en-US" w:eastAsia="zh-CN"/>
              </w:rPr>
              <w:t>）</w:t>
            </w:r>
            <w:r>
              <w:rPr>
                <w:rFonts w:hint="eastAsia" w:ascii="宋体" w:hAnsi="宋体"/>
                <w:b/>
                <w:bCs/>
                <w:kern w:val="0"/>
                <w:lang w:val="en-US" w:eastAsia="zh-CN"/>
              </w:rPr>
              <w:t>境内个人参与境外上市公司股权激励计划外汇登记及变更、注销登记</w:t>
            </w:r>
          </w:p>
          <w:p>
            <w:pPr>
              <w:widowControl/>
              <w:snapToGrid w:val="0"/>
              <w:jc w:val="left"/>
              <w:rPr>
                <w:rFonts w:hint="default"/>
                <w:b/>
                <w:kern w:val="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jc w:val="center"/>
        </w:trPr>
        <w:tc>
          <w:tcPr>
            <w:tcW w:w="1093" w:type="dxa"/>
            <w:tcBorders>
              <w:top w:val="single" w:color="000000" w:sz="4" w:space="0"/>
              <w:left w:val="single" w:color="000000" w:sz="4" w:space="0"/>
              <w:bottom w:val="single" w:color="000000" w:sz="4" w:space="0"/>
              <w:right w:val="single" w:color="000000" w:sz="4" w:space="0"/>
            </w:tcBorders>
            <w:vAlign w:val="center"/>
          </w:tcPr>
          <w:p>
            <w:pPr>
              <w:widowControl/>
              <w:snapToGrid w:val="0"/>
              <w:jc w:val="left"/>
              <w:rPr>
                <w:rFonts w:hint="default"/>
                <w:kern w:val="0"/>
                <w:sz w:val="20"/>
              </w:rPr>
            </w:pPr>
            <w:r>
              <w:rPr>
                <w:rFonts w:ascii="宋体" w:hAnsi="宋体"/>
                <w:kern w:val="0"/>
              </w:rPr>
              <w:t>设定依据</w:t>
            </w:r>
          </w:p>
          <w:p>
            <w:pPr>
              <w:widowControl/>
              <w:spacing w:line="271" w:lineRule="auto"/>
              <w:jc w:val="center"/>
              <w:rPr>
                <w:rFonts w:hint="default" w:ascii="Times New Roman" w:eastAsia="Times New Roman"/>
                <w:b/>
                <w:kern w:val="0"/>
              </w:rPr>
            </w:pPr>
          </w:p>
        </w:tc>
        <w:tc>
          <w:tcPr>
            <w:tcW w:w="7492" w:type="dxa"/>
            <w:tcBorders>
              <w:top w:val="single" w:color="000000" w:sz="4" w:space="0"/>
              <w:left w:val="nil"/>
              <w:bottom w:val="single" w:color="000000" w:sz="4" w:space="0"/>
              <w:right w:val="single" w:color="000000" w:sz="4" w:space="0"/>
            </w:tcBorders>
            <w:vAlign w:val="center"/>
          </w:tcPr>
          <w:p>
            <w:pPr>
              <w:widowControl/>
              <w:snapToGrid w:val="0"/>
              <w:jc w:val="left"/>
              <w:rPr>
                <w:rFonts w:hint="eastAsia" w:ascii="宋体" w:hAnsi="宋体"/>
                <w:kern w:val="0"/>
              </w:rPr>
            </w:pPr>
            <w:r>
              <w:rPr>
                <w:rFonts w:hint="eastAsia" w:ascii="宋体" w:hAnsi="宋体"/>
                <w:kern w:val="0"/>
              </w:rPr>
              <w:t>1.《中华人民共和国外汇管理条例》（国务院令第532号）。</w:t>
            </w:r>
          </w:p>
          <w:p>
            <w:pPr>
              <w:widowControl/>
              <w:snapToGrid w:val="0"/>
              <w:jc w:val="left"/>
              <w:rPr>
                <w:rFonts w:hint="eastAsia" w:ascii="宋体" w:hAnsi="宋体"/>
                <w:kern w:val="0"/>
              </w:rPr>
            </w:pPr>
            <w:r>
              <w:rPr>
                <w:rFonts w:hint="eastAsia" w:ascii="宋体" w:hAnsi="宋体"/>
                <w:kern w:val="0"/>
              </w:rPr>
              <w:t>2.《个人外汇管理办法》（中国人民银行令2006年第3号）。</w:t>
            </w:r>
          </w:p>
          <w:p>
            <w:pPr>
              <w:widowControl/>
              <w:snapToGrid w:val="0"/>
              <w:jc w:val="left"/>
              <w:rPr>
                <w:rFonts w:hint="eastAsia" w:ascii="宋体" w:hAnsi="宋体"/>
                <w:kern w:val="0"/>
              </w:rPr>
            </w:pPr>
            <w:r>
              <w:rPr>
                <w:rFonts w:hint="eastAsia" w:ascii="宋体" w:hAnsi="宋体"/>
                <w:kern w:val="0"/>
              </w:rPr>
              <w:t>3.《国家外汇管理局关于印发〈个人外汇管理办法实施细则〉的通知》（汇发〔2007〕1号）。</w:t>
            </w:r>
          </w:p>
          <w:p>
            <w:pPr>
              <w:widowControl/>
              <w:snapToGrid w:val="0"/>
              <w:jc w:val="left"/>
              <w:rPr>
                <w:rFonts w:hint="eastAsia" w:ascii="宋体" w:hAnsi="宋体"/>
                <w:kern w:val="0"/>
              </w:rPr>
            </w:pPr>
            <w:r>
              <w:rPr>
                <w:rFonts w:hint="eastAsia" w:ascii="宋体" w:hAnsi="宋体"/>
                <w:kern w:val="0"/>
              </w:rPr>
              <w:t>4.《国家外汇管理局关于境内个人参与境外上市公司股权激励计划外汇管理有关问题的通知》（汇发〔2012〕7号）。</w:t>
            </w:r>
          </w:p>
          <w:p>
            <w:pPr>
              <w:widowControl/>
              <w:snapToGrid w:val="0"/>
              <w:jc w:val="left"/>
              <w:rPr>
                <w:rFonts w:hint="eastAsia" w:ascii="宋体" w:hAnsi="宋体"/>
                <w:kern w:val="0"/>
              </w:rPr>
            </w:pPr>
            <w:r>
              <w:rPr>
                <w:rFonts w:hint="eastAsia" w:ascii="宋体" w:hAnsi="宋体"/>
                <w:kern w:val="0"/>
              </w:rPr>
              <w:t>5.《国家外汇管理局关于美国银行有限公司中国区分行为境内个人参与境外上市公司股权激励计划境内代理机构开立结汇待支付专用账户的批复》（汇复〔2017〕1号）。</w:t>
            </w:r>
          </w:p>
          <w:p>
            <w:pPr>
              <w:widowControl/>
              <w:snapToGrid w:val="0"/>
              <w:jc w:val="left"/>
              <w:rPr>
                <w:rFonts w:hint="default"/>
                <w:kern w:val="0"/>
                <w:sz w:val="20"/>
              </w:rPr>
            </w:pPr>
            <w:r>
              <w:rPr>
                <w:rFonts w:hint="eastAsia" w:ascii="宋体" w:hAnsi="宋体"/>
                <w:kern w:val="0"/>
              </w:rPr>
              <w:t>6.其他相关法规。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jc w:val="center"/>
        </w:trPr>
        <w:tc>
          <w:tcPr>
            <w:tcW w:w="1093"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rFonts w:ascii="宋体" w:hAnsi="宋体"/>
                <w:kern w:val="0"/>
              </w:rPr>
            </w:pPr>
            <w:r>
              <w:rPr>
                <w:rFonts w:ascii="宋体" w:hAnsi="宋体"/>
                <w:kern w:val="0"/>
              </w:rPr>
              <w:t>申请条件</w:t>
            </w:r>
          </w:p>
          <w:p>
            <w:pPr>
              <w:widowControl/>
              <w:snapToGrid w:val="0"/>
              <w:jc w:val="center"/>
              <w:rPr>
                <w:rFonts w:hint="eastAsia" w:ascii="宋体" w:hAnsi="宋体"/>
                <w:kern w:val="0"/>
                <w:lang w:val="en-US" w:eastAsia="zh-CN"/>
              </w:rPr>
            </w:pPr>
            <w:r>
              <w:rPr>
                <w:rFonts w:hint="eastAsia" w:ascii="宋体" w:hAnsi="宋体"/>
                <w:kern w:val="0"/>
                <w:lang w:val="en-US" w:eastAsia="zh-CN"/>
              </w:rPr>
              <w:t>及</w:t>
            </w:r>
          </w:p>
          <w:p>
            <w:pPr>
              <w:widowControl/>
              <w:snapToGrid w:val="0"/>
              <w:jc w:val="center"/>
              <w:rPr>
                <w:rFonts w:hint="eastAsia" w:ascii="宋体" w:hAnsi="宋体"/>
                <w:kern w:val="0"/>
                <w:lang w:val="en-US" w:eastAsia="zh-CN"/>
              </w:rPr>
            </w:pPr>
            <w:r>
              <w:rPr>
                <w:rFonts w:hint="eastAsia" w:ascii="宋体" w:hAnsi="宋体"/>
                <w:kern w:val="0"/>
                <w:lang w:val="en-US" w:eastAsia="zh-CN"/>
              </w:rPr>
              <w:t>注意事项</w:t>
            </w:r>
          </w:p>
        </w:tc>
        <w:tc>
          <w:tcPr>
            <w:tcW w:w="7492" w:type="dxa"/>
            <w:tcBorders>
              <w:top w:val="single" w:color="000000" w:sz="4" w:space="0"/>
              <w:left w:val="nil"/>
              <w:bottom w:val="single" w:color="000000" w:sz="4" w:space="0"/>
              <w:right w:val="single" w:color="000000" w:sz="4" w:space="0"/>
            </w:tcBorders>
            <w:vAlign w:val="center"/>
          </w:tcPr>
          <w:p>
            <w:pPr>
              <w:widowControl/>
              <w:snapToGrid w:val="0"/>
              <w:jc w:val="left"/>
              <w:rPr>
                <w:rFonts w:hint="eastAsia" w:ascii="宋体" w:hAnsi="宋体"/>
                <w:kern w:val="0"/>
              </w:rPr>
            </w:pPr>
            <w:r>
              <w:rPr>
                <w:rFonts w:hint="eastAsia" w:ascii="宋体" w:hAnsi="宋体"/>
                <w:kern w:val="0"/>
              </w:rPr>
              <w:t>1.参与人员以其个人外汇储蓄账户中自有外汇或人民币等境内合法资金参与股权激励计划，不得以境外资金参与。</w:t>
            </w:r>
          </w:p>
          <w:p>
            <w:pPr>
              <w:widowControl/>
              <w:snapToGrid w:val="0"/>
              <w:jc w:val="left"/>
              <w:rPr>
                <w:rFonts w:hint="eastAsia" w:ascii="宋体" w:hAnsi="宋体"/>
                <w:kern w:val="0"/>
              </w:rPr>
            </w:pPr>
            <w:r>
              <w:rPr>
                <w:rFonts w:hint="eastAsia" w:ascii="宋体" w:hAnsi="宋体"/>
                <w:kern w:val="0"/>
              </w:rPr>
              <w:t>2.境内代理机构应按要求准确、完整地填写《境内个人参与境外上市公司股权激励计划外汇登记表》。</w:t>
            </w:r>
          </w:p>
          <w:p>
            <w:pPr>
              <w:widowControl/>
              <w:snapToGrid w:val="0"/>
              <w:jc w:val="left"/>
              <w:rPr>
                <w:rFonts w:hint="eastAsia" w:ascii="宋体" w:hAnsi="宋体"/>
                <w:kern w:val="0"/>
              </w:rPr>
            </w:pPr>
            <w:r>
              <w:rPr>
                <w:rFonts w:hint="eastAsia" w:ascii="宋体" w:hAnsi="宋体"/>
                <w:kern w:val="0"/>
              </w:rPr>
              <w:t>3.推出股权激励计划的境外公司应是境外上市公司。</w:t>
            </w:r>
          </w:p>
          <w:p>
            <w:pPr>
              <w:widowControl/>
              <w:snapToGrid w:val="0"/>
              <w:jc w:val="left"/>
              <w:rPr>
                <w:rFonts w:hint="default"/>
                <w:kern w:val="0"/>
                <w:sz w:val="20"/>
              </w:rPr>
            </w:pPr>
            <w:r>
              <w:rPr>
                <w:rFonts w:hint="eastAsia" w:ascii="宋体" w:hAnsi="宋体"/>
                <w:kern w:val="0"/>
              </w:rPr>
              <w:t>4.因股权激励计划终止需注销登记的，导致股权激励计划终止的事项应符合真实性原则。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jc w:val="center"/>
        </w:trPr>
        <w:tc>
          <w:tcPr>
            <w:tcW w:w="1093" w:type="dxa"/>
            <w:tcBorders>
              <w:top w:val="single" w:color="000000" w:sz="4" w:space="0"/>
              <w:left w:val="single" w:color="000000" w:sz="4" w:space="0"/>
              <w:bottom w:val="single" w:color="000000" w:sz="4" w:space="0"/>
              <w:right w:val="single" w:color="000000" w:sz="4" w:space="0"/>
            </w:tcBorders>
            <w:vAlign w:val="center"/>
          </w:tcPr>
          <w:p>
            <w:pPr>
              <w:widowControl/>
              <w:snapToGrid w:val="0"/>
              <w:jc w:val="left"/>
              <w:rPr>
                <w:rFonts w:hint="default"/>
                <w:kern w:val="0"/>
                <w:sz w:val="20"/>
              </w:rPr>
            </w:pPr>
            <w:r>
              <w:rPr>
                <w:rFonts w:ascii="宋体" w:hAnsi="宋体"/>
                <w:kern w:val="0"/>
              </w:rPr>
              <w:t>办理材料</w:t>
            </w:r>
          </w:p>
        </w:tc>
        <w:tc>
          <w:tcPr>
            <w:tcW w:w="7492" w:type="dxa"/>
            <w:tcBorders>
              <w:top w:val="single" w:color="000000" w:sz="4" w:space="0"/>
              <w:left w:val="nil"/>
              <w:bottom w:val="single" w:color="000000" w:sz="4" w:space="0"/>
              <w:right w:val="single" w:color="000000" w:sz="4" w:space="0"/>
            </w:tcBorders>
            <w:vAlign w:val="center"/>
          </w:tcPr>
          <w:p>
            <w:pPr>
              <w:widowControl/>
              <w:snapToGrid w:val="0"/>
              <w:jc w:val="left"/>
              <w:rPr>
                <w:rFonts w:ascii="宋体" w:hAnsi="宋体"/>
                <w:kern w:val="0"/>
              </w:rPr>
            </w:pPr>
            <w:r>
              <w:rPr>
                <w:rFonts w:hint="eastAsia" w:ascii="宋体" w:hAnsi="宋体"/>
                <w:kern w:val="0"/>
              </w:rPr>
              <w:t>一、登记</w:t>
            </w:r>
          </w:p>
          <w:p>
            <w:pPr>
              <w:widowControl/>
              <w:snapToGrid w:val="0"/>
              <w:jc w:val="left"/>
              <w:rPr>
                <w:rFonts w:ascii="宋体" w:hAnsi="宋体"/>
                <w:kern w:val="0"/>
              </w:rPr>
            </w:pPr>
            <w:r>
              <w:rPr>
                <w:rFonts w:hint="eastAsia" w:ascii="宋体" w:hAnsi="宋体"/>
                <w:kern w:val="0"/>
              </w:rPr>
              <w:t>1.书面申请（如涉及额度的，首次申请：年度付汇额度的具体币种、数额以及额度的计算依据，再次申请：除首次申请所需内容外，增加上年度付汇额度使用情况以及股权激励计划开展情况），并附《境内个人参与境外上市公司股权激励计划外汇登记表》。</w:t>
            </w:r>
          </w:p>
          <w:p>
            <w:pPr>
              <w:widowControl/>
              <w:snapToGrid w:val="0"/>
              <w:jc w:val="left"/>
              <w:rPr>
                <w:rFonts w:ascii="宋体" w:hAnsi="宋体"/>
                <w:kern w:val="0"/>
              </w:rPr>
            </w:pPr>
            <w:r>
              <w:rPr>
                <w:rFonts w:hint="eastAsia" w:ascii="宋体" w:hAnsi="宋体"/>
                <w:kern w:val="0"/>
              </w:rPr>
              <w:t>2.境外上市公司相关公告等能够证明股权激励计划真实性的材料（涉及国有企业等需经主管部门批准的，另需出具有关主管部门的认可文件）。</w:t>
            </w:r>
          </w:p>
          <w:p>
            <w:pPr>
              <w:widowControl/>
              <w:snapToGrid w:val="0"/>
              <w:jc w:val="left"/>
              <w:rPr>
                <w:rFonts w:ascii="宋体" w:hAnsi="宋体"/>
                <w:kern w:val="0"/>
              </w:rPr>
            </w:pPr>
            <w:r>
              <w:rPr>
                <w:rFonts w:hint="eastAsia" w:ascii="宋体" w:hAnsi="宋体"/>
                <w:kern w:val="0"/>
              </w:rPr>
              <w:t>3.境内公司授权境内代理机构统一办理个人参与股权激励计划的授权书或协议。</w:t>
            </w:r>
          </w:p>
          <w:p>
            <w:pPr>
              <w:widowControl/>
              <w:snapToGrid w:val="0"/>
              <w:jc w:val="left"/>
              <w:rPr>
                <w:rFonts w:ascii="宋体" w:hAnsi="宋体"/>
                <w:kern w:val="0"/>
              </w:rPr>
            </w:pPr>
            <w:r>
              <w:rPr>
                <w:rFonts w:hint="eastAsia" w:ascii="宋体" w:hAnsi="宋体"/>
                <w:kern w:val="0"/>
              </w:rPr>
              <w:t>4.境内公司出具的个人与其雇佣或劳务关系属实的承诺函（附个人名单、身份证件号码、所涉及股权激励类型等）。</w:t>
            </w:r>
          </w:p>
          <w:p>
            <w:pPr>
              <w:widowControl/>
              <w:snapToGrid w:val="0"/>
              <w:jc w:val="left"/>
              <w:rPr>
                <w:rFonts w:ascii="宋体" w:hAnsi="宋体"/>
                <w:kern w:val="0"/>
              </w:rPr>
            </w:pPr>
            <w:r>
              <w:rPr>
                <w:rFonts w:hint="eastAsia" w:ascii="宋体" w:hAnsi="宋体"/>
                <w:kern w:val="0"/>
              </w:rPr>
              <w:t>5.参与公司（含境内代理机构）营业执照（尚未办理“五证合一”的企业，还需提供组织机构代码证）等相关材料。</w:t>
            </w:r>
          </w:p>
          <w:p>
            <w:pPr>
              <w:widowControl/>
              <w:snapToGrid w:val="0"/>
              <w:jc w:val="left"/>
              <w:rPr>
                <w:rFonts w:ascii="宋体" w:hAnsi="宋体"/>
                <w:kern w:val="0"/>
              </w:rPr>
            </w:pPr>
            <w:r>
              <w:rPr>
                <w:rFonts w:hint="eastAsia" w:ascii="宋体" w:hAnsi="宋体"/>
                <w:kern w:val="0"/>
              </w:rPr>
              <w:t>6.前述材料内容不一致或不能说明交易真实性时，要求提供的补充材料。</w:t>
            </w:r>
          </w:p>
          <w:p>
            <w:pPr>
              <w:widowControl/>
              <w:snapToGrid w:val="0"/>
              <w:jc w:val="left"/>
              <w:rPr>
                <w:rFonts w:ascii="宋体" w:hAnsi="宋体"/>
                <w:kern w:val="0"/>
              </w:rPr>
            </w:pPr>
            <w:r>
              <w:rPr>
                <w:rFonts w:hint="eastAsia" w:ascii="宋体" w:hAnsi="宋体"/>
                <w:kern w:val="0"/>
              </w:rPr>
              <w:t>二、变更登记</w:t>
            </w:r>
          </w:p>
          <w:p>
            <w:pPr>
              <w:widowControl/>
              <w:snapToGrid w:val="0"/>
              <w:jc w:val="left"/>
              <w:rPr>
                <w:rFonts w:ascii="宋体" w:hAnsi="宋体"/>
                <w:kern w:val="0"/>
              </w:rPr>
            </w:pPr>
            <w:r>
              <w:rPr>
                <w:rFonts w:hint="eastAsia" w:ascii="宋体" w:hAnsi="宋体"/>
                <w:kern w:val="0"/>
              </w:rPr>
              <w:t>1.书面申请。</w:t>
            </w:r>
          </w:p>
          <w:p>
            <w:pPr>
              <w:widowControl/>
              <w:snapToGrid w:val="0"/>
              <w:jc w:val="left"/>
              <w:rPr>
                <w:rFonts w:ascii="宋体" w:hAnsi="宋体"/>
                <w:kern w:val="0"/>
              </w:rPr>
            </w:pPr>
            <w:r>
              <w:rPr>
                <w:rFonts w:hint="eastAsia" w:ascii="宋体" w:hAnsi="宋体"/>
                <w:kern w:val="0"/>
              </w:rPr>
              <w:t>2.原《业务登记凭证》。</w:t>
            </w:r>
          </w:p>
          <w:p>
            <w:pPr>
              <w:widowControl/>
              <w:snapToGrid w:val="0"/>
              <w:jc w:val="left"/>
              <w:rPr>
                <w:rFonts w:ascii="宋体" w:hAnsi="宋体"/>
                <w:kern w:val="0"/>
              </w:rPr>
            </w:pPr>
            <w:r>
              <w:rPr>
                <w:rFonts w:hint="eastAsia" w:ascii="宋体" w:hAnsi="宋体"/>
                <w:kern w:val="0"/>
              </w:rPr>
              <w:t>3.最新填写的《境内个人参与境外上市公司股权激励计划外汇登记表》。</w:t>
            </w:r>
          </w:p>
          <w:p>
            <w:pPr>
              <w:widowControl/>
              <w:snapToGrid w:val="0"/>
              <w:jc w:val="left"/>
              <w:rPr>
                <w:rFonts w:ascii="宋体" w:hAnsi="宋体"/>
                <w:kern w:val="0"/>
              </w:rPr>
            </w:pPr>
            <w:r>
              <w:rPr>
                <w:rFonts w:hint="eastAsia" w:ascii="宋体" w:hAnsi="宋体"/>
                <w:kern w:val="0"/>
              </w:rPr>
              <w:t>4.变更事项相关真实性证明材料。</w:t>
            </w:r>
          </w:p>
          <w:p>
            <w:pPr>
              <w:widowControl/>
              <w:snapToGrid w:val="0"/>
              <w:jc w:val="left"/>
              <w:rPr>
                <w:rFonts w:ascii="宋体" w:hAnsi="宋体"/>
                <w:kern w:val="0"/>
              </w:rPr>
            </w:pPr>
            <w:r>
              <w:rPr>
                <w:rFonts w:hint="eastAsia" w:ascii="宋体" w:hAnsi="宋体"/>
                <w:kern w:val="0"/>
              </w:rPr>
              <w:t>5.前述材料内容不一致或不能说明交易真实性时，要求提供的补充材料。</w:t>
            </w:r>
          </w:p>
          <w:p>
            <w:pPr>
              <w:widowControl/>
              <w:snapToGrid w:val="0"/>
              <w:jc w:val="left"/>
              <w:rPr>
                <w:rFonts w:ascii="宋体" w:hAnsi="宋体"/>
                <w:kern w:val="0"/>
              </w:rPr>
            </w:pPr>
            <w:r>
              <w:rPr>
                <w:rFonts w:hint="eastAsia" w:ascii="宋体" w:hAnsi="宋体"/>
                <w:kern w:val="0"/>
              </w:rPr>
              <w:t>三、注销登记</w:t>
            </w:r>
          </w:p>
          <w:p>
            <w:pPr>
              <w:widowControl/>
              <w:snapToGrid w:val="0"/>
              <w:jc w:val="left"/>
              <w:rPr>
                <w:rFonts w:hint="eastAsia" w:ascii="宋体" w:hAnsi="宋体"/>
                <w:kern w:val="0"/>
              </w:rPr>
            </w:pPr>
            <w:r>
              <w:rPr>
                <w:rFonts w:hint="eastAsia" w:ascii="宋体" w:hAnsi="宋体"/>
                <w:kern w:val="0"/>
              </w:rPr>
              <w:t>1.书面申请（注明股权激励计划终止的原因）。</w:t>
            </w:r>
          </w:p>
          <w:p>
            <w:pPr>
              <w:widowControl/>
              <w:snapToGrid w:val="0"/>
              <w:jc w:val="left"/>
              <w:rPr>
                <w:rFonts w:hint="eastAsia" w:ascii="宋体" w:hAnsi="宋体"/>
                <w:kern w:val="0"/>
              </w:rPr>
            </w:pPr>
            <w:r>
              <w:rPr>
                <w:rFonts w:hint="eastAsia" w:ascii="宋体" w:hAnsi="宋体"/>
                <w:kern w:val="0"/>
              </w:rPr>
              <w:t>2.原《业务登记凭证》。</w:t>
            </w:r>
          </w:p>
          <w:p>
            <w:pPr>
              <w:widowControl/>
              <w:snapToGrid w:val="0"/>
              <w:jc w:val="left"/>
              <w:rPr>
                <w:rFonts w:hint="eastAsia" w:ascii="宋体" w:hAnsi="宋体"/>
                <w:kern w:val="0"/>
              </w:rPr>
            </w:pPr>
            <w:r>
              <w:rPr>
                <w:rFonts w:hint="eastAsia" w:ascii="宋体" w:hAnsi="宋体"/>
                <w:kern w:val="0"/>
              </w:rPr>
              <w:t>3.与股权激励计划终止相关的真实性证明材料。</w:t>
            </w:r>
          </w:p>
          <w:p>
            <w:pPr>
              <w:widowControl/>
              <w:snapToGrid w:val="0"/>
              <w:jc w:val="left"/>
              <w:rPr>
                <w:rFonts w:hint="default"/>
                <w:kern w:val="0"/>
                <w:sz w:val="20"/>
              </w:rPr>
            </w:pPr>
            <w:r>
              <w:rPr>
                <w:rFonts w:hint="eastAsia" w:ascii="宋体" w:hAnsi="宋体"/>
                <w:kern w:val="0"/>
              </w:rPr>
              <w:t>4.前述材料内容不一致或不能说明交易真实性时，要求提供的补充材料。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1" w:hRule="atLeast"/>
          <w:jc w:val="center"/>
        </w:trPr>
        <w:tc>
          <w:tcPr>
            <w:tcW w:w="1093" w:type="dxa"/>
            <w:tcBorders>
              <w:top w:val="single" w:color="000000" w:sz="4" w:space="0"/>
              <w:left w:val="single" w:color="000000" w:sz="4" w:space="0"/>
              <w:bottom w:val="single" w:color="000000" w:sz="4" w:space="0"/>
              <w:right w:val="single" w:color="000000" w:sz="4" w:space="0"/>
            </w:tcBorders>
            <w:vAlign w:val="center"/>
          </w:tcPr>
          <w:p>
            <w:pPr>
              <w:widowControl/>
              <w:snapToGrid w:val="0"/>
              <w:jc w:val="left"/>
              <w:rPr>
                <w:rFonts w:hint="default"/>
                <w:kern w:val="0"/>
                <w:sz w:val="20"/>
              </w:rPr>
            </w:pPr>
            <w:r>
              <w:rPr>
                <w:rFonts w:ascii="宋体" w:hAnsi="宋体"/>
                <w:kern w:val="0"/>
              </w:rPr>
              <w:t>办理地点</w:t>
            </w:r>
          </w:p>
        </w:tc>
        <w:tc>
          <w:tcPr>
            <w:tcW w:w="7492" w:type="dxa"/>
            <w:tcBorders>
              <w:top w:val="single" w:color="000000" w:sz="4" w:space="0"/>
              <w:left w:val="nil"/>
              <w:bottom w:val="single" w:color="000000" w:sz="4" w:space="0"/>
              <w:right w:val="single" w:color="000000" w:sz="4" w:space="0"/>
            </w:tcBorders>
            <w:vAlign w:val="top"/>
          </w:tcPr>
          <w:p>
            <w:pPr>
              <w:widowControl/>
              <w:snapToGrid w:val="0"/>
              <w:jc w:val="left"/>
              <w:rPr>
                <w:rFonts w:hint="default"/>
                <w:kern w:val="0"/>
              </w:rPr>
            </w:pPr>
            <w:r>
              <w:rPr>
                <w:rFonts w:ascii="宋体" w:hAnsi="宋体"/>
                <w:kern w:val="0"/>
              </w:rPr>
              <w:t>国家外汇管理局青海省分局外汇管理处资本科（西宁市昆仑路3号人民银行政务大厅）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jc w:val="center"/>
        </w:trPr>
        <w:tc>
          <w:tcPr>
            <w:tcW w:w="1093" w:type="dxa"/>
            <w:tcBorders>
              <w:top w:val="single" w:color="000000" w:sz="4" w:space="0"/>
              <w:left w:val="single" w:color="000000" w:sz="4" w:space="0"/>
              <w:bottom w:val="single" w:color="000000" w:sz="4" w:space="0"/>
              <w:right w:val="single" w:color="000000" w:sz="4" w:space="0"/>
            </w:tcBorders>
            <w:vAlign w:val="center"/>
          </w:tcPr>
          <w:p>
            <w:pPr>
              <w:widowControl/>
              <w:snapToGrid w:val="0"/>
              <w:jc w:val="left"/>
              <w:rPr>
                <w:rFonts w:hint="default"/>
                <w:kern w:val="0"/>
                <w:sz w:val="20"/>
              </w:rPr>
            </w:pPr>
            <w:r>
              <w:rPr>
                <w:rFonts w:ascii="宋体" w:hAnsi="宋体"/>
                <w:kern w:val="0"/>
              </w:rPr>
              <w:t>办理时间</w:t>
            </w:r>
          </w:p>
          <w:p>
            <w:pPr>
              <w:widowControl/>
              <w:spacing w:line="271" w:lineRule="auto"/>
              <w:jc w:val="center"/>
              <w:rPr>
                <w:rFonts w:hint="default" w:ascii="Times New Roman" w:eastAsia="Times New Roman"/>
                <w:b/>
                <w:kern w:val="0"/>
              </w:rPr>
            </w:pPr>
          </w:p>
        </w:tc>
        <w:tc>
          <w:tcPr>
            <w:tcW w:w="7492" w:type="dxa"/>
            <w:tcBorders>
              <w:top w:val="single" w:color="000000" w:sz="4" w:space="0"/>
              <w:left w:val="nil"/>
              <w:bottom w:val="single" w:color="000000" w:sz="4" w:space="0"/>
              <w:right w:val="single" w:color="000000" w:sz="4" w:space="0"/>
            </w:tcBorders>
            <w:vAlign w:val="top"/>
          </w:tcPr>
          <w:p>
            <w:pPr>
              <w:widowControl/>
              <w:snapToGrid w:val="0"/>
              <w:jc w:val="left"/>
              <w:rPr>
                <w:rFonts w:hint="default"/>
                <w:kern w:val="0"/>
              </w:rPr>
            </w:pPr>
            <w:r>
              <w:rPr>
                <w:rFonts w:ascii="宋体" w:hAnsi="宋体"/>
                <w:kern w:val="0"/>
              </w:rPr>
              <w:t>周一至周五（法定节假日除外）</w:t>
            </w:r>
          </w:p>
          <w:p>
            <w:pPr>
              <w:widowControl/>
              <w:snapToGrid w:val="0"/>
              <w:jc w:val="left"/>
              <w:rPr>
                <w:rFonts w:hint="default"/>
                <w:kern w:val="0"/>
                <w:sz w:val="20"/>
              </w:rPr>
            </w:pPr>
            <w:r>
              <w:rPr>
                <w:rFonts w:ascii="宋体" w:hAnsi="宋体"/>
                <w:kern w:val="0"/>
              </w:rPr>
              <w:t>上午8：30-11：30，下午2：00-5：30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jc w:val="center"/>
        </w:trPr>
        <w:tc>
          <w:tcPr>
            <w:tcW w:w="1093" w:type="dxa"/>
            <w:tcBorders>
              <w:top w:val="single" w:color="000000" w:sz="4" w:space="0"/>
              <w:left w:val="single" w:color="000000" w:sz="4" w:space="0"/>
              <w:bottom w:val="single" w:color="000000" w:sz="4" w:space="0"/>
              <w:right w:val="single" w:color="000000" w:sz="4" w:space="0"/>
            </w:tcBorders>
            <w:vAlign w:val="center"/>
          </w:tcPr>
          <w:p>
            <w:pPr>
              <w:widowControl/>
              <w:snapToGrid w:val="0"/>
              <w:jc w:val="left"/>
              <w:rPr>
                <w:rFonts w:hint="default"/>
                <w:kern w:val="0"/>
                <w:sz w:val="20"/>
              </w:rPr>
            </w:pPr>
            <w:r>
              <w:rPr>
                <w:rFonts w:ascii="宋体" w:hAnsi="宋体"/>
                <w:kern w:val="0"/>
              </w:rPr>
              <w:t>联系电话</w:t>
            </w:r>
          </w:p>
        </w:tc>
        <w:tc>
          <w:tcPr>
            <w:tcW w:w="7492" w:type="dxa"/>
            <w:tcBorders>
              <w:top w:val="single" w:color="000000" w:sz="4" w:space="0"/>
              <w:left w:val="nil"/>
              <w:bottom w:val="single" w:color="000000" w:sz="4" w:space="0"/>
              <w:right w:val="single" w:color="000000" w:sz="4" w:space="0"/>
            </w:tcBorders>
            <w:vAlign w:val="top"/>
          </w:tcPr>
          <w:p>
            <w:pPr>
              <w:widowControl/>
              <w:snapToGrid w:val="0"/>
              <w:jc w:val="left"/>
              <w:rPr>
                <w:rFonts w:hint="default"/>
                <w:kern w:val="0"/>
              </w:rPr>
            </w:pPr>
            <w:r>
              <w:rPr>
                <w:rFonts w:ascii="宋体" w:hAnsi="宋体"/>
                <w:kern w:val="0"/>
              </w:rPr>
              <w:t>0971-6126143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jc w:val="center"/>
        </w:trPr>
        <w:tc>
          <w:tcPr>
            <w:tcW w:w="1093" w:type="dxa"/>
            <w:tcBorders>
              <w:top w:val="single" w:color="000000" w:sz="4" w:space="0"/>
              <w:left w:val="single" w:color="000000" w:sz="4" w:space="0"/>
              <w:bottom w:val="single" w:color="000000" w:sz="4" w:space="0"/>
              <w:right w:val="single" w:color="000000" w:sz="4" w:space="0"/>
            </w:tcBorders>
            <w:vAlign w:val="center"/>
          </w:tcPr>
          <w:p>
            <w:pPr>
              <w:widowControl/>
              <w:snapToGrid w:val="0"/>
              <w:jc w:val="left"/>
              <w:rPr>
                <w:rFonts w:hint="default"/>
                <w:kern w:val="0"/>
                <w:sz w:val="20"/>
              </w:rPr>
            </w:pPr>
            <w:r>
              <w:rPr>
                <w:rFonts w:ascii="宋体" w:hAnsi="宋体"/>
                <w:kern w:val="0"/>
              </w:rPr>
              <w:t>办理流程</w:t>
            </w:r>
          </w:p>
        </w:tc>
        <w:tc>
          <w:tcPr>
            <w:tcW w:w="7492" w:type="dxa"/>
            <w:tcBorders>
              <w:top w:val="single" w:color="000000" w:sz="4" w:space="0"/>
              <w:left w:val="nil"/>
              <w:bottom w:val="single" w:color="000000" w:sz="4" w:space="0"/>
              <w:right w:val="single" w:color="000000" w:sz="4" w:space="0"/>
            </w:tcBorders>
            <w:vAlign w:val="top"/>
          </w:tcPr>
          <w:p>
            <w:pPr>
              <w:widowControl/>
              <w:snapToGrid w:val="0"/>
              <w:jc w:val="left"/>
              <w:rPr>
                <w:rFonts w:hint="default"/>
                <w:kern w:val="0"/>
                <w:sz w:val="20"/>
              </w:rPr>
            </w:pPr>
            <w:r>
              <w:rPr>
                <w:rFonts w:hint="eastAsia"/>
              </w:rPr>
              <w:t>因股权激励计划到期或因境外上市公司在境外证券市场退市、境内公司并购重组等重大事项导致股权激励计划终止的，境内代理机构应在股权激励计划终止后20个工作日内，到所在地外汇局申请办理股权激励计划外汇登记注销手续。</w:t>
            </w:r>
          </w:p>
        </w:tc>
      </w:tr>
    </w:tbl>
    <w:p>
      <w:pPr>
        <w:widowControl/>
        <w:rPr>
          <w:rFonts w:hint="default"/>
          <w:kern w:val="0"/>
        </w:rPr>
      </w:pPr>
    </w:p>
    <w:p>
      <w:pPr>
        <w:widowControl/>
        <w:rPr>
          <w:rFonts w:hint="default"/>
          <w:kern w:val="0"/>
        </w:rPr>
      </w:pPr>
    </w:p>
    <w:p>
      <w:pPr>
        <w:widowControl/>
        <w:rPr>
          <w:rFonts w:hint="default"/>
          <w:kern w:val="0"/>
        </w:rPr>
      </w:pPr>
    </w:p>
    <w:p>
      <w:pPr>
        <w:widowControl/>
        <w:rPr>
          <w:rFonts w:hint="default"/>
          <w:kern w:val="0"/>
        </w:rPr>
      </w:pPr>
    </w:p>
    <w:p>
      <w:pPr>
        <w:widowControl/>
        <w:rPr>
          <w:rFonts w:hint="default"/>
          <w:kern w:val="0"/>
        </w:rPr>
      </w:pPr>
    </w:p>
    <w:p>
      <w:pPr>
        <w:widowControl/>
        <w:rPr>
          <w:rFonts w:hint="default"/>
          <w:kern w:val="0"/>
        </w:rPr>
      </w:pPr>
    </w:p>
    <w:p>
      <w:pPr>
        <w:widowControl/>
        <w:rPr>
          <w:rFonts w:hint="default"/>
          <w:kern w:val="0"/>
        </w:rPr>
      </w:pPr>
    </w:p>
    <w:p>
      <w:pPr>
        <w:widowControl/>
        <w:rPr>
          <w:rFonts w:hint="default"/>
          <w:kern w:val="0"/>
        </w:rPr>
      </w:pPr>
    </w:p>
    <w:p>
      <w:pPr>
        <w:widowControl/>
        <w:rPr>
          <w:rFonts w:hint="default"/>
          <w:kern w:val="0"/>
        </w:rPr>
      </w:pPr>
    </w:p>
    <w:p>
      <w:pPr>
        <w:widowControl/>
        <w:rPr>
          <w:rFonts w:hint="default"/>
          <w:kern w:val="0"/>
        </w:rPr>
      </w:pPr>
    </w:p>
    <w:p>
      <w:pPr>
        <w:widowControl/>
        <w:rPr>
          <w:rFonts w:hint="default"/>
          <w:kern w:val="0"/>
        </w:rPr>
      </w:pPr>
    </w:p>
    <w:p>
      <w:pPr>
        <w:widowControl/>
        <w:rPr>
          <w:rFonts w:hint="default"/>
          <w:kern w:val="0"/>
        </w:rPr>
      </w:pPr>
    </w:p>
    <w:p>
      <w:pPr>
        <w:widowControl/>
        <w:rPr>
          <w:rFonts w:hint="default"/>
          <w:kern w:val="0"/>
        </w:rPr>
      </w:pPr>
    </w:p>
    <w:p>
      <w:pPr>
        <w:widowControl/>
        <w:rPr>
          <w:rFonts w:hint="default"/>
          <w:kern w:val="0"/>
        </w:rPr>
      </w:pPr>
    </w:p>
    <w:p>
      <w:pPr>
        <w:widowControl/>
        <w:rPr>
          <w:rFonts w:hint="default"/>
          <w:kern w:val="0"/>
        </w:rPr>
      </w:pPr>
    </w:p>
    <w:p>
      <w:pPr>
        <w:widowControl/>
        <w:rPr>
          <w:rFonts w:hint="default"/>
          <w:kern w:val="0"/>
        </w:rPr>
      </w:pPr>
    </w:p>
    <w:p>
      <w:pPr>
        <w:widowControl/>
        <w:rPr>
          <w:rFonts w:hint="default"/>
          <w:kern w:val="0"/>
        </w:rPr>
      </w:pPr>
    </w:p>
    <w:p>
      <w:pPr>
        <w:widowControl/>
        <w:rPr>
          <w:rFonts w:hint="default"/>
          <w:kern w:val="0"/>
        </w:rPr>
      </w:pPr>
    </w:p>
    <w:p>
      <w:pPr>
        <w:widowControl/>
        <w:rPr>
          <w:rFonts w:hint="default"/>
          <w:kern w:val="0"/>
        </w:rPr>
      </w:pPr>
    </w:p>
    <w:p>
      <w:pPr>
        <w:widowControl/>
        <w:rPr>
          <w:rFonts w:hint="default"/>
          <w:kern w:val="0"/>
        </w:rPr>
      </w:pPr>
    </w:p>
    <w:p>
      <w:pPr>
        <w:widowControl/>
        <w:rPr>
          <w:rFonts w:hint="default"/>
          <w:kern w:val="0"/>
        </w:rPr>
      </w:pPr>
    </w:p>
    <w:p>
      <w:pPr>
        <w:widowControl/>
        <w:rPr>
          <w:rFonts w:hint="default"/>
          <w:kern w:val="0"/>
        </w:rPr>
      </w:pPr>
    </w:p>
    <w:p>
      <w:pPr>
        <w:widowControl/>
        <w:rPr>
          <w:rFonts w:hint="default"/>
          <w:kern w:val="0"/>
        </w:rPr>
      </w:pPr>
    </w:p>
    <w:p>
      <w:pPr>
        <w:widowControl/>
        <w:rPr>
          <w:rFonts w:hint="default"/>
          <w:kern w:val="0"/>
        </w:rPr>
      </w:pPr>
    </w:p>
    <w:p>
      <w:pPr>
        <w:widowControl/>
        <w:rPr>
          <w:rFonts w:hint="default"/>
          <w:kern w:val="0"/>
        </w:rPr>
      </w:pPr>
    </w:p>
    <w:p>
      <w:pPr>
        <w:widowControl/>
        <w:rPr>
          <w:rFonts w:hint="default"/>
          <w:kern w:val="0"/>
        </w:rPr>
      </w:pPr>
    </w:p>
    <w:p>
      <w:pPr>
        <w:widowControl/>
        <w:rPr>
          <w:rFonts w:hint="default"/>
          <w:kern w:val="0"/>
        </w:rPr>
      </w:pPr>
    </w:p>
    <w:p>
      <w:pPr>
        <w:widowControl/>
        <w:rPr>
          <w:rFonts w:hint="default"/>
          <w:kern w:val="0"/>
        </w:rPr>
      </w:pPr>
    </w:p>
    <w:p>
      <w:pPr>
        <w:widowControl/>
        <w:rPr>
          <w:rFonts w:hint="default"/>
          <w:kern w:val="0"/>
        </w:rPr>
      </w:pPr>
    </w:p>
    <w:p>
      <w:pPr>
        <w:widowControl/>
        <w:rPr>
          <w:rFonts w:hint="default"/>
          <w:kern w:val="0"/>
        </w:rPr>
      </w:pPr>
    </w:p>
    <w:p>
      <w:pPr>
        <w:widowControl/>
        <w:rPr>
          <w:rFonts w:hint="default"/>
          <w:kern w:val="0"/>
        </w:rPr>
      </w:pPr>
    </w:p>
    <w:p>
      <w:pPr>
        <w:widowControl/>
        <w:rPr>
          <w:rFonts w:hint="default"/>
          <w:kern w:val="0"/>
        </w:rPr>
      </w:pPr>
    </w:p>
    <w:p>
      <w:pPr>
        <w:widowControl/>
        <w:rPr>
          <w:rFonts w:hint="default"/>
          <w:kern w:val="0"/>
        </w:rPr>
      </w:pPr>
    </w:p>
    <w:p>
      <w:pPr>
        <w:widowControl/>
        <w:rPr>
          <w:rFonts w:hint="default"/>
          <w:kern w:val="0"/>
        </w:rPr>
      </w:pPr>
    </w:p>
    <w:p>
      <w:pPr>
        <w:widowControl/>
        <w:rPr>
          <w:rFonts w:hint="default"/>
          <w:kern w:val="0"/>
        </w:rPr>
      </w:pPr>
    </w:p>
    <w:p>
      <w:pPr>
        <w:widowControl/>
        <w:rPr>
          <w:rFonts w:hint="default"/>
          <w:kern w:val="0"/>
        </w:rPr>
      </w:pPr>
    </w:p>
    <w:p>
      <w:pPr>
        <w:widowControl/>
        <w:rPr>
          <w:rFonts w:hint="default"/>
          <w:kern w:val="0"/>
        </w:rPr>
      </w:pPr>
    </w:p>
    <w:p>
      <w:pPr>
        <w:widowControl/>
        <w:rPr>
          <w:rFonts w:hint="default"/>
          <w:kern w:val="0"/>
        </w:rPr>
      </w:pPr>
    </w:p>
    <w:p>
      <w:pPr>
        <w:widowControl/>
        <w:rPr>
          <w:rFonts w:hint="default"/>
          <w:kern w:val="0"/>
        </w:rPr>
      </w:pPr>
    </w:p>
    <w:p>
      <w:pPr>
        <w:widowControl/>
        <w:rPr>
          <w:rFonts w:hint="default"/>
          <w:kern w:val="0"/>
        </w:rPr>
      </w:pPr>
    </w:p>
    <w:p>
      <w:pPr>
        <w:widowControl/>
        <w:rPr>
          <w:rFonts w:hint="default"/>
          <w:kern w:val="0"/>
        </w:rPr>
      </w:pPr>
    </w:p>
    <w:p>
      <w:pPr>
        <w:widowControl/>
        <w:rPr>
          <w:rFonts w:hint="default"/>
          <w:kern w:val="0"/>
        </w:rPr>
      </w:pPr>
    </w:p>
    <w:tbl>
      <w:tblPr>
        <w:tblStyle w:val="16"/>
        <w:tblW w:w="850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093"/>
        <w:gridCol w:w="741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jc w:val="center"/>
        </w:trPr>
        <w:tc>
          <w:tcPr>
            <w:tcW w:w="1093" w:type="dxa"/>
            <w:tcBorders>
              <w:top w:val="single" w:color="000000" w:sz="4" w:space="0"/>
              <w:left w:val="single" w:color="000000" w:sz="4" w:space="0"/>
              <w:bottom w:val="single" w:color="000000" w:sz="4" w:space="0"/>
              <w:right w:val="single" w:color="000000" w:sz="4" w:space="0"/>
            </w:tcBorders>
            <w:vAlign w:val="center"/>
          </w:tcPr>
          <w:p>
            <w:pPr>
              <w:widowControl/>
              <w:snapToGrid w:val="0"/>
              <w:jc w:val="left"/>
              <w:rPr>
                <w:rFonts w:hint="default"/>
                <w:kern w:val="0"/>
                <w:sz w:val="20"/>
              </w:rPr>
            </w:pPr>
            <w:r>
              <w:rPr>
                <w:rFonts w:ascii="宋体" w:hAnsi="宋体"/>
                <w:kern w:val="0"/>
              </w:rPr>
              <w:t>业务名称</w:t>
            </w:r>
          </w:p>
        </w:tc>
        <w:tc>
          <w:tcPr>
            <w:tcW w:w="7412" w:type="dxa"/>
            <w:tcBorders>
              <w:top w:val="single" w:color="000000" w:sz="4" w:space="0"/>
              <w:left w:val="nil"/>
              <w:bottom w:val="single" w:color="000000" w:sz="4" w:space="0"/>
              <w:right w:val="single" w:color="000000" w:sz="4" w:space="0"/>
            </w:tcBorders>
            <w:vAlign w:val="center"/>
          </w:tcPr>
          <w:p>
            <w:pPr>
              <w:widowControl/>
              <w:snapToGrid w:val="0"/>
              <w:jc w:val="left"/>
              <w:rPr>
                <w:rFonts w:hint="default"/>
                <w:b/>
                <w:kern w:val="0"/>
                <w:sz w:val="20"/>
              </w:rPr>
            </w:pPr>
            <w:r>
              <w:rPr>
                <w:rFonts w:ascii="宋体" w:hAnsi="宋体"/>
                <w:b/>
                <w:kern w:val="0"/>
              </w:rPr>
              <w:t>（</w:t>
            </w:r>
            <w:r>
              <w:rPr>
                <w:rFonts w:hint="eastAsia" w:ascii="宋体" w:hAnsi="宋体"/>
                <w:b/>
                <w:kern w:val="0"/>
                <w:lang w:eastAsia="zh-CN"/>
              </w:rPr>
              <w:t>二十七</w:t>
            </w:r>
            <w:r>
              <w:rPr>
                <w:rFonts w:ascii="宋体" w:hAnsi="宋体"/>
                <w:b/>
                <w:kern w:val="0"/>
              </w:rPr>
              <w:t>）</w:t>
            </w:r>
            <w:r>
              <w:rPr>
                <w:rFonts w:hint="eastAsia" w:ascii="宋体" w:hAnsi="宋体"/>
                <w:b/>
                <w:kern w:val="0"/>
              </w:rPr>
              <w:t>特殊目的公司项下境内个人购付汇核准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jc w:val="center"/>
        </w:trPr>
        <w:tc>
          <w:tcPr>
            <w:tcW w:w="1093" w:type="dxa"/>
            <w:tcBorders>
              <w:top w:val="single" w:color="000000" w:sz="4" w:space="0"/>
              <w:left w:val="single" w:color="000000" w:sz="4" w:space="0"/>
              <w:bottom w:val="single" w:color="000000" w:sz="4" w:space="0"/>
              <w:right w:val="single" w:color="000000" w:sz="4" w:space="0"/>
            </w:tcBorders>
            <w:vAlign w:val="center"/>
          </w:tcPr>
          <w:p>
            <w:pPr>
              <w:widowControl/>
              <w:snapToGrid w:val="0"/>
              <w:jc w:val="left"/>
              <w:rPr>
                <w:rFonts w:hint="default"/>
                <w:kern w:val="0"/>
                <w:sz w:val="20"/>
              </w:rPr>
            </w:pPr>
            <w:r>
              <w:rPr>
                <w:rFonts w:ascii="宋体" w:hAnsi="宋体"/>
                <w:kern w:val="0"/>
              </w:rPr>
              <w:t>设定依据</w:t>
            </w:r>
          </w:p>
          <w:p>
            <w:pPr>
              <w:widowControl/>
              <w:spacing w:line="271" w:lineRule="auto"/>
              <w:jc w:val="center"/>
              <w:rPr>
                <w:rFonts w:hint="default" w:ascii="Times New Roman" w:eastAsia="Times New Roman"/>
                <w:b/>
                <w:kern w:val="0"/>
              </w:rPr>
            </w:pPr>
          </w:p>
        </w:tc>
        <w:tc>
          <w:tcPr>
            <w:tcW w:w="7412" w:type="dxa"/>
            <w:tcBorders>
              <w:top w:val="single" w:color="000000" w:sz="4" w:space="0"/>
              <w:left w:val="nil"/>
              <w:bottom w:val="single" w:color="000000" w:sz="4" w:space="0"/>
              <w:right w:val="single" w:color="000000" w:sz="4" w:space="0"/>
            </w:tcBorders>
            <w:vAlign w:val="center"/>
          </w:tcPr>
          <w:p>
            <w:pPr>
              <w:widowControl/>
              <w:snapToGrid w:val="0"/>
              <w:jc w:val="left"/>
              <w:rPr>
                <w:rFonts w:ascii="宋体" w:hAnsi="宋体"/>
                <w:kern w:val="0"/>
              </w:rPr>
            </w:pPr>
            <w:r>
              <w:rPr>
                <w:rFonts w:ascii="宋体" w:hAnsi="宋体"/>
                <w:kern w:val="0"/>
              </w:rPr>
              <w:t>1.《中华人民共和国外汇管理条例》（国务院令第532号）</w:t>
            </w:r>
            <w:r>
              <w:rPr>
                <w:rFonts w:hint="eastAsia" w:ascii="宋体" w:hAnsi="宋体"/>
                <w:kern w:val="0"/>
              </w:rPr>
              <w:t>。</w:t>
            </w:r>
          </w:p>
          <w:p>
            <w:pPr>
              <w:widowControl/>
              <w:snapToGrid w:val="0"/>
              <w:jc w:val="left"/>
              <w:rPr>
                <w:rFonts w:ascii="宋体" w:hAnsi="宋体"/>
                <w:kern w:val="0"/>
              </w:rPr>
            </w:pPr>
            <w:r>
              <w:rPr>
                <w:rFonts w:hint="eastAsia" w:ascii="宋体" w:hAnsi="宋体"/>
                <w:kern w:val="0"/>
              </w:rPr>
              <w:t>2.《关于外国投资者并购境内企业的规定》（</w:t>
            </w:r>
            <w:r>
              <w:rPr>
                <w:rFonts w:ascii="宋体" w:hAnsi="宋体"/>
                <w:kern w:val="0"/>
              </w:rPr>
              <w:t>商务部令2009年第6号</w:t>
            </w:r>
            <w:r>
              <w:rPr>
                <w:rFonts w:hint="eastAsia" w:ascii="宋体" w:hAnsi="宋体"/>
                <w:kern w:val="0"/>
              </w:rPr>
              <w:t>）。</w:t>
            </w:r>
          </w:p>
          <w:p>
            <w:pPr>
              <w:widowControl/>
              <w:snapToGrid w:val="0"/>
              <w:jc w:val="left"/>
              <w:rPr>
                <w:rFonts w:ascii="宋体" w:hAnsi="宋体"/>
                <w:kern w:val="0"/>
              </w:rPr>
            </w:pPr>
            <w:r>
              <w:rPr>
                <w:rFonts w:hint="eastAsia" w:ascii="宋体" w:hAnsi="宋体"/>
                <w:kern w:val="0"/>
              </w:rPr>
              <w:t>3.《国家外汇管理局关于境内居民通过特殊目的公司境外投融资及返程投资外汇管理有关问题的通知》（汇发〔2014〕37号）。</w:t>
            </w:r>
          </w:p>
          <w:p>
            <w:pPr>
              <w:widowControl/>
              <w:snapToGrid w:val="0"/>
              <w:jc w:val="left"/>
              <w:rPr>
                <w:rFonts w:ascii="宋体" w:hAnsi="宋体"/>
                <w:kern w:val="0"/>
              </w:rPr>
            </w:pPr>
            <w:r>
              <w:rPr>
                <w:rFonts w:hint="eastAsia" w:ascii="宋体" w:hAnsi="宋体"/>
                <w:kern w:val="0"/>
              </w:rPr>
              <w:t>4</w:t>
            </w:r>
            <w:r>
              <w:rPr>
                <w:rFonts w:ascii="宋体" w:hAnsi="宋体"/>
                <w:kern w:val="0"/>
              </w:rPr>
              <w:t>.其他相关法规</w:t>
            </w:r>
            <w:r>
              <w:rPr>
                <w:rFonts w:hint="eastAsia" w:ascii="宋体" w:hAnsi="宋体"/>
                <w:kern w:val="0"/>
              </w:rPr>
              <w:t>。</w:t>
            </w:r>
          </w:p>
          <w:p>
            <w:pPr>
              <w:widowControl/>
              <w:snapToGrid w:val="0"/>
              <w:jc w:val="left"/>
              <w:rPr>
                <w:rFonts w:hint="default" w:ascii="宋体" w:hAnsi="宋体"/>
                <w:kern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jc w:val="center"/>
        </w:trPr>
        <w:tc>
          <w:tcPr>
            <w:tcW w:w="1093"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rFonts w:hint="eastAsia" w:ascii="宋体" w:hAnsi="宋体"/>
                <w:kern w:val="0"/>
                <w:lang w:val="en-US" w:eastAsia="zh-CN"/>
              </w:rPr>
            </w:pPr>
            <w:r>
              <w:rPr>
                <w:rFonts w:ascii="宋体" w:hAnsi="宋体"/>
                <w:kern w:val="0"/>
              </w:rPr>
              <w:t>申请条件</w:t>
            </w:r>
            <w:r>
              <w:rPr>
                <w:rFonts w:hint="eastAsia" w:ascii="宋体" w:hAnsi="宋体"/>
                <w:kern w:val="0"/>
                <w:lang w:val="en-US" w:eastAsia="zh-CN"/>
              </w:rPr>
              <w:t>及</w:t>
            </w:r>
          </w:p>
          <w:p>
            <w:pPr>
              <w:widowControl/>
              <w:snapToGrid w:val="0"/>
              <w:jc w:val="center"/>
              <w:rPr>
                <w:rFonts w:hint="default" w:ascii="宋体" w:hAnsi="宋体"/>
                <w:kern w:val="0"/>
                <w:lang w:val="en-US" w:eastAsia="zh-CN"/>
              </w:rPr>
            </w:pPr>
            <w:r>
              <w:rPr>
                <w:rFonts w:hint="eastAsia" w:ascii="宋体" w:hAnsi="宋体"/>
                <w:kern w:val="0"/>
                <w:lang w:val="en-US" w:eastAsia="zh-CN"/>
              </w:rPr>
              <w:t>注意事项</w:t>
            </w:r>
          </w:p>
        </w:tc>
        <w:tc>
          <w:tcPr>
            <w:tcW w:w="7412" w:type="dxa"/>
            <w:tcBorders>
              <w:top w:val="single" w:color="000000" w:sz="4" w:space="0"/>
              <w:left w:val="nil"/>
              <w:bottom w:val="single" w:color="000000" w:sz="4" w:space="0"/>
              <w:right w:val="single" w:color="000000" w:sz="4" w:space="0"/>
            </w:tcBorders>
            <w:vAlign w:val="center"/>
          </w:tcPr>
          <w:p>
            <w:pPr>
              <w:widowControl/>
              <w:snapToGrid w:val="0"/>
              <w:jc w:val="left"/>
              <w:rPr>
                <w:rFonts w:ascii="宋体" w:hAnsi="宋体"/>
                <w:kern w:val="0"/>
              </w:rPr>
            </w:pPr>
            <w:r>
              <w:rPr>
                <w:rFonts w:ascii="宋体" w:hAnsi="宋体"/>
                <w:kern w:val="0"/>
              </w:rPr>
              <w:t>1.</w:t>
            </w:r>
            <w:r>
              <w:rPr>
                <w:rFonts w:hint="eastAsia" w:ascii="宋体" w:hAnsi="宋体"/>
                <w:kern w:val="0"/>
              </w:rPr>
              <w:t>境内居民个人在真实、合理需求的基础上可向其已登记的特殊目的公司汇出资金用于特殊目的公司设立、股份回购或退市操作等。</w:t>
            </w:r>
          </w:p>
          <w:p>
            <w:pPr>
              <w:widowControl/>
              <w:snapToGrid w:val="0"/>
              <w:jc w:val="left"/>
              <w:rPr>
                <w:rFonts w:ascii="宋体" w:hAnsi="宋体"/>
                <w:kern w:val="0"/>
              </w:rPr>
            </w:pPr>
            <w:r>
              <w:rPr>
                <w:rFonts w:ascii="宋体" w:hAnsi="宋体"/>
                <w:kern w:val="0"/>
              </w:rPr>
              <w:t>2.</w:t>
            </w:r>
            <w:r>
              <w:rPr>
                <w:rFonts w:hint="eastAsia" w:ascii="宋体" w:hAnsi="宋体"/>
                <w:kern w:val="0"/>
              </w:rPr>
              <w:t>境内居民个人购汇汇出的资金应专项用于申请事项，不得转作其他用途。</w:t>
            </w:r>
          </w:p>
          <w:p>
            <w:pPr>
              <w:widowControl/>
              <w:snapToGrid w:val="0"/>
              <w:jc w:val="left"/>
              <w:rPr>
                <w:rFonts w:ascii="宋体" w:hAnsi="宋体"/>
                <w:kern w:val="0"/>
              </w:rPr>
            </w:pPr>
            <w:r>
              <w:rPr>
                <w:rFonts w:ascii="宋体" w:hAnsi="宋体"/>
                <w:kern w:val="0"/>
              </w:rPr>
              <w:t>3.</w:t>
            </w:r>
            <w:r>
              <w:rPr>
                <w:rFonts w:hint="eastAsia" w:ascii="宋体" w:hAnsi="宋体"/>
                <w:kern w:val="0"/>
              </w:rPr>
              <w:t>境内居民个人应在汇出设立特殊目的公司款项前，按本操作指引办理“境内居民个人特殊目的公司外汇登记</w:t>
            </w:r>
            <w:r>
              <w:rPr>
                <w:rFonts w:ascii="宋体" w:hAnsi="宋体"/>
                <w:kern w:val="0"/>
              </w:rPr>
              <w:t>”</w:t>
            </w:r>
            <w:r>
              <w:rPr>
                <w:rFonts w:hint="eastAsia" w:ascii="宋体" w:hAnsi="宋体"/>
                <w:kern w:val="0"/>
              </w:rPr>
              <w:t>。</w:t>
            </w:r>
          </w:p>
          <w:p>
            <w:pPr>
              <w:widowControl/>
              <w:snapToGrid w:val="0"/>
              <w:jc w:val="left"/>
              <w:rPr>
                <w:rFonts w:ascii="宋体" w:hAnsi="宋体"/>
                <w:kern w:val="0"/>
              </w:rPr>
            </w:pPr>
            <w:r>
              <w:rPr>
                <w:rFonts w:ascii="宋体" w:hAnsi="宋体"/>
                <w:kern w:val="0"/>
              </w:rPr>
              <w:t>4.</w:t>
            </w:r>
            <w:r>
              <w:rPr>
                <w:rFonts w:hint="eastAsia" w:ascii="宋体" w:hAnsi="宋体"/>
                <w:kern w:val="0"/>
              </w:rPr>
              <w:t>境内居民个人应在股份认购、股权回购或退市完成后到所在地银行办理变更登记手续。</w:t>
            </w:r>
          </w:p>
          <w:p>
            <w:pPr>
              <w:widowControl/>
              <w:snapToGrid w:val="0"/>
              <w:jc w:val="left"/>
              <w:rPr>
                <w:rFonts w:ascii="宋体" w:hAnsi="宋体"/>
                <w:kern w:val="0"/>
              </w:rPr>
            </w:pPr>
            <w:r>
              <w:rPr>
                <w:rFonts w:ascii="宋体" w:hAnsi="宋体"/>
                <w:kern w:val="0"/>
              </w:rPr>
              <w:t>5.</w:t>
            </w:r>
            <w:r>
              <w:rPr>
                <w:rFonts w:hint="eastAsia" w:ascii="宋体" w:hAnsi="宋体"/>
                <w:kern w:val="0"/>
              </w:rPr>
              <w:t>境内居民个人可以集中委托特定境内机构或个人，在境内集中用于收购或回购的人民币资金，由集中受托人向外汇局申请购汇汇出。</w:t>
            </w:r>
          </w:p>
          <w:p>
            <w:pPr>
              <w:widowControl/>
              <w:snapToGrid w:val="0"/>
              <w:jc w:val="left"/>
              <w:rPr>
                <w:rFonts w:hint="default" w:ascii="宋体" w:hAnsi="宋体"/>
                <w:kern w:val="0"/>
              </w:rPr>
            </w:pPr>
          </w:p>
          <w:p>
            <w:pPr>
              <w:widowControl/>
              <w:snapToGrid w:val="0"/>
              <w:jc w:val="left"/>
              <w:rPr>
                <w:rFonts w:hint="default" w:ascii="宋体" w:hAnsi="宋体"/>
                <w:kern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jc w:val="center"/>
        </w:trPr>
        <w:tc>
          <w:tcPr>
            <w:tcW w:w="1093" w:type="dxa"/>
            <w:tcBorders>
              <w:top w:val="single" w:color="000000" w:sz="4" w:space="0"/>
              <w:left w:val="single" w:color="000000" w:sz="4" w:space="0"/>
              <w:bottom w:val="single" w:color="000000" w:sz="4" w:space="0"/>
              <w:right w:val="single" w:color="000000" w:sz="4" w:space="0"/>
            </w:tcBorders>
            <w:vAlign w:val="center"/>
          </w:tcPr>
          <w:p>
            <w:pPr>
              <w:widowControl/>
              <w:snapToGrid w:val="0"/>
              <w:jc w:val="left"/>
              <w:rPr>
                <w:rFonts w:hint="default"/>
                <w:kern w:val="0"/>
                <w:sz w:val="20"/>
              </w:rPr>
            </w:pPr>
            <w:r>
              <w:rPr>
                <w:rFonts w:ascii="宋体" w:hAnsi="宋体"/>
                <w:kern w:val="0"/>
              </w:rPr>
              <w:t>办理材料</w:t>
            </w:r>
          </w:p>
        </w:tc>
        <w:tc>
          <w:tcPr>
            <w:tcW w:w="7412" w:type="dxa"/>
            <w:tcBorders>
              <w:top w:val="single" w:color="000000" w:sz="4" w:space="0"/>
              <w:left w:val="nil"/>
              <w:bottom w:val="single" w:color="000000" w:sz="4" w:space="0"/>
              <w:right w:val="single" w:color="000000" w:sz="4" w:space="0"/>
            </w:tcBorders>
            <w:vAlign w:val="center"/>
          </w:tcPr>
          <w:p>
            <w:pPr>
              <w:widowControl/>
              <w:snapToGrid w:val="0"/>
              <w:jc w:val="left"/>
              <w:rPr>
                <w:rFonts w:ascii="宋体" w:hAnsi="宋体"/>
                <w:kern w:val="0"/>
              </w:rPr>
            </w:pPr>
            <w:r>
              <w:rPr>
                <w:rFonts w:hint="eastAsia" w:ascii="宋体" w:hAnsi="宋体"/>
                <w:kern w:val="0"/>
              </w:rPr>
              <w:t>1.书面申请（重点说明资金汇出需求及安排等内容）</w:t>
            </w:r>
          </w:p>
          <w:p>
            <w:pPr>
              <w:widowControl/>
              <w:snapToGrid w:val="0"/>
              <w:jc w:val="left"/>
              <w:rPr>
                <w:rFonts w:ascii="宋体" w:hAnsi="宋体"/>
                <w:kern w:val="0"/>
              </w:rPr>
            </w:pPr>
            <w:r>
              <w:rPr>
                <w:rFonts w:hint="eastAsia" w:ascii="宋体" w:hAnsi="宋体"/>
                <w:kern w:val="0"/>
              </w:rPr>
              <w:t>2.《境内居民个人境外投资外汇登记表》。</w:t>
            </w:r>
          </w:p>
          <w:p>
            <w:pPr>
              <w:widowControl/>
              <w:snapToGrid w:val="0"/>
              <w:jc w:val="left"/>
              <w:rPr>
                <w:rFonts w:ascii="宋体" w:hAnsi="宋体"/>
                <w:kern w:val="0"/>
              </w:rPr>
            </w:pPr>
            <w:r>
              <w:rPr>
                <w:rFonts w:hint="eastAsia" w:ascii="宋体" w:hAnsi="宋体"/>
                <w:kern w:val="0"/>
              </w:rPr>
              <w:t>3</w:t>
            </w:r>
            <w:r>
              <w:rPr>
                <w:rFonts w:ascii="宋体" w:hAnsi="宋体"/>
                <w:kern w:val="0"/>
              </w:rPr>
              <w:t>.</w:t>
            </w:r>
            <w:r>
              <w:rPr>
                <w:rFonts w:hint="eastAsia" w:ascii="宋体" w:hAnsi="宋体"/>
                <w:kern w:val="0"/>
              </w:rPr>
              <w:t>相关资金来源和境外资金用途的真实性证明材料。</w:t>
            </w:r>
          </w:p>
          <w:p>
            <w:pPr>
              <w:widowControl/>
              <w:snapToGrid w:val="0"/>
              <w:jc w:val="left"/>
              <w:rPr>
                <w:rFonts w:ascii="宋体" w:hAnsi="宋体"/>
                <w:kern w:val="0"/>
              </w:rPr>
            </w:pPr>
            <w:r>
              <w:rPr>
                <w:rFonts w:hint="eastAsia" w:ascii="宋体" w:hAnsi="宋体"/>
                <w:kern w:val="0"/>
              </w:rPr>
              <w:t>4.如涉及股份回购或退市操作，需提交上市公司公告或公司董事会（股东会）决议等证明材料。</w:t>
            </w:r>
          </w:p>
          <w:p>
            <w:pPr>
              <w:widowControl/>
              <w:snapToGrid w:val="0"/>
              <w:jc w:val="left"/>
              <w:rPr>
                <w:rFonts w:ascii="宋体" w:hAnsi="宋体"/>
                <w:kern w:val="0"/>
              </w:rPr>
            </w:pPr>
            <w:r>
              <w:rPr>
                <w:rFonts w:hint="eastAsia" w:ascii="宋体" w:hAnsi="宋体"/>
                <w:kern w:val="0"/>
              </w:rPr>
              <w:t>5</w:t>
            </w:r>
            <w:r>
              <w:rPr>
                <w:rFonts w:ascii="宋体" w:hAnsi="宋体"/>
                <w:kern w:val="0"/>
              </w:rPr>
              <w:t>.</w:t>
            </w:r>
            <w:r>
              <w:rPr>
                <w:rFonts w:hint="eastAsia" w:ascii="宋体" w:hAnsi="宋体"/>
                <w:kern w:val="0"/>
              </w:rPr>
              <w:t>如退市，应在退市操作完成后，补充提供公司退市的相关证明文件。</w:t>
            </w:r>
          </w:p>
          <w:p>
            <w:pPr>
              <w:widowControl/>
              <w:snapToGrid w:val="0"/>
              <w:jc w:val="left"/>
              <w:rPr>
                <w:rFonts w:ascii="宋体" w:hAnsi="宋体"/>
                <w:kern w:val="0"/>
              </w:rPr>
            </w:pPr>
            <w:r>
              <w:rPr>
                <w:rFonts w:hint="eastAsia" w:ascii="宋体" w:hAnsi="宋体"/>
                <w:kern w:val="0"/>
              </w:rPr>
              <w:t>6.境内居民个人采取委托方式集中汇出资金的，应提交授权委托书。</w:t>
            </w:r>
          </w:p>
          <w:p>
            <w:pPr>
              <w:widowControl/>
              <w:snapToGrid w:val="0"/>
              <w:jc w:val="left"/>
              <w:rPr>
                <w:rFonts w:ascii="宋体" w:hAnsi="宋体"/>
                <w:kern w:val="0"/>
              </w:rPr>
            </w:pPr>
            <w:r>
              <w:rPr>
                <w:rFonts w:hint="eastAsia" w:ascii="宋体" w:hAnsi="宋体"/>
                <w:kern w:val="0"/>
              </w:rPr>
              <w:t>7</w:t>
            </w:r>
            <w:r>
              <w:rPr>
                <w:rFonts w:ascii="宋体" w:hAnsi="宋体"/>
                <w:kern w:val="0"/>
              </w:rPr>
              <w:t>.</w:t>
            </w:r>
            <w:r>
              <w:rPr>
                <w:rFonts w:hint="eastAsia" w:ascii="宋体" w:hAnsi="宋体"/>
                <w:kern w:val="0"/>
              </w:rPr>
              <w:t>在前述材料不能充分说明交易的真实性或申请材料之间的一致性时，要求提供的补充材料。</w:t>
            </w:r>
          </w:p>
          <w:p>
            <w:pPr>
              <w:widowControl/>
              <w:snapToGrid w:val="0"/>
              <w:jc w:val="left"/>
              <w:rPr>
                <w:rFonts w:hint="default" w:ascii="宋体" w:hAnsi="宋体"/>
                <w:kern w:val="0"/>
              </w:rPr>
            </w:pPr>
          </w:p>
          <w:p>
            <w:pPr>
              <w:widowControl/>
              <w:snapToGrid w:val="0"/>
              <w:jc w:val="left"/>
              <w:rPr>
                <w:rFonts w:hint="default" w:ascii="宋体" w:hAnsi="宋体"/>
                <w:kern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1" w:hRule="atLeast"/>
          <w:jc w:val="center"/>
        </w:trPr>
        <w:tc>
          <w:tcPr>
            <w:tcW w:w="1093" w:type="dxa"/>
            <w:tcBorders>
              <w:top w:val="single" w:color="000000" w:sz="4" w:space="0"/>
              <w:left w:val="single" w:color="000000" w:sz="4" w:space="0"/>
              <w:bottom w:val="single" w:color="000000" w:sz="4" w:space="0"/>
              <w:right w:val="single" w:color="000000" w:sz="4" w:space="0"/>
            </w:tcBorders>
            <w:vAlign w:val="center"/>
          </w:tcPr>
          <w:p>
            <w:pPr>
              <w:widowControl/>
              <w:snapToGrid w:val="0"/>
              <w:jc w:val="left"/>
              <w:rPr>
                <w:rFonts w:hint="default"/>
                <w:kern w:val="0"/>
                <w:sz w:val="20"/>
              </w:rPr>
            </w:pPr>
            <w:r>
              <w:rPr>
                <w:rFonts w:ascii="宋体" w:hAnsi="宋体"/>
                <w:kern w:val="0"/>
              </w:rPr>
              <w:t>办理地点</w:t>
            </w:r>
          </w:p>
        </w:tc>
        <w:tc>
          <w:tcPr>
            <w:tcW w:w="7412" w:type="dxa"/>
            <w:tcBorders>
              <w:top w:val="single" w:color="000000" w:sz="4" w:space="0"/>
              <w:left w:val="nil"/>
              <w:bottom w:val="single" w:color="000000" w:sz="4" w:space="0"/>
              <w:right w:val="single" w:color="000000" w:sz="4" w:space="0"/>
            </w:tcBorders>
            <w:vAlign w:val="top"/>
          </w:tcPr>
          <w:p>
            <w:pPr>
              <w:widowControl/>
              <w:snapToGrid w:val="0"/>
              <w:jc w:val="left"/>
              <w:rPr>
                <w:rFonts w:hint="default"/>
                <w:kern w:val="0"/>
              </w:rPr>
            </w:pPr>
            <w:r>
              <w:rPr>
                <w:rFonts w:ascii="宋体" w:hAnsi="宋体"/>
                <w:kern w:val="0"/>
              </w:rPr>
              <w:t>国家外汇管理局青海省分局外汇管理处资本科（西宁市昆仑路3号人民银行政务大厅）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jc w:val="center"/>
        </w:trPr>
        <w:tc>
          <w:tcPr>
            <w:tcW w:w="1093" w:type="dxa"/>
            <w:tcBorders>
              <w:top w:val="single" w:color="000000" w:sz="4" w:space="0"/>
              <w:left w:val="single" w:color="000000" w:sz="4" w:space="0"/>
              <w:bottom w:val="single" w:color="000000" w:sz="4" w:space="0"/>
              <w:right w:val="single" w:color="000000" w:sz="4" w:space="0"/>
            </w:tcBorders>
            <w:vAlign w:val="center"/>
          </w:tcPr>
          <w:p>
            <w:pPr>
              <w:widowControl/>
              <w:snapToGrid w:val="0"/>
              <w:jc w:val="left"/>
              <w:rPr>
                <w:rFonts w:hint="default"/>
                <w:kern w:val="0"/>
                <w:sz w:val="20"/>
              </w:rPr>
            </w:pPr>
            <w:r>
              <w:rPr>
                <w:rFonts w:ascii="宋体" w:hAnsi="宋体"/>
                <w:kern w:val="0"/>
              </w:rPr>
              <w:t>办理时间</w:t>
            </w:r>
          </w:p>
          <w:p>
            <w:pPr>
              <w:widowControl/>
              <w:spacing w:line="271" w:lineRule="auto"/>
              <w:jc w:val="center"/>
              <w:rPr>
                <w:rFonts w:hint="default" w:ascii="Times New Roman" w:eastAsia="Times New Roman"/>
                <w:b/>
                <w:kern w:val="0"/>
              </w:rPr>
            </w:pPr>
          </w:p>
        </w:tc>
        <w:tc>
          <w:tcPr>
            <w:tcW w:w="7412" w:type="dxa"/>
            <w:tcBorders>
              <w:top w:val="single" w:color="000000" w:sz="4" w:space="0"/>
              <w:left w:val="nil"/>
              <w:bottom w:val="single" w:color="000000" w:sz="4" w:space="0"/>
              <w:right w:val="single" w:color="000000" w:sz="4" w:space="0"/>
            </w:tcBorders>
            <w:vAlign w:val="top"/>
          </w:tcPr>
          <w:p>
            <w:pPr>
              <w:widowControl/>
              <w:snapToGrid w:val="0"/>
              <w:jc w:val="left"/>
              <w:rPr>
                <w:rFonts w:hint="default"/>
                <w:kern w:val="0"/>
              </w:rPr>
            </w:pPr>
            <w:r>
              <w:rPr>
                <w:rFonts w:ascii="宋体" w:hAnsi="宋体"/>
                <w:kern w:val="0"/>
              </w:rPr>
              <w:t>周一至周五（法定节假日除外）</w:t>
            </w:r>
          </w:p>
          <w:p>
            <w:pPr>
              <w:widowControl/>
              <w:snapToGrid w:val="0"/>
              <w:jc w:val="left"/>
              <w:rPr>
                <w:rFonts w:hint="default"/>
                <w:kern w:val="0"/>
                <w:sz w:val="20"/>
              </w:rPr>
            </w:pPr>
            <w:r>
              <w:rPr>
                <w:rFonts w:ascii="宋体" w:hAnsi="宋体"/>
                <w:kern w:val="0"/>
              </w:rPr>
              <w:t>上午8：30-11：30，下午2：00-5：30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jc w:val="center"/>
        </w:trPr>
        <w:tc>
          <w:tcPr>
            <w:tcW w:w="1093" w:type="dxa"/>
            <w:tcBorders>
              <w:top w:val="single" w:color="000000" w:sz="4" w:space="0"/>
              <w:left w:val="single" w:color="000000" w:sz="4" w:space="0"/>
              <w:bottom w:val="single" w:color="000000" w:sz="4" w:space="0"/>
              <w:right w:val="single" w:color="000000" w:sz="4" w:space="0"/>
            </w:tcBorders>
            <w:vAlign w:val="center"/>
          </w:tcPr>
          <w:p>
            <w:pPr>
              <w:widowControl/>
              <w:snapToGrid w:val="0"/>
              <w:jc w:val="left"/>
              <w:rPr>
                <w:rFonts w:hint="default"/>
                <w:kern w:val="0"/>
                <w:sz w:val="20"/>
              </w:rPr>
            </w:pPr>
            <w:r>
              <w:rPr>
                <w:rFonts w:ascii="宋体" w:hAnsi="宋体"/>
                <w:kern w:val="0"/>
              </w:rPr>
              <w:t>联系电话</w:t>
            </w:r>
          </w:p>
        </w:tc>
        <w:tc>
          <w:tcPr>
            <w:tcW w:w="7412" w:type="dxa"/>
            <w:tcBorders>
              <w:top w:val="single" w:color="000000" w:sz="4" w:space="0"/>
              <w:left w:val="nil"/>
              <w:bottom w:val="single" w:color="000000" w:sz="4" w:space="0"/>
              <w:right w:val="single" w:color="000000" w:sz="4" w:space="0"/>
            </w:tcBorders>
            <w:vAlign w:val="top"/>
          </w:tcPr>
          <w:p>
            <w:pPr>
              <w:widowControl/>
              <w:snapToGrid w:val="0"/>
              <w:jc w:val="left"/>
              <w:rPr>
                <w:rFonts w:hint="default"/>
                <w:kern w:val="0"/>
              </w:rPr>
            </w:pPr>
            <w:r>
              <w:rPr>
                <w:rFonts w:ascii="宋体" w:hAnsi="宋体"/>
                <w:kern w:val="0"/>
              </w:rPr>
              <w:t>0971-6126143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jc w:val="center"/>
        </w:trPr>
        <w:tc>
          <w:tcPr>
            <w:tcW w:w="1093" w:type="dxa"/>
            <w:tcBorders>
              <w:top w:val="single" w:color="000000" w:sz="4" w:space="0"/>
              <w:left w:val="single" w:color="000000" w:sz="4" w:space="0"/>
              <w:bottom w:val="single" w:color="000000" w:sz="4" w:space="0"/>
              <w:right w:val="single" w:color="000000" w:sz="4" w:space="0"/>
            </w:tcBorders>
            <w:vAlign w:val="center"/>
          </w:tcPr>
          <w:p>
            <w:pPr>
              <w:widowControl/>
              <w:snapToGrid w:val="0"/>
              <w:jc w:val="left"/>
              <w:rPr>
                <w:rFonts w:hint="default"/>
                <w:kern w:val="0"/>
                <w:sz w:val="20"/>
              </w:rPr>
            </w:pPr>
            <w:r>
              <w:rPr>
                <w:rFonts w:ascii="宋体" w:hAnsi="宋体"/>
                <w:kern w:val="0"/>
              </w:rPr>
              <w:t>办理流程</w:t>
            </w:r>
          </w:p>
        </w:tc>
        <w:tc>
          <w:tcPr>
            <w:tcW w:w="7412" w:type="dxa"/>
            <w:tcBorders>
              <w:top w:val="single" w:color="000000" w:sz="4" w:space="0"/>
              <w:left w:val="nil"/>
              <w:bottom w:val="single" w:color="000000" w:sz="4" w:space="0"/>
              <w:right w:val="single" w:color="000000" w:sz="4" w:space="0"/>
            </w:tcBorders>
            <w:vAlign w:val="top"/>
          </w:tcPr>
          <w:p>
            <w:pPr>
              <w:widowControl/>
              <w:numPr>
                <w:numId w:val="0"/>
              </w:numPr>
              <w:snapToGrid w:val="0"/>
              <w:jc w:val="left"/>
              <w:rPr>
                <w:rFonts w:hint="eastAsia" w:ascii="宋体" w:hAnsi="宋体"/>
                <w:kern w:val="0"/>
                <w:lang w:val="en-US" w:eastAsia="zh-CN"/>
              </w:rPr>
            </w:pPr>
            <w:r>
              <w:rPr>
                <w:rFonts w:hint="eastAsia" w:ascii="宋体" w:hAnsi="宋体"/>
                <w:kern w:val="0"/>
                <w:lang w:val="en-US" w:eastAsia="zh-CN"/>
              </w:rPr>
              <w:t>1.个人提出申请；</w:t>
            </w:r>
          </w:p>
          <w:p>
            <w:pPr>
              <w:widowControl/>
              <w:numPr>
                <w:numId w:val="0"/>
              </w:numPr>
              <w:snapToGrid w:val="0"/>
              <w:jc w:val="left"/>
              <w:rPr>
                <w:rFonts w:hint="eastAsia" w:ascii="宋体" w:hAnsi="宋体"/>
                <w:kern w:val="0"/>
                <w:lang w:val="en-US" w:eastAsia="zh-CN"/>
              </w:rPr>
            </w:pPr>
            <w:r>
              <w:rPr>
                <w:rFonts w:hint="eastAsia" w:ascii="宋体" w:hAnsi="宋体"/>
                <w:kern w:val="0"/>
                <w:lang w:val="en-US" w:eastAsia="zh-CN"/>
              </w:rPr>
              <w:t>2.外汇局审核其资金来源及境外资金用途；</w:t>
            </w:r>
          </w:p>
          <w:p>
            <w:pPr>
              <w:widowControl/>
              <w:numPr>
                <w:numId w:val="0"/>
              </w:numPr>
              <w:snapToGrid w:val="0"/>
              <w:jc w:val="left"/>
              <w:rPr>
                <w:rFonts w:hint="eastAsia" w:ascii="宋体" w:hAnsi="宋体"/>
                <w:kern w:val="0"/>
                <w:lang w:val="en-US" w:eastAsia="zh-CN"/>
              </w:rPr>
            </w:pPr>
            <w:r>
              <w:rPr>
                <w:rFonts w:hint="eastAsia" w:ascii="宋体" w:hAnsi="宋体"/>
                <w:kern w:val="0"/>
                <w:lang w:val="en-US" w:eastAsia="zh-CN"/>
              </w:rPr>
              <w:t>3.外汇局开立核准件；</w:t>
            </w:r>
          </w:p>
          <w:p>
            <w:pPr>
              <w:widowControl/>
              <w:numPr>
                <w:numId w:val="0"/>
              </w:numPr>
              <w:snapToGrid w:val="0"/>
              <w:jc w:val="left"/>
              <w:rPr>
                <w:rFonts w:hint="eastAsia" w:ascii="宋体" w:hAnsi="宋体"/>
                <w:kern w:val="0"/>
                <w:lang w:val="en-US" w:eastAsia="zh-CN"/>
              </w:rPr>
            </w:pPr>
            <w:r>
              <w:rPr>
                <w:rFonts w:hint="eastAsia" w:ascii="宋体" w:hAnsi="宋体"/>
                <w:kern w:val="0"/>
                <w:lang w:val="en-US" w:eastAsia="zh-CN"/>
              </w:rPr>
              <w:t>4.个人按照核准件到银行办理购付汇业务。</w:t>
            </w:r>
          </w:p>
        </w:tc>
      </w:tr>
    </w:tbl>
    <w:p>
      <w:pPr>
        <w:widowControl/>
        <w:rPr>
          <w:rFonts w:hint="default"/>
          <w:kern w:val="0"/>
        </w:rPr>
      </w:pPr>
    </w:p>
    <w:p>
      <w:pPr>
        <w:widowControl/>
        <w:rPr>
          <w:rFonts w:hint="default"/>
          <w:kern w:val="0"/>
        </w:rPr>
      </w:pPr>
    </w:p>
    <w:p>
      <w:pPr>
        <w:widowControl/>
        <w:rPr>
          <w:rFonts w:hint="default"/>
          <w:kern w:val="0"/>
        </w:rPr>
      </w:pPr>
    </w:p>
    <w:p>
      <w:pPr>
        <w:widowControl/>
        <w:rPr>
          <w:rFonts w:hint="default"/>
          <w:kern w:val="0"/>
        </w:rPr>
      </w:pPr>
    </w:p>
    <w:p>
      <w:pPr>
        <w:widowControl/>
        <w:rPr>
          <w:rFonts w:hint="default"/>
          <w:kern w:val="0"/>
        </w:rPr>
      </w:pPr>
    </w:p>
    <w:p>
      <w:pPr>
        <w:widowControl/>
        <w:rPr>
          <w:rFonts w:hint="default"/>
          <w:kern w:val="0"/>
        </w:rPr>
      </w:pPr>
    </w:p>
    <w:tbl>
      <w:tblPr>
        <w:tblStyle w:val="16"/>
        <w:tblW w:w="850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093"/>
        <w:gridCol w:w="741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jc w:val="center"/>
        </w:trPr>
        <w:tc>
          <w:tcPr>
            <w:tcW w:w="1093" w:type="dxa"/>
            <w:tcBorders>
              <w:top w:val="single" w:color="000000" w:sz="4" w:space="0"/>
              <w:left w:val="single" w:color="000000" w:sz="4" w:space="0"/>
              <w:bottom w:val="single" w:color="000000" w:sz="4" w:space="0"/>
              <w:right w:val="single" w:color="000000" w:sz="4" w:space="0"/>
            </w:tcBorders>
            <w:vAlign w:val="center"/>
          </w:tcPr>
          <w:p>
            <w:pPr>
              <w:widowControl/>
              <w:snapToGrid w:val="0"/>
              <w:jc w:val="left"/>
              <w:rPr>
                <w:rFonts w:hint="default"/>
                <w:kern w:val="0"/>
                <w:sz w:val="20"/>
              </w:rPr>
            </w:pPr>
            <w:r>
              <w:rPr>
                <w:rFonts w:ascii="宋体" w:hAnsi="宋体"/>
                <w:kern w:val="0"/>
              </w:rPr>
              <w:t>业务名称</w:t>
            </w:r>
          </w:p>
        </w:tc>
        <w:tc>
          <w:tcPr>
            <w:tcW w:w="7412" w:type="dxa"/>
            <w:tcBorders>
              <w:top w:val="single" w:color="000000" w:sz="4" w:space="0"/>
              <w:left w:val="nil"/>
              <w:bottom w:val="single" w:color="000000" w:sz="4" w:space="0"/>
              <w:right w:val="single" w:color="000000" w:sz="4" w:space="0"/>
            </w:tcBorders>
            <w:vAlign w:val="center"/>
          </w:tcPr>
          <w:p>
            <w:pPr>
              <w:widowControl/>
              <w:snapToGrid w:val="0"/>
              <w:jc w:val="left"/>
              <w:rPr>
                <w:rFonts w:hint="default"/>
                <w:b/>
                <w:kern w:val="0"/>
                <w:sz w:val="20"/>
              </w:rPr>
            </w:pPr>
            <w:r>
              <w:rPr>
                <w:rFonts w:ascii="宋体" w:hAnsi="宋体"/>
                <w:b/>
                <w:kern w:val="0"/>
              </w:rPr>
              <w:t>（</w:t>
            </w:r>
            <w:r>
              <w:rPr>
                <w:rFonts w:hint="eastAsia" w:ascii="宋体" w:hAnsi="宋体"/>
                <w:b/>
                <w:kern w:val="0"/>
                <w:lang w:eastAsia="zh-CN"/>
              </w:rPr>
              <w:t>二十八</w:t>
            </w:r>
            <w:r>
              <w:rPr>
                <w:rFonts w:ascii="宋体" w:hAnsi="宋体"/>
                <w:b/>
                <w:kern w:val="0"/>
              </w:rPr>
              <w:t>）</w:t>
            </w:r>
            <w:r>
              <w:rPr>
                <w:rFonts w:hint="eastAsia" w:ascii="宋体" w:hAnsi="宋体"/>
                <w:b/>
                <w:kern w:val="0"/>
              </w:rPr>
              <w:t>移民财产转移购付汇核准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jc w:val="center"/>
        </w:trPr>
        <w:tc>
          <w:tcPr>
            <w:tcW w:w="1093" w:type="dxa"/>
            <w:tcBorders>
              <w:top w:val="single" w:color="000000" w:sz="4" w:space="0"/>
              <w:left w:val="single" w:color="000000" w:sz="4" w:space="0"/>
              <w:bottom w:val="single" w:color="000000" w:sz="4" w:space="0"/>
              <w:right w:val="single" w:color="000000" w:sz="4" w:space="0"/>
            </w:tcBorders>
            <w:vAlign w:val="center"/>
          </w:tcPr>
          <w:p>
            <w:pPr>
              <w:widowControl/>
              <w:snapToGrid w:val="0"/>
              <w:jc w:val="left"/>
              <w:rPr>
                <w:rFonts w:hint="default"/>
                <w:kern w:val="0"/>
                <w:sz w:val="20"/>
              </w:rPr>
            </w:pPr>
            <w:r>
              <w:rPr>
                <w:rFonts w:ascii="宋体" w:hAnsi="宋体"/>
                <w:kern w:val="0"/>
              </w:rPr>
              <w:t>设定依据</w:t>
            </w:r>
          </w:p>
          <w:p>
            <w:pPr>
              <w:widowControl/>
              <w:spacing w:line="271" w:lineRule="auto"/>
              <w:jc w:val="center"/>
              <w:rPr>
                <w:rFonts w:hint="default" w:ascii="Times New Roman" w:eastAsia="Times New Roman"/>
                <w:b/>
                <w:kern w:val="0"/>
              </w:rPr>
            </w:pPr>
          </w:p>
        </w:tc>
        <w:tc>
          <w:tcPr>
            <w:tcW w:w="7412" w:type="dxa"/>
            <w:tcBorders>
              <w:top w:val="single" w:color="000000" w:sz="4" w:space="0"/>
              <w:left w:val="nil"/>
              <w:bottom w:val="single" w:color="000000" w:sz="4" w:space="0"/>
              <w:right w:val="single" w:color="000000" w:sz="4" w:space="0"/>
            </w:tcBorders>
            <w:vAlign w:val="center"/>
          </w:tcPr>
          <w:p>
            <w:pPr>
              <w:widowControl/>
              <w:snapToGrid w:val="0"/>
              <w:jc w:val="left"/>
              <w:rPr>
                <w:rFonts w:ascii="宋体" w:hAnsi="宋体"/>
                <w:kern w:val="0"/>
              </w:rPr>
            </w:pPr>
            <w:r>
              <w:rPr>
                <w:rFonts w:ascii="宋体" w:hAnsi="宋体"/>
                <w:kern w:val="0"/>
              </w:rPr>
              <w:t>1.《个人财产对外转移售付汇管理暂行办法》（中国人民银行公告2004年第16号）</w:t>
            </w:r>
            <w:r>
              <w:rPr>
                <w:rFonts w:hint="eastAsia" w:ascii="宋体" w:hAnsi="宋体"/>
                <w:kern w:val="0"/>
              </w:rPr>
              <w:t>。</w:t>
            </w:r>
          </w:p>
          <w:p>
            <w:pPr>
              <w:widowControl/>
              <w:snapToGrid w:val="0"/>
              <w:jc w:val="left"/>
              <w:rPr>
                <w:rFonts w:ascii="宋体" w:hAnsi="宋体"/>
                <w:kern w:val="0"/>
              </w:rPr>
            </w:pPr>
            <w:r>
              <w:rPr>
                <w:rFonts w:ascii="宋体" w:hAnsi="宋体"/>
                <w:kern w:val="0"/>
              </w:rPr>
              <w:t>2.《国家外汇管理局关于印发〈个人财产对外转移售付汇管理暂行办法操作指引（试行）〉的通知》（汇发〔2004〕118号）</w:t>
            </w:r>
            <w:r>
              <w:rPr>
                <w:rFonts w:hint="eastAsia" w:ascii="宋体" w:hAnsi="宋体"/>
                <w:kern w:val="0"/>
              </w:rPr>
              <w:t>。</w:t>
            </w:r>
          </w:p>
          <w:p>
            <w:pPr>
              <w:widowControl/>
              <w:snapToGrid w:val="0"/>
              <w:jc w:val="left"/>
              <w:rPr>
                <w:rFonts w:ascii="宋体" w:hAnsi="宋体"/>
                <w:kern w:val="0"/>
              </w:rPr>
            </w:pPr>
            <w:r>
              <w:rPr>
                <w:rFonts w:ascii="宋体" w:hAnsi="宋体"/>
                <w:kern w:val="0"/>
              </w:rPr>
              <w:t>3.《国家税务总局 国家外汇管理局关于个人财产对外转移提交税收证明或者完税凭证有关问题的通知》（国税发〔2005〕13号）</w:t>
            </w:r>
            <w:r>
              <w:rPr>
                <w:rFonts w:hint="eastAsia" w:ascii="宋体" w:hAnsi="宋体"/>
                <w:kern w:val="0"/>
              </w:rPr>
              <w:t>。</w:t>
            </w:r>
          </w:p>
          <w:p>
            <w:pPr>
              <w:widowControl/>
              <w:snapToGrid w:val="0"/>
              <w:jc w:val="left"/>
              <w:rPr>
                <w:rFonts w:ascii="宋体" w:hAnsi="宋体"/>
                <w:kern w:val="0"/>
              </w:rPr>
            </w:pPr>
            <w:r>
              <w:rPr>
                <w:rFonts w:ascii="宋体" w:hAnsi="宋体"/>
                <w:kern w:val="0"/>
              </w:rPr>
              <w:t>4.《国家外汇管理局 外交部 公安部 监察部 司法部关于实施〈个人财产对外转移售付汇管理暂行办法〉有关问题的通知》（汇发〔2005〕9号）</w:t>
            </w:r>
            <w:r>
              <w:rPr>
                <w:rFonts w:hint="eastAsia" w:ascii="宋体" w:hAnsi="宋体"/>
                <w:kern w:val="0"/>
              </w:rPr>
              <w:t>。</w:t>
            </w:r>
          </w:p>
          <w:p>
            <w:pPr>
              <w:widowControl/>
              <w:snapToGrid w:val="0"/>
              <w:jc w:val="left"/>
              <w:rPr>
                <w:rFonts w:ascii="宋体" w:hAnsi="宋体"/>
                <w:kern w:val="0"/>
              </w:rPr>
            </w:pPr>
            <w:r>
              <w:rPr>
                <w:rFonts w:ascii="宋体" w:hAnsi="宋体"/>
                <w:kern w:val="0"/>
              </w:rPr>
              <w:t>5.《国家外汇管理局关于调整部分资本项目外汇业务审批权限的通知》（汇发〔2009〕21号）</w:t>
            </w:r>
            <w:r>
              <w:rPr>
                <w:rFonts w:hint="eastAsia" w:ascii="宋体" w:hAnsi="宋体"/>
                <w:kern w:val="0"/>
              </w:rPr>
              <w:t>。</w:t>
            </w:r>
          </w:p>
          <w:p>
            <w:pPr>
              <w:widowControl/>
              <w:snapToGrid w:val="0"/>
              <w:jc w:val="left"/>
              <w:rPr>
                <w:rFonts w:ascii="宋体" w:hAnsi="宋体"/>
                <w:kern w:val="0"/>
              </w:rPr>
            </w:pPr>
            <w:r>
              <w:rPr>
                <w:rFonts w:hint="eastAsia" w:ascii="宋体" w:hAnsi="宋体"/>
                <w:kern w:val="0"/>
              </w:rPr>
              <w:t>6.《国家外汇管理局关于进一步改进和调整资本项目外汇管理政策的通知》（汇发〔2014〕2号）。</w:t>
            </w:r>
          </w:p>
          <w:p>
            <w:pPr>
              <w:widowControl/>
              <w:snapToGrid w:val="0"/>
              <w:jc w:val="left"/>
              <w:rPr>
                <w:rFonts w:ascii="宋体" w:hAnsi="宋体"/>
                <w:kern w:val="0"/>
              </w:rPr>
            </w:pPr>
            <w:r>
              <w:rPr>
                <w:rFonts w:hint="eastAsia" w:ascii="宋体" w:hAnsi="宋体"/>
                <w:kern w:val="0"/>
              </w:rPr>
              <w:t>7</w:t>
            </w:r>
            <w:r>
              <w:rPr>
                <w:rFonts w:ascii="宋体" w:hAnsi="宋体"/>
                <w:kern w:val="0"/>
              </w:rPr>
              <w:t>.其他相关法规</w:t>
            </w:r>
            <w:r>
              <w:rPr>
                <w:rFonts w:hint="eastAsia" w:ascii="宋体" w:hAnsi="宋体"/>
                <w:kern w:val="0"/>
              </w:rPr>
              <w:t>。</w:t>
            </w:r>
          </w:p>
          <w:p>
            <w:pPr>
              <w:widowControl/>
              <w:snapToGrid w:val="0"/>
              <w:jc w:val="left"/>
              <w:rPr>
                <w:rFonts w:hint="default" w:ascii="宋体" w:hAnsi="宋体"/>
                <w:kern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jc w:val="center"/>
        </w:trPr>
        <w:tc>
          <w:tcPr>
            <w:tcW w:w="1093" w:type="dxa"/>
            <w:tcBorders>
              <w:top w:val="single" w:color="000000" w:sz="4" w:space="0"/>
              <w:left w:val="single" w:color="000000" w:sz="4" w:space="0"/>
              <w:bottom w:val="single" w:color="000000" w:sz="4" w:space="0"/>
              <w:right w:val="single" w:color="000000" w:sz="4" w:space="0"/>
            </w:tcBorders>
            <w:vAlign w:val="center"/>
          </w:tcPr>
          <w:p>
            <w:pPr>
              <w:widowControl/>
              <w:snapToGrid w:val="0"/>
              <w:jc w:val="left"/>
              <w:rPr>
                <w:rFonts w:hint="default"/>
                <w:kern w:val="0"/>
                <w:sz w:val="20"/>
              </w:rPr>
            </w:pPr>
            <w:r>
              <w:rPr>
                <w:rFonts w:ascii="宋体" w:hAnsi="宋体"/>
                <w:kern w:val="0"/>
              </w:rPr>
              <w:t>申请条件</w:t>
            </w:r>
          </w:p>
        </w:tc>
        <w:tc>
          <w:tcPr>
            <w:tcW w:w="7412" w:type="dxa"/>
            <w:tcBorders>
              <w:top w:val="single" w:color="000000" w:sz="4" w:space="0"/>
              <w:left w:val="nil"/>
              <w:bottom w:val="single" w:color="000000" w:sz="4" w:space="0"/>
              <w:right w:val="single" w:color="000000" w:sz="4" w:space="0"/>
            </w:tcBorders>
            <w:vAlign w:val="center"/>
          </w:tcPr>
          <w:p>
            <w:pPr>
              <w:widowControl/>
              <w:snapToGrid w:val="0"/>
              <w:jc w:val="left"/>
              <w:rPr>
                <w:rFonts w:ascii="宋体" w:hAnsi="宋体"/>
                <w:kern w:val="0"/>
              </w:rPr>
            </w:pPr>
            <w:r>
              <w:rPr>
                <w:rFonts w:ascii="宋体" w:hAnsi="宋体"/>
                <w:kern w:val="0"/>
              </w:rPr>
              <w:t>1.司法、监察等部门依法限制对外转移的财产对外转移申请，不予受理。</w:t>
            </w:r>
          </w:p>
          <w:p>
            <w:pPr>
              <w:widowControl/>
              <w:snapToGrid w:val="0"/>
              <w:jc w:val="left"/>
              <w:rPr>
                <w:rFonts w:ascii="宋体" w:hAnsi="宋体"/>
                <w:kern w:val="0"/>
              </w:rPr>
            </w:pPr>
            <w:r>
              <w:rPr>
                <w:rFonts w:ascii="宋体" w:hAnsi="宋体"/>
                <w:kern w:val="0"/>
              </w:rPr>
              <w:t>2.对涉及国家公职人员及其近亲属，申请金额超过100万元人民币的申请，在审核过程中</w:t>
            </w:r>
            <w:r>
              <w:rPr>
                <w:rFonts w:hint="eastAsia" w:ascii="宋体" w:hAnsi="宋体"/>
                <w:kern w:val="0"/>
              </w:rPr>
              <w:t>可</w:t>
            </w:r>
            <w:r>
              <w:rPr>
                <w:rFonts w:ascii="宋体" w:hAnsi="宋体"/>
                <w:kern w:val="0"/>
              </w:rPr>
              <w:t>向相应级别的监察部门（省级（含）以上）进行询证。对大额可疑或涉嫌非法转移财产的申请，在审核过程中要询证相应级别的公安、司法部门。</w:t>
            </w:r>
          </w:p>
          <w:p>
            <w:pPr>
              <w:widowControl/>
              <w:snapToGrid w:val="0"/>
              <w:jc w:val="left"/>
              <w:rPr>
                <w:rFonts w:hint="default" w:ascii="宋体" w:hAnsi="宋体"/>
                <w:kern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427" w:hRule="atLeast"/>
          <w:jc w:val="center"/>
        </w:trPr>
        <w:tc>
          <w:tcPr>
            <w:tcW w:w="1093" w:type="dxa"/>
            <w:tcBorders>
              <w:top w:val="single" w:color="000000" w:sz="4" w:space="0"/>
              <w:left w:val="single" w:color="000000" w:sz="4" w:space="0"/>
              <w:bottom w:val="single" w:color="000000" w:sz="4" w:space="0"/>
              <w:right w:val="single" w:color="000000" w:sz="4" w:space="0"/>
            </w:tcBorders>
            <w:vAlign w:val="center"/>
          </w:tcPr>
          <w:p>
            <w:pPr>
              <w:widowControl/>
              <w:snapToGrid w:val="0"/>
              <w:jc w:val="left"/>
              <w:rPr>
                <w:rFonts w:hint="default"/>
                <w:kern w:val="0"/>
                <w:sz w:val="20"/>
              </w:rPr>
            </w:pPr>
            <w:r>
              <w:rPr>
                <w:rFonts w:ascii="宋体" w:hAnsi="宋体"/>
                <w:kern w:val="0"/>
              </w:rPr>
              <w:t>办理材料</w:t>
            </w:r>
          </w:p>
        </w:tc>
        <w:tc>
          <w:tcPr>
            <w:tcW w:w="7412" w:type="dxa"/>
            <w:tcBorders>
              <w:top w:val="single" w:color="000000" w:sz="4" w:space="0"/>
              <w:left w:val="nil"/>
              <w:bottom w:val="single" w:color="000000" w:sz="4" w:space="0"/>
              <w:right w:val="single" w:color="000000" w:sz="4" w:space="0"/>
            </w:tcBorders>
            <w:vAlign w:val="center"/>
          </w:tcPr>
          <w:p>
            <w:pPr>
              <w:widowControl/>
              <w:snapToGrid w:val="0"/>
              <w:jc w:val="left"/>
              <w:rPr>
                <w:rFonts w:ascii="宋体" w:hAnsi="宋体"/>
                <w:kern w:val="0"/>
              </w:rPr>
            </w:pPr>
            <w:r>
              <w:rPr>
                <w:rFonts w:ascii="宋体" w:hAnsi="宋体"/>
                <w:kern w:val="0"/>
              </w:rPr>
              <w:t>1.由申请人或其代理人签名的《个人财产转移业务申请表》。</w:t>
            </w:r>
          </w:p>
          <w:p>
            <w:pPr>
              <w:widowControl/>
              <w:snapToGrid w:val="0"/>
              <w:jc w:val="left"/>
              <w:rPr>
                <w:rFonts w:ascii="宋体" w:hAnsi="宋体"/>
                <w:kern w:val="0"/>
              </w:rPr>
            </w:pPr>
            <w:r>
              <w:rPr>
                <w:rFonts w:ascii="宋体" w:hAnsi="宋体"/>
                <w:kern w:val="0"/>
              </w:rPr>
              <w:t>2.申请人身份证明文件。</w:t>
            </w:r>
          </w:p>
          <w:p>
            <w:pPr>
              <w:widowControl/>
              <w:snapToGrid w:val="0"/>
              <w:jc w:val="left"/>
              <w:rPr>
                <w:rFonts w:ascii="宋体" w:hAnsi="宋体"/>
                <w:kern w:val="0"/>
              </w:rPr>
            </w:pPr>
            <w:r>
              <w:rPr>
                <w:rFonts w:ascii="宋体" w:hAnsi="宋体"/>
                <w:kern w:val="0"/>
              </w:rPr>
              <w:t>（1）申请人为取得外国永久居留权的中国籍公民的，应提供：</w:t>
            </w:r>
            <w:r>
              <w:rPr>
                <w:rFonts w:hint="eastAsia" w:ascii="宋体" w:hAnsi="宋体"/>
                <w:kern w:val="0"/>
              </w:rPr>
              <w:t>①</w:t>
            </w:r>
            <w:r>
              <w:rPr>
                <w:rFonts w:ascii="宋体" w:hAnsi="宋体"/>
                <w:kern w:val="0"/>
              </w:rPr>
              <w:t>有效的中华人民共和国护照或居住国颁发的外侨证等有效身份证明。</w:t>
            </w:r>
            <w:r>
              <w:rPr>
                <w:rFonts w:hint="eastAsia" w:ascii="宋体" w:hAnsi="宋体"/>
                <w:kern w:val="0"/>
              </w:rPr>
              <w:t>②</w:t>
            </w:r>
            <w:r>
              <w:rPr>
                <w:rFonts w:ascii="宋体" w:hAnsi="宋体"/>
                <w:kern w:val="0"/>
              </w:rPr>
              <w:t>中国驻外使领馆出具（或认证）的申请人在国外定居证明。</w:t>
            </w:r>
          </w:p>
          <w:p>
            <w:pPr>
              <w:widowControl/>
              <w:snapToGrid w:val="0"/>
              <w:jc w:val="left"/>
              <w:rPr>
                <w:rFonts w:ascii="宋体" w:hAnsi="宋体"/>
                <w:kern w:val="0"/>
              </w:rPr>
            </w:pPr>
            <w:r>
              <w:rPr>
                <w:rFonts w:ascii="宋体" w:hAnsi="宋体"/>
                <w:kern w:val="0"/>
              </w:rPr>
              <w:t>（2）申请人为取得外国公民身份的，应提供：</w:t>
            </w:r>
            <w:r>
              <w:rPr>
                <w:rFonts w:hint="eastAsia" w:ascii="宋体" w:hAnsi="宋体"/>
                <w:kern w:val="0"/>
              </w:rPr>
              <w:t>①</w:t>
            </w:r>
            <w:r>
              <w:rPr>
                <w:rFonts w:ascii="宋体" w:hAnsi="宋体"/>
                <w:kern w:val="0"/>
              </w:rPr>
              <w:t>申请人居住国居民身份证或其他有效身份证明（如护照）。</w:t>
            </w:r>
            <w:r>
              <w:rPr>
                <w:rFonts w:hint="eastAsia" w:ascii="宋体" w:hAnsi="宋体"/>
                <w:kern w:val="0"/>
              </w:rPr>
              <w:t>②申请人在境外定居的相关证明材料</w:t>
            </w:r>
            <w:r>
              <w:rPr>
                <w:rFonts w:ascii="宋体" w:hAnsi="宋体"/>
                <w:kern w:val="0"/>
              </w:rPr>
              <w:t>。</w:t>
            </w:r>
          </w:p>
          <w:p>
            <w:pPr>
              <w:widowControl/>
              <w:snapToGrid w:val="0"/>
              <w:jc w:val="left"/>
              <w:rPr>
                <w:rFonts w:ascii="宋体" w:hAnsi="宋体"/>
                <w:kern w:val="0"/>
              </w:rPr>
            </w:pPr>
            <w:r>
              <w:rPr>
                <w:rFonts w:ascii="宋体" w:hAnsi="宋体"/>
                <w:kern w:val="0"/>
              </w:rPr>
              <w:t>（3）申请人为香港特别行政区、澳门特别行政区居民的，应提供：</w:t>
            </w:r>
            <w:r>
              <w:rPr>
                <w:rFonts w:hint="eastAsia" w:ascii="宋体" w:hAnsi="宋体"/>
                <w:kern w:val="0"/>
              </w:rPr>
              <w:t>①</w:t>
            </w:r>
            <w:r>
              <w:rPr>
                <w:rFonts w:ascii="宋体" w:hAnsi="宋体"/>
                <w:kern w:val="0"/>
              </w:rPr>
              <w:t>香港特别行政区、澳门特别行政区（永久）居民身份证或其他有效身份证明。</w:t>
            </w:r>
            <w:r>
              <w:rPr>
                <w:rFonts w:hint="eastAsia" w:ascii="宋体" w:hAnsi="宋体"/>
                <w:kern w:val="0"/>
              </w:rPr>
              <w:t>②港澳居民来往内地通行证或者特区护照。</w:t>
            </w:r>
          </w:p>
          <w:p>
            <w:pPr>
              <w:widowControl/>
              <w:snapToGrid w:val="0"/>
              <w:jc w:val="left"/>
              <w:rPr>
                <w:rFonts w:ascii="宋体" w:hAnsi="宋体"/>
                <w:kern w:val="0"/>
              </w:rPr>
            </w:pPr>
            <w:r>
              <w:rPr>
                <w:rFonts w:ascii="宋体" w:hAnsi="宋体"/>
                <w:kern w:val="0"/>
              </w:rPr>
              <w:t>（4）申请人为台湾地区居民的应提供：</w:t>
            </w:r>
            <w:r>
              <w:rPr>
                <w:rFonts w:hint="eastAsia" w:ascii="宋体" w:hAnsi="宋体"/>
                <w:kern w:val="0"/>
              </w:rPr>
              <w:t>①</w:t>
            </w:r>
            <w:r>
              <w:rPr>
                <w:rFonts w:ascii="宋体" w:hAnsi="宋体"/>
                <w:kern w:val="0"/>
              </w:rPr>
              <w:t>台湾地区居民身份证或其他在台湾地区居住的有效身份证明。</w:t>
            </w:r>
            <w:r>
              <w:rPr>
                <w:rFonts w:hint="eastAsia" w:ascii="宋体" w:hAnsi="宋体"/>
                <w:kern w:val="0"/>
              </w:rPr>
              <w:t>②台湾居民往来大陆通行证或其他出入境证件</w:t>
            </w:r>
            <w:r>
              <w:rPr>
                <w:rFonts w:ascii="宋体" w:hAnsi="宋体"/>
                <w:kern w:val="0"/>
              </w:rPr>
              <w:t>。</w:t>
            </w:r>
          </w:p>
          <w:p>
            <w:pPr>
              <w:widowControl/>
              <w:snapToGrid w:val="0"/>
              <w:jc w:val="left"/>
              <w:rPr>
                <w:rFonts w:ascii="宋体" w:hAnsi="宋体"/>
                <w:kern w:val="0"/>
              </w:rPr>
            </w:pPr>
            <w:r>
              <w:rPr>
                <w:rFonts w:ascii="宋体" w:hAnsi="宋体"/>
                <w:kern w:val="0"/>
              </w:rPr>
              <w:t>3.申请人收入来源证明以及财产权利证明文件。申请人拟移民财产转移</w:t>
            </w:r>
            <w:r>
              <w:rPr>
                <w:rFonts w:hint="eastAsia" w:ascii="宋体" w:hAnsi="宋体"/>
                <w:kern w:val="0"/>
              </w:rPr>
              <w:t>总金额</w:t>
            </w:r>
            <w:r>
              <w:rPr>
                <w:rFonts w:ascii="宋体" w:hAnsi="宋体"/>
                <w:kern w:val="0"/>
              </w:rPr>
              <w:t>在等值50万美元以下的，无需提交以下收入来源证明以及财产权利证明文件，只需声明来源。</w:t>
            </w:r>
          </w:p>
          <w:p>
            <w:pPr>
              <w:widowControl/>
              <w:snapToGrid w:val="0"/>
              <w:jc w:val="left"/>
              <w:rPr>
                <w:rFonts w:ascii="宋体" w:hAnsi="宋体"/>
                <w:kern w:val="0"/>
              </w:rPr>
            </w:pPr>
            <w:r>
              <w:rPr>
                <w:rFonts w:ascii="宋体" w:hAnsi="宋体"/>
                <w:kern w:val="0"/>
              </w:rPr>
              <w:t>（1）对个人薪酬所得（包括工资和薪金所得、稿酬所得、劳务报酬等）应提交有关收入来源证明。</w:t>
            </w:r>
          </w:p>
          <w:p>
            <w:pPr>
              <w:widowControl/>
              <w:snapToGrid w:val="0"/>
              <w:jc w:val="left"/>
              <w:rPr>
                <w:rFonts w:ascii="宋体" w:hAnsi="宋体"/>
                <w:kern w:val="0"/>
              </w:rPr>
            </w:pPr>
            <w:r>
              <w:rPr>
                <w:rFonts w:ascii="宋体" w:hAnsi="宋体"/>
                <w:kern w:val="0"/>
              </w:rPr>
              <w:t>（2）对经营收入（包括私营业主、企业个人股东、个体工商户生产经营所得，对企事业单位承包、租赁经营所得）提交个体户经营收入申报表、股权证明或承包、租赁合同或协议以及能证明收入来源的材料，如企业财务报表、企业董事会分配决议等。</w:t>
            </w:r>
          </w:p>
          <w:p>
            <w:pPr>
              <w:widowControl/>
              <w:snapToGrid w:val="0"/>
              <w:jc w:val="left"/>
              <w:rPr>
                <w:rFonts w:ascii="宋体" w:hAnsi="宋体"/>
                <w:kern w:val="0"/>
              </w:rPr>
            </w:pPr>
            <w:r>
              <w:rPr>
                <w:rFonts w:ascii="宋体" w:hAnsi="宋体"/>
                <w:kern w:val="0"/>
              </w:rPr>
              <w:t>（3）对资本所得及变现：</w:t>
            </w:r>
          </w:p>
          <w:p>
            <w:pPr>
              <w:widowControl/>
              <w:snapToGrid w:val="0"/>
              <w:jc w:val="left"/>
              <w:rPr>
                <w:rFonts w:ascii="宋体" w:hAnsi="宋体"/>
                <w:kern w:val="0"/>
              </w:rPr>
            </w:pPr>
            <w:r>
              <w:rPr>
                <w:rFonts w:hint="eastAsia" w:ascii="宋体" w:hAnsi="宋体"/>
                <w:kern w:val="0"/>
              </w:rPr>
              <w:t>①</w:t>
            </w:r>
            <w:r>
              <w:rPr>
                <w:rFonts w:ascii="宋体" w:hAnsi="宋体"/>
                <w:kern w:val="0"/>
              </w:rPr>
              <w:t>利息、股息、红利所得应提交存款证明，股票、债券开户及交易记录。</w:t>
            </w:r>
          </w:p>
          <w:p>
            <w:pPr>
              <w:widowControl/>
              <w:snapToGrid w:val="0"/>
              <w:jc w:val="left"/>
              <w:rPr>
                <w:rFonts w:ascii="宋体" w:hAnsi="宋体"/>
                <w:kern w:val="0"/>
              </w:rPr>
            </w:pPr>
            <w:r>
              <w:rPr>
                <w:rFonts w:hint="eastAsia" w:ascii="宋体" w:hAnsi="宋体"/>
                <w:kern w:val="0"/>
              </w:rPr>
              <w:t>②</w:t>
            </w:r>
            <w:r>
              <w:rPr>
                <w:rFonts w:ascii="宋体" w:hAnsi="宋体"/>
                <w:kern w:val="0"/>
              </w:rPr>
              <w:t>财产租赁所得、财产转让所得、特许权使用等应提供：</w:t>
            </w:r>
          </w:p>
          <w:p>
            <w:pPr>
              <w:widowControl/>
              <w:snapToGrid w:val="0"/>
              <w:jc w:val="left"/>
              <w:rPr>
                <w:rFonts w:ascii="宋体" w:hAnsi="宋体"/>
                <w:kern w:val="0"/>
              </w:rPr>
            </w:pPr>
            <w:r>
              <w:rPr>
                <w:rFonts w:ascii="宋体" w:hAnsi="宋体"/>
                <w:kern w:val="0"/>
              </w:rPr>
              <w:t>a、财产租赁、转让、特许权使用的合同或协议</w:t>
            </w:r>
            <w:r>
              <w:rPr>
                <w:rFonts w:hint="eastAsia" w:ascii="宋体" w:hAnsi="宋体"/>
                <w:kern w:val="0"/>
              </w:rPr>
              <w:t>。</w:t>
            </w:r>
          </w:p>
          <w:p>
            <w:pPr>
              <w:widowControl/>
              <w:snapToGrid w:val="0"/>
              <w:jc w:val="left"/>
              <w:rPr>
                <w:rFonts w:ascii="宋体" w:hAnsi="宋体"/>
                <w:kern w:val="0"/>
              </w:rPr>
            </w:pPr>
            <w:r>
              <w:rPr>
                <w:rFonts w:ascii="宋体" w:hAnsi="宋体"/>
                <w:kern w:val="0"/>
              </w:rPr>
              <w:t>b、房屋产权证</w:t>
            </w:r>
            <w:r>
              <w:rPr>
                <w:rFonts w:hint="eastAsia" w:ascii="宋体" w:hAnsi="宋体"/>
                <w:kern w:val="0"/>
              </w:rPr>
              <w:t>。</w:t>
            </w:r>
          </w:p>
          <w:p>
            <w:pPr>
              <w:widowControl/>
              <w:snapToGrid w:val="0"/>
              <w:jc w:val="left"/>
              <w:rPr>
                <w:rFonts w:ascii="宋体" w:hAnsi="宋体"/>
                <w:kern w:val="0"/>
              </w:rPr>
            </w:pPr>
            <w:r>
              <w:rPr>
                <w:rFonts w:ascii="宋体" w:hAnsi="宋体"/>
                <w:kern w:val="0"/>
              </w:rPr>
              <w:t>c、房地产买卖契约或拆迁补偿安置协议。</w:t>
            </w:r>
          </w:p>
          <w:p>
            <w:pPr>
              <w:widowControl/>
              <w:snapToGrid w:val="0"/>
              <w:jc w:val="left"/>
              <w:rPr>
                <w:rFonts w:ascii="宋体" w:hAnsi="宋体"/>
                <w:kern w:val="0"/>
              </w:rPr>
            </w:pPr>
            <w:r>
              <w:rPr>
                <w:rFonts w:ascii="宋体" w:hAnsi="宋体"/>
                <w:kern w:val="0"/>
              </w:rPr>
              <w:t>（4）偶然所得（包括合法的福利彩票、体育彩票等）及其他财产或收入需提交真实交易记录证明。</w:t>
            </w:r>
          </w:p>
          <w:p>
            <w:pPr>
              <w:widowControl/>
              <w:snapToGrid w:val="0"/>
              <w:jc w:val="left"/>
              <w:rPr>
                <w:rFonts w:ascii="宋体" w:hAnsi="宋体"/>
                <w:kern w:val="0"/>
              </w:rPr>
            </w:pPr>
            <w:r>
              <w:rPr>
                <w:rFonts w:ascii="宋体" w:hAnsi="宋体"/>
                <w:kern w:val="0"/>
              </w:rPr>
              <w:t>4.</w:t>
            </w:r>
            <w:r>
              <w:rPr>
                <w:rFonts w:hint="eastAsia" w:ascii="宋体" w:hAnsi="宋体"/>
                <w:kern w:val="0"/>
              </w:rPr>
              <w:t>主管税务部门出具的税务证明原件（按规定无需提交的除外），如个人确有需求，可在原件上加注业务办理情况，返还个人，留存加注后的复印件。</w:t>
            </w:r>
          </w:p>
          <w:p>
            <w:pPr>
              <w:widowControl/>
              <w:snapToGrid w:val="0"/>
              <w:jc w:val="left"/>
              <w:rPr>
                <w:rFonts w:ascii="宋体" w:hAnsi="宋体"/>
                <w:kern w:val="0"/>
              </w:rPr>
            </w:pPr>
            <w:r>
              <w:rPr>
                <w:rFonts w:ascii="宋体" w:hAnsi="宋体"/>
                <w:kern w:val="0"/>
              </w:rPr>
              <w:t>5.委托他人办理的应提供委托代理协议和代理人身份证明。</w:t>
            </w:r>
          </w:p>
          <w:p>
            <w:pPr>
              <w:widowControl/>
              <w:snapToGrid w:val="0"/>
              <w:jc w:val="left"/>
              <w:rPr>
                <w:rFonts w:hint="default" w:ascii="宋体" w:hAnsi="宋体"/>
                <w:kern w:val="0"/>
              </w:rPr>
            </w:pPr>
            <w:r>
              <w:rPr>
                <w:rFonts w:ascii="宋体" w:hAnsi="宋体"/>
                <w:kern w:val="0"/>
              </w:rPr>
              <w:t>6.外汇局要求提供的其他资料。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1" w:hRule="atLeast"/>
          <w:jc w:val="center"/>
        </w:trPr>
        <w:tc>
          <w:tcPr>
            <w:tcW w:w="1093" w:type="dxa"/>
            <w:tcBorders>
              <w:top w:val="single" w:color="000000" w:sz="4" w:space="0"/>
              <w:left w:val="single" w:color="000000" w:sz="4" w:space="0"/>
              <w:bottom w:val="single" w:color="000000" w:sz="4" w:space="0"/>
              <w:right w:val="single" w:color="000000" w:sz="4" w:space="0"/>
            </w:tcBorders>
            <w:vAlign w:val="center"/>
          </w:tcPr>
          <w:p>
            <w:pPr>
              <w:widowControl/>
              <w:snapToGrid w:val="0"/>
              <w:jc w:val="left"/>
              <w:rPr>
                <w:rFonts w:hint="default"/>
                <w:kern w:val="0"/>
                <w:sz w:val="20"/>
              </w:rPr>
            </w:pPr>
            <w:r>
              <w:rPr>
                <w:rFonts w:ascii="宋体" w:hAnsi="宋体"/>
                <w:kern w:val="0"/>
              </w:rPr>
              <w:t>办理地点</w:t>
            </w:r>
          </w:p>
        </w:tc>
        <w:tc>
          <w:tcPr>
            <w:tcW w:w="7412" w:type="dxa"/>
            <w:tcBorders>
              <w:top w:val="single" w:color="000000" w:sz="4" w:space="0"/>
              <w:left w:val="nil"/>
              <w:bottom w:val="single" w:color="000000" w:sz="4" w:space="0"/>
              <w:right w:val="single" w:color="000000" w:sz="4" w:space="0"/>
            </w:tcBorders>
            <w:vAlign w:val="top"/>
          </w:tcPr>
          <w:p>
            <w:pPr>
              <w:widowControl/>
              <w:snapToGrid w:val="0"/>
              <w:jc w:val="left"/>
              <w:rPr>
                <w:rFonts w:hint="default"/>
                <w:kern w:val="0"/>
              </w:rPr>
            </w:pPr>
            <w:r>
              <w:rPr>
                <w:rFonts w:ascii="宋体" w:hAnsi="宋体"/>
                <w:kern w:val="0"/>
              </w:rPr>
              <w:t>国家外汇管理局青海省分局外汇管理处资本科（西宁市昆仑路3号人民银行政务大厅）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jc w:val="center"/>
        </w:trPr>
        <w:tc>
          <w:tcPr>
            <w:tcW w:w="1093" w:type="dxa"/>
            <w:tcBorders>
              <w:top w:val="single" w:color="000000" w:sz="4" w:space="0"/>
              <w:left w:val="single" w:color="000000" w:sz="4" w:space="0"/>
              <w:bottom w:val="single" w:color="000000" w:sz="4" w:space="0"/>
              <w:right w:val="single" w:color="000000" w:sz="4" w:space="0"/>
            </w:tcBorders>
            <w:vAlign w:val="center"/>
          </w:tcPr>
          <w:p>
            <w:pPr>
              <w:widowControl/>
              <w:snapToGrid w:val="0"/>
              <w:jc w:val="left"/>
              <w:rPr>
                <w:rFonts w:hint="default"/>
                <w:kern w:val="0"/>
                <w:sz w:val="20"/>
              </w:rPr>
            </w:pPr>
            <w:r>
              <w:rPr>
                <w:rFonts w:ascii="宋体" w:hAnsi="宋体"/>
                <w:kern w:val="0"/>
              </w:rPr>
              <w:t>办理时间</w:t>
            </w:r>
          </w:p>
          <w:p>
            <w:pPr>
              <w:widowControl/>
              <w:spacing w:line="271" w:lineRule="auto"/>
              <w:jc w:val="center"/>
              <w:rPr>
                <w:rFonts w:hint="default" w:ascii="Times New Roman" w:eastAsia="Times New Roman"/>
                <w:b/>
                <w:kern w:val="0"/>
              </w:rPr>
            </w:pPr>
          </w:p>
        </w:tc>
        <w:tc>
          <w:tcPr>
            <w:tcW w:w="7412" w:type="dxa"/>
            <w:tcBorders>
              <w:top w:val="single" w:color="000000" w:sz="4" w:space="0"/>
              <w:left w:val="nil"/>
              <w:bottom w:val="single" w:color="000000" w:sz="4" w:space="0"/>
              <w:right w:val="single" w:color="000000" w:sz="4" w:space="0"/>
            </w:tcBorders>
            <w:vAlign w:val="top"/>
          </w:tcPr>
          <w:p>
            <w:pPr>
              <w:widowControl/>
              <w:snapToGrid w:val="0"/>
              <w:jc w:val="left"/>
              <w:rPr>
                <w:rFonts w:hint="default"/>
                <w:kern w:val="0"/>
              </w:rPr>
            </w:pPr>
            <w:r>
              <w:rPr>
                <w:rFonts w:ascii="宋体" w:hAnsi="宋体"/>
                <w:kern w:val="0"/>
              </w:rPr>
              <w:t>周一至周五（法定节假日除外）</w:t>
            </w:r>
          </w:p>
          <w:p>
            <w:pPr>
              <w:widowControl/>
              <w:snapToGrid w:val="0"/>
              <w:jc w:val="left"/>
              <w:rPr>
                <w:rFonts w:hint="default"/>
                <w:kern w:val="0"/>
                <w:sz w:val="20"/>
              </w:rPr>
            </w:pPr>
            <w:r>
              <w:rPr>
                <w:rFonts w:ascii="宋体" w:hAnsi="宋体"/>
                <w:kern w:val="0"/>
              </w:rPr>
              <w:t>上午8：30-11：30，下午2：00-5：30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jc w:val="center"/>
        </w:trPr>
        <w:tc>
          <w:tcPr>
            <w:tcW w:w="1093" w:type="dxa"/>
            <w:tcBorders>
              <w:top w:val="single" w:color="000000" w:sz="4" w:space="0"/>
              <w:left w:val="single" w:color="000000" w:sz="4" w:space="0"/>
              <w:bottom w:val="single" w:color="000000" w:sz="4" w:space="0"/>
              <w:right w:val="single" w:color="000000" w:sz="4" w:space="0"/>
            </w:tcBorders>
            <w:vAlign w:val="center"/>
          </w:tcPr>
          <w:p>
            <w:pPr>
              <w:widowControl/>
              <w:snapToGrid w:val="0"/>
              <w:jc w:val="left"/>
              <w:rPr>
                <w:rFonts w:hint="default"/>
                <w:kern w:val="0"/>
                <w:sz w:val="20"/>
              </w:rPr>
            </w:pPr>
            <w:r>
              <w:rPr>
                <w:rFonts w:ascii="宋体" w:hAnsi="宋体"/>
                <w:kern w:val="0"/>
              </w:rPr>
              <w:t>联系电话</w:t>
            </w:r>
          </w:p>
        </w:tc>
        <w:tc>
          <w:tcPr>
            <w:tcW w:w="7412" w:type="dxa"/>
            <w:tcBorders>
              <w:top w:val="single" w:color="000000" w:sz="4" w:space="0"/>
              <w:left w:val="nil"/>
              <w:bottom w:val="single" w:color="000000" w:sz="4" w:space="0"/>
              <w:right w:val="single" w:color="000000" w:sz="4" w:space="0"/>
            </w:tcBorders>
            <w:vAlign w:val="top"/>
          </w:tcPr>
          <w:p>
            <w:pPr>
              <w:widowControl/>
              <w:snapToGrid w:val="0"/>
              <w:jc w:val="left"/>
              <w:rPr>
                <w:rFonts w:hint="default"/>
                <w:kern w:val="0"/>
              </w:rPr>
            </w:pPr>
            <w:r>
              <w:rPr>
                <w:rFonts w:ascii="宋体" w:hAnsi="宋体"/>
                <w:kern w:val="0"/>
              </w:rPr>
              <w:t>0971-6126143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jc w:val="center"/>
        </w:trPr>
        <w:tc>
          <w:tcPr>
            <w:tcW w:w="1093" w:type="dxa"/>
            <w:tcBorders>
              <w:top w:val="single" w:color="000000" w:sz="4" w:space="0"/>
              <w:left w:val="single" w:color="000000" w:sz="4" w:space="0"/>
              <w:bottom w:val="single" w:color="000000" w:sz="4" w:space="0"/>
              <w:right w:val="single" w:color="000000" w:sz="4" w:space="0"/>
            </w:tcBorders>
            <w:vAlign w:val="center"/>
          </w:tcPr>
          <w:p>
            <w:pPr>
              <w:widowControl/>
              <w:snapToGrid w:val="0"/>
              <w:jc w:val="left"/>
              <w:rPr>
                <w:rFonts w:hint="default"/>
                <w:kern w:val="0"/>
                <w:sz w:val="20"/>
              </w:rPr>
            </w:pPr>
            <w:r>
              <w:rPr>
                <w:rFonts w:ascii="宋体" w:hAnsi="宋体"/>
                <w:kern w:val="0"/>
              </w:rPr>
              <w:t>办理流程</w:t>
            </w:r>
          </w:p>
        </w:tc>
        <w:tc>
          <w:tcPr>
            <w:tcW w:w="7412" w:type="dxa"/>
            <w:tcBorders>
              <w:top w:val="single" w:color="000000" w:sz="4" w:space="0"/>
              <w:left w:val="nil"/>
              <w:bottom w:val="single" w:color="000000" w:sz="4" w:space="0"/>
              <w:right w:val="single" w:color="000000" w:sz="4" w:space="0"/>
            </w:tcBorders>
            <w:vAlign w:val="top"/>
          </w:tcPr>
          <w:p>
            <w:pPr>
              <w:widowControl/>
              <w:snapToGrid w:val="0"/>
              <w:jc w:val="left"/>
              <w:rPr>
                <w:rFonts w:hint="eastAsia" w:ascii="宋体" w:hAnsi="宋体"/>
                <w:kern w:val="0"/>
                <w:lang w:val="en-US" w:eastAsia="zh-CN"/>
              </w:rPr>
            </w:pPr>
            <w:r>
              <w:rPr>
                <w:rFonts w:hint="eastAsia" w:ascii="宋体" w:hAnsi="宋体"/>
                <w:kern w:val="0"/>
                <w:lang w:val="en-US" w:eastAsia="zh-CN"/>
              </w:rPr>
              <w:t>对于申请金额超过100万人民币的申请,请按照以下步骤办理:</w:t>
            </w:r>
          </w:p>
          <w:p>
            <w:pPr>
              <w:widowControl/>
              <w:numPr>
                <w:numId w:val="0"/>
              </w:numPr>
              <w:snapToGrid w:val="0"/>
              <w:jc w:val="left"/>
              <w:rPr>
                <w:rFonts w:hint="eastAsia" w:ascii="宋体" w:hAnsi="宋体"/>
                <w:kern w:val="0"/>
                <w:lang w:val="en-US" w:eastAsia="zh-CN"/>
              </w:rPr>
            </w:pPr>
            <w:r>
              <w:rPr>
                <w:rFonts w:hint="eastAsia" w:ascii="宋体" w:hAnsi="宋体"/>
                <w:kern w:val="0"/>
                <w:lang w:val="en-US" w:eastAsia="zh-CN"/>
              </w:rPr>
              <w:t>1.移民提出申请；</w:t>
            </w:r>
          </w:p>
          <w:p>
            <w:pPr>
              <w:widowControl/>
              <w:numPr>
                <w:numId w:val="0"/>
              </w:numPr>
              <w:snapToGrid w:val="0"/>
              <w:jc w:val="left"/>
              <w:rPr>
                <w:rFonts w:hint="default" w:ascii="宋体" w:hAnsi="宋体"/>
                <w:kern w:val="0"/>
                <w:lang w:val="en-US" w:eastAsia="zh-CN"/>
              </w:rPr>
            </w:pPr>
            <w:r>
              <w:rPr>
                <w:rFonts w:hint="eastAsia" w:ascii="宋体" w:hAnsi="宋体"/>
                <w:kern w:val="0"/>
                <w:lang w:val="en-US" w:eastAsia="zh-CN"/>
              </w:rPr>
              <w:t>2.外汇局向监察部门询证；</w:t>
            </w:r>
          </w:p>
          <w:p>
            <w:pPr>
              <w:widowControl/>
              <w:numPr>
                <w:numId w:val="0"/>
              </w:numPr>
              <w:snapToGrid w:val="0"/>
              <w:jc w:val="left"/>
              <w:rPr>
                <w:rFonts w:hint="default" w:ascii="宋体" w:hAnsi="宋体"/>
                <w:kern w:val="0"/>
                <w:lang w:val="en-US" w:eastAsia="zh-CN"/>
              </w:rPr>
            </w:pPr>
            <w:r>
              <w:rPr>
                <w:rFonts w:hint="eastAsia" w:ascii="宋体" w:hAnsi="宋体"/>
                <w:kern w:val="0"/>
                <w:lang w:val="en-US" w:eastAsia="zh-CN"/>
              </w:rPr>
              <w:t>3.外汇局开立核准件。</w:t>
            </w:r>
          </w:p>
        </w:tc>
      </w:tr>
    </w:tbl>
    <w:p>
      <w:pPr>
        <w:widowControl/>
        <w:rPr>
          <w:rFonts w:hint="default"/>
          <w:kern w:val="0"/>
        </w:rPr>
      </w:pPr>
    </w:p>
    <w:p>
      <w:pPr>
        <w:widowControl/>
        <w:rPr>
          <w:rFonts w:hint="default"/>
          <w:kern w:val="0"/>
        </w:rPr>
      </w:pPr>
    </w:p>
    <w:p>
      <w:pPr>
        <w:widowControl/>
        <w:rPr>
          <w:rFonts w:hint="default"/>
          <w:kern w:val="0"/>
        </w:rPr>
      </w:pPr>
    </w:p>
    <w:p>
      <w:pPr>
        <w:widowControl/>
        <w:rPr>
          <w:rFonts w:hint="default"/>
          <w:kern w:val="0"/>
        </w:rPr>
      </w:pPr>
    </w:p>
    <w:p>
      <w:pPr>
        <w:widowControl/>
        <w:rPr>
          <w:rFonts w:hint="default"/>
          <w:kern w:val="0"/>
        </w:rPr>
      </w:pPr>
    </w:p>
    <w:p>
      <w:pPr>
        <w:widowControl/>
        <w:rPr>
          <w:rFonts w:hint="default"/>
          <w:kern w:val="0"/>
        </w:rPr>
      </w:pPr>
    </w:p>
    <w:p>
      <w:pPr>
        <w:widowControl/>
        <w:rPr>
          <w:rFonts w:hint="default"/>
          <w:kern w:val="0"/>
        </w:rPr>
      </w:pPr>
    </w:p>
    <w:p>
      <w:pPr>
        <w:widowControl/>
        <w:rPr>
          <w:rFonts w:hint="default"/>
          <w:kern w:val="0"/>
        </w:rPr>
      </w:pPr>
    </w:p>
    <w:p>
      <w:pPr>
        <w:widowControl/>
        <w:rPr>
          <w:rFonts w:hint="default"/>
          <w:kern w:val="0"/>
        </w:rPr>
      </w:pPr>
    </w:p>
    <w:p>
      <w:pPr>
        <w:widowControl/>
        <w:rPr>
          <w:rFonts w:hint="default"/>
          <w:kern w:val="0"/>
        </w:rPr>
      </w:pPr>
    </w:p>
    <w:p>
      <w:pPr>
        <w:widowControl/>
        <w:rPr>
          <w:rFonts w:hint="default"/>
          <w:kern w:val="0"/>
        </w:rPr>
      </w:pPr>
    </w:p>
    <w:p>
      <w:pPr>
        <w:widowControl/>
        <w:rPr>
          <w:rFonts w:hint="default"/>
          <w:kern w:val="0"/>
        </w:rPr>
      </w:pPr>
    </w:p>
    <w:p>
      <w:pPr>
        <w:widowControl/>
        <w:rPr>
          <w:rFonts w:hint="default"/>
          <w:kern w:val="0"/>
        </w:rPr>
      </w:pPr>
    </w:p>
    <w:p>
      <w:pPr>
        <w:widowControl/>
        <w:rPr>
          <w:rFonts w:hint="default"/>
          <w:kern w:val="0"/>
        </w:rPr>
      </w:pPr>
    </w:p>
    <w:p>
      <w:pPr>
        <w:widowControl/>
        <w:rPr>
          <w:rFonts w:hint="default"/>
          <w:kern w:val="0"/>
        </w:rPr>
      </w:pPr>
    </w:p>
    <w:p>
      <w:pPr>
        <w:widowControl/>
        <w:rPr>
          <w:rFonts w:hint="default"/>
          <w:kern w:val="0"/>
        </w:rPr>
      </w:pPr>
    </w:p>
    <w:p>
      <w:pPr>
        <w:widowControl/>
        <w:rPr>
          <w:rFonts w:hint="default"/>
          <w:kern w:val="0"/>
        </w:rPr>
      </w:pPr>
    </w:p>
    <w:p>
      <w:pPr>
        <w:widowControl/>
        <w:rPr>
          <w:rFonts w:hint="default"/>
          <w:kern w:val="0"/>
        </w:rPr>
      </w:pPr>
    </w:p>
    <w:p>
      <w:pPr>
        <w:widowControl/>
        <w:rPr>
          <w:rFonts w:hint="default"/>
          <w:kern w:val="0"/>
        </w:rPr>
      </w:pPr>
    </w:p>
    <w:p>
      <w:pPr>
        <w:widowControl/>
        <w:rPr>
          <w:rFonts w:hint="default"/>
          <w:kern w:val="0"/>
        </w:rPr>
      </w:pPr>
    </w:p>
    <w:p>
      <w:pPr>
        <w:widowControl/>
        <w:rPr>
          <w:rFonts w:hint="default"/>
          <w:kern w:val="0"/>
        </w:rPr>
      </w:pPr>
    </w:p>
    <w:p>
      <w:pPr>
        <w:widowControl/>
        <w:rPr>
          <w:rFonts w:hint="default"/>
          <w:kern w:val="0"/>
        </w:rPr>
      </w:pPr>
    </w:p>
    <w:p>
      <w:pPr>
        <w:widowControl/>
        <w:rPr>
          <w:rFonts w:hint="default"/>
          <w:kern w:val="0"/>
        </w:rPr>
      </w:pPr>
    </w:p>
    <w:p>
      <w:pPr>
        <w:widowControl/>
        <w:rPr>
          <w:rFonts w:hint="default"/>
          <w:kern w:val="0"/>
        </w:rPr>
      </w:pPr>
    </w:p>
    <w:p>
      <w:pPr>
        <w:widowControl/>
        <w:rPr>
          <w:rFonts w:hint="default"/>
          <w:kern w:val="0"/>
        </w:rPr>
      </w:pPr>
    </w:p>
    <w:p>
      <w:pPr>
        <w:widowControl/>
        <w:rPr>
          <w:rFonts w:hint="default"/>
          <w:kern w:val="0"/>
        </w:rPr>
      </w:pPr>
    </w:p>
    <w:p>
      <w:pPr>
        <w:widowControl/>
        <w:rPr>
          <w:rFonts w:hint="default"/>
          <w:kern w:val="0"/>
        </w:rPr>
      </w:pPr>
    </w:p>
    <w:p>
      <w:pPr>
        <w:widowControl/>
        <w:rPr>
          <w:rFonts w:hint="default"/>
          <w:kern w:val="0"/>
        </w:rPr>
      </w:pPr>
    </w:p>
    <w:p>
      <w:pPr>
        <w:widowControl/>
        <w:rPr>
          <w:rFonts w:hint="default"/>
          <w:kern w:val="0"/>
        </w:rPr>
      </w:pPr>
    </w:p>
    <w:p>
      <w:pPr>
        <w:widowControl/>
        <w:rPr>
          <w:rFonts w:hint="default"/>
          <w:kern w:val="0"/>
        </w:rPr>
      </w:pPr>
    </w:p>
    <w:tbl>
      <w:tblPr>
        <w:tblStyle w:val="16"/>
        <w:tblW w:w="850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093"/>
        <w:gridCol w:w="741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jc w:val="center"/>
        </w:trPr>
        <w:tc>
          <w:tcPr>
            <w:tcW w:w="1093" w:type="dxa"/>
            <w:tcBorders>
              <w:top w:val="single" w:color="000000" w:sz="4" w:space="0"/>
              <w:left w:val="single" w:color="000000" w:sz="4" w:space="0"/>
              <w:bottom w:val="single" w:color="000000" w:sz="4" w:space="0"/>
              <w:right w:val="single" w:color="000000" w:sz="4" w:space="0"/>
            </w:tcBorders>
            <w:vAlign w:val="center"/>
          </w:tcPr>
          <w:p>
            <w:pPr>
              <w:widowControl/>
              <w:snapToGrid w:val="0"/>
              <w:jc w:val="left"/>
              <w:rPr>
                <w:rFonts w:hint="default"/>
                <w:kern w:val="0"/>
                <w:sz w:val="20"/>
              </w:rPr>
            </w:pPr>
            <w:r>
              <w:rPr>
                <w:rFonts w:ascii="宋体" w:hAnsi="宋体"/>
                <w:kern w:val="0"/>
              </w:rPr>
              <w:t>业务名称</w:t>
            </w:r>
          </w:p>
        </w:tc>
        <w:tc>
          <w:tcPr>
            <w:tcW w:w="7412" w:type="dxa"/>
            <w:tcBorders>
              <w:top w:val="single" w:color="000000" w:sz="4" w:space="0"/>
              <w:left w:val="nil"/>
              <w:bottom w:val="single" w:color="000000" w:sz="4" w:space="0"/>
              <w:right w:val="single" w:color="000000" w:sz="4" w:space="0"/>
            </w:tcBorders>
            <w:vAlign w:val="center"/>
          </w:tcPr>
          <w:p>
            <w:pPr>
              <w:widowControl/>
              <w:snapToGrid w:val="0"/>
              <w:jc w:val="left"/>
              <w:rPr>
                <w:rFonts w:hint="default"/>
                <w:b/>
                <w:kern w:val="0"/>
                <w:sz w:val="20"/>
              </w:rPr>
            </w:pPr>
            <w:r>
              <w:rPr>
                <w:rFonts w:ascii="宋体" w:hAnsi="宋体"/>
                <w:b/>
                <w:kern w:val="0"/>
              </w:rPr>
              <w:t>（</w:t>
            </w:r>
            <w:r>
              <w:rPr>
                <w:rFonts w:hint="eastAsia" w:ascii="宋体" w:hAnsi="宋体"/>
                <w:b/>
                <w:kern w:val="0"/>
                <w:lang w:eastAsia="zh-CN"/>
              </w:rPr>
              <w:t>二十九</w:t>
            </w:r>
            <w:r>
              <w:rPr>
                <w:rFonts w:ascii="宋体" w:hAnsi="宋体"/>
                <w:b/>
                <w:kern w:val="0"/>
              </w:rPr>
              <w:t>）</w:t>
            </w:r>
            <w:r>
              <w:rPr>
                <w:rFonts w:hint="eastAsia" w:ascii="宋体" w:hAnsi="宋体"/>
                <w:b/>
                <w:kern w:val="0"/>
              </w:rPr>
              <w:t>继承财产转移购付汇核准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jc w:val="center"/>
        </w:trPr>
        <w:tc>
          <w:tcPr>
            <w:tcW w:w="1093" w:type="dxa"/>
            <w:tcBorders>
              <w:top w:val="single" w:color="000000" w:sz="4" w:space="0"/>
              <w:left w:val="single" w:color="000000" w:sz="4" w:space="0"/>
              <w:bottom w:val="single" w:color="000000" w:sz="4" w:space="0"/>
              <w:right w:val="single" w:color="000000" w:sz="4" w:space="0"/>
            </w:tcBorders>
            <w:vAlign w:val="center"/>
          </w:tcPr>
          <w:p>
            <w:pPr>
              <w:widowControl/>
              <w:snapToGrid w:val="0"/>
              <w:jc w:val="left"/>
              <w:rPr>
                <w:rFonts w:hint="default"/>
                <w:kern w:val="0"/>
                <w:sz w:val="20"/>
              </w:rPr>
            </w:pPr>
            <w:r>
              <w:rPr>
                <w:rFonts w:ascii="宋体" w:hAnsi="宋体"/>
                <w:kern w:val="0"/>
              </w:rPr>
              <w:t>设定依据</w:t>
            </w:r>
          </w:p>
          <w:p>
            <w:pPr>
              <w:widowControl/>
              <w:spacing w:line="271" w:lineRule="auto"/>
              <w:jc w:val="center"/>
              <w:rPr>
                <w:rFonts w:hint="default" w:ascii="Times New Roman" w:eastAsia="Times New Roman"/>
                <w:b/>
                <w:kern w:val="0"/>
              </w:rPr>
            </w:pPr>
          </w:p>
        </w:tc>
        <w:tc>
          <w:tcPr>
            <w:tcW w:w="7412" w:type="dxa"/>
            <w:tcBorders>
              <w:top w:val="single" w:color="000000" w:sz="4" w:space="0"/>
              <w:left w:val="nil"/>
              <w:bottom w:val="single" w:color="000000" w:sz="4" w:space="0"/>
              <w:right w:val="single" w:color="000000" w:sz="4" w:space="0"/>
            </w:tcBorders>
            <w:vAlign w:val="center"/>
          </w:tcPr>
          <w:p>
            <w:pPr>
              <w:widowControl/>
              <w:snapToGrid w:val="0"/>
              <w:jc w:val="left"/>
              <w:rPr>
                <w:rFonts w:ascii="宋体" w:hAnsi="宋体"/>
                <w:kern w:val="0"/>
              </w:rPr>
            </w:pPr>
            <w:r>
              <w:rPr>
                <w:rFonts w:ascii="宋体" w:hAnsi="宋体"/>
                <w:kern w:val="0"/>
              </w:rPr>
              <w:t>1.《个人财产对外转移售付汇管理暂行办法》（中国人民银行公告2004年第16号）</w:t>
            </w:r>
            <w:r>
              <w:rPr>
                <w:rFonts w:hint="eastAsia" w:ascii="宋体" w:hAnsi="宋体"/>
                <w:kern w:val="0"/>
              </w:rPr>
              <w:t>。</w:t>
            </w:r>
          </w:p>
          <w:p>
            <w:pPr>
              <w:widowControl/>
              <w:snapToGrid w:val="0"/>
              <w:jc w:val="left"/>
              <w:rPr>
                <w:rFonts w:ascii="宋体" w:hAnsi="宋体"/>
                <w:kern w:val="0"/>
              </w:rPr>
            </w:pPr>
            <w:r>
              <w:rPr>
                <w:rFonts w:ascii="宋体" w:hAnsi="宋体"/>
                <w:kern w:val="0"/>
              </w:rPr>
              <w:t>2.《国家外汇管理局关于印发〈个人财产对外转移售付汇管理暂行办法操作指引（试行）〉的通知》（汇发〔2004〕118号）</w:t>
            </w:r>
            <w:r>
              <w:rPr>
                <w:rFonts w:hint="eastAsia" w:ascii="宋体" w:hAnsi="宋体"/>
                <w:kern w:val="0"/>
              </w:rPr>
              <w:t>。</w:t>
            </w:r>
          </w:p>
          <w:p>
            <w:pPr>
              <w:widowControl/>
              <w:snapToGrid w:val="0"/>
              <w:jc w:val="left"/>
              <w:rPr>
                <w:rFonts w:ascii="宋体" w:hAnsi="宋体"/>
                <w:kern w:val="0"/>
              </w:rPr>
            </w:pPr>
            <w:r>
              <w:rPr>
                <w:rFonts w:ascii="宋体" w:hAnsi="宋体"/>
                <w:kern w:val="0"/>
              </w:rPr>
              <w:t>3.《国家税务总局 国家外汇管理局关于个人财产对外转移提交税收证明或者完税凭证有关问题的通知》（国税发〔2005〕13号）</w:t>
            </w:r>
            <w:r>
              <w:rPr>
                <w:rFonts w:hint="eastAsia" w:ascii="宋体" w:hAnsi="宋体"/>
                <w:kern w:val="0"/>
              </w:rPr>
              <w:t>。</w:t>
            </w:r>
          </w:p>
          <w:p>
            <w:pPr>
              <w:widowControl/>
              <w:snapToGrid w:val="0"/>
              <w:jc w:val="left"/>
              <w:rPr>
                <w:rFonts w:ascii="宋体" w:hAnsi="宋体"/>
                <w:kern w:val="0"/>
              </w:rPr>
            </w:pPr>
            <w:r>
              <w:rPr>
                <w:rFonts w:ascii="宋体" w:hAnsi="宋体"/>
                <w:kern w:val="0"/>
              </w:rPr>
              <w:t>4.《国家外汇管理局 外交部 公安部 监察部 司法部关于实施〈个人财产对外转移售付汇管理暂行办法〉有关问题的通知》（汇发〔2005〕9号）</w:t>
            </w:r>
            <w:r>
              <w:rPr>
                <w:rFonts w:hint="eastAsia" w:ascii="宋体" w:hAnsi="宋体"/>
                <w:kern w:val="0"/>
              </w:rPr>
              <w:t>。</w:t>
            </w:r>
          </w:p>
          <w:p>
            <w:pPr>
              <w:widowControl/>
              <w:snapToGrid w:val="0"/>
              <w:jc w:val="left"/>
              <w:rPr>
                <w:rFonts w:ascii="宋体" w:hAnsi="宋体"/>
                <w:kern w:val="0"/>
              </w:rPr>
            </w:pPr>
            <w:r>
              <w:rPr>
                <w:rFonts w:ascii="宋体" w:hAnsi="宋体"/>
                <w:kern w:val="0"/>
              </w:rPr>
              <w:t>5.《国家外汇管理局关于调整部分资本项目外汇业务审批权限的通知》（汇发〔2009〕21号）</w:t>
            </w:r>
            <w:r>
              <w:rPr>
                <w:rFonts w:hint="eastAsia" w:ascii="宋体" w:hAnsi="宋体"/>
                <w:kern w:val="0"/>
              </w:rPr>
              <w:t>。</w:t>
            </w:r>
          </w:p>
          <w:p>
            <w:pPr>
              <w:widowControl/>
              <w:snapToGrid w:val="0"/>
              <w:jc w:val="left"/>
              <w:rPr>
                <w:rFonts w:ascii="宋体" w:hAnsi="宋体"/>
                <w:kern w:val="0"/>
              </w:rPr>
            </w:pPr>
            <w:r>
              <w:rPr>
                <w:rFonts w:hint="eastAsia" w:ascii="宋体" w:hAnsi="宋体"/>
                <w:kern w:val="0"/>
              </w:rPr>
              <w:t>6.《国家外汇管理局关于进一步改进和调整资本项目外汇管理政策的通知》（汇发〔2014〕2号）。</w:t>
            </w:r>
          </w:p>
          <w:p>
            <w:pPr>
              <w:widowControl/>
              <w:snapToGrid w:val="0"/>
              <w:jc w:val="left"/>
              <w:rPr>
                <w:rFonts w:ascii="宋体" w:hAnsi="宋体"/>
                <w:kern w:val="0"/>
              </w:rPr>
            </w:pPr>
            <w:r>
              <w:rPr>
                <w:rFonts w:hint="eastAsia" w:ascii="宋体" w:hAnsi="宋体"/>
                <w:kern w:val="0"/>
              </w:rPr>
              <w:t>7</w:t>
            </w:r>
            <w:r>
              <w:rPr>
                <w:rFonts w:ascii="宋体" w:hAnsi="宋体"/>
                <w:kern w:val="0"/>
              </w:rPr>
              <w:t>.其他相关法规</w:t>
            </w:r>
            <w:r>
              <w:rPr>
                <w:rFonts w:hint="eastAsia" w:ascii="宋体" w:hAnsi="宋体"/>
                <w:kern w:val="0"/>
              </w:rPr>
              <w:t>。</w:t>
            </w:r>
          </w:p>
          <w:p>
            <w:pPr>
              <w:widowControl/>
              <w:snapToGrid w:val="0"/>
              <w:jc w:val="left"/>
              <w:rPr>
                <w:rFonts w:hint="default" w:ascii="宋体" w:hAnsi="宋体"/>
                <w:kern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jc w:val="center"/>
        </w:trPr>
        <w:tc>
          <w:tcPr>
            <w:tcW w:w="1093"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rFonts w:hint="eastAsia" w:ascii="宋体" w:hAnsi="宋体"/>
                <w:kern w:val="0"/>
                <w:lang w:val="en-US" w:eastAsia="zh-CN"/>
              </w:rPr>
            </w:pPr>
            <w:r>
              <w:rPr>
                <w:rFonts w:ascii="宋体" w:hAnsi="宋体"/>
                <w:kern w:val="0"/>
              </w:rPr>
              <w:t>申请条件</w:t>
            </w:r>
            <w:r>
              <w:rPr>
                <w:rFonts w:hint="eastAsia" w:ascii="宋体" w:hAnsi="宋体"/>
                <w:kern w:val="0"/>
                <w:lang w:val="en-US" w:eastAsia="zh-CN"/>
              </w:rPr>
              <w:t>及</w:t>
            </w:r>
          </w:p>
          <w:p>
            <w:pPr>
              <w:widowControl/>
              <w:snapToGrid w:val="0"/>
              <w:jc w:val="center"/>
              <w:rPr>
                <w:rFonts w:hint="default" w:ascii="宋体" w:hAnsi="宋体"/>
                <w:kern w:val="0"/>
                <w:lang w:val="en-US" w:eastAsia="zh-CN"/>
              </w:rPr>
            </w:pPr>
            <w:r>
              <w:rPr>
                <w:rFonts w:hint="eastAsia" w:ascii="宋体" w:hAnsi="宋体"/>
                <w:kern w:val="0"/>
                <w:lang w:val="en-US" w:eastAsia="zh-CN"/>
              </w:rPr>
              <w:t>注意事项</w:t>
            </w:r>
          </w:p>
        </w:tc>
        <w:tc>
          <w:tcPr>
            <w:tcW w:w="7412" w:type="dxa"/>
            <w:tcBorders>
              <w:top w:val="single" w:color="000000" w:sz="4" w:space="0"/>
              <w:left w:val="nil"/>
              <w:bottom w:val="single" w:color="000000" w:sz="4" w:space="0"/>
              <w:right w:val="single" w:color="000000" w:sz="4" w:space="0"/>
            </w:tcBorders>
            <w:vAlign w:val="center"/>
          </w:tcPr>
          <w:p>
            <w:pPr>
              <w:widowControl/>
              <w:snapToGrid w:val="0"/>
              <w:jc w:val="left"/>
              <w:rPr>
                <w:rFonts w:ascii="宋体" w:hAnsi="宋体"/>
                <w:kern w:val="0"/>
              </w:rPr>
            </w:pPr>
            <w:r>
              <w:rPr>
                <w:rFonts w:ascii="宋体" w:hAnsi="宋体"/>
                <w:kern w:val="0"/>
              </w:rPr>
              <w:t>1.司法、监察等部门依法限制对外转移的财产对外转移申请，不予受理。</w:t>
            </w:r>
          </w:p>
          <w:p>
            <w:pPr>
              <w:widowControl/>
              <w:snapToGrid w:val="0"/>
              <w:jc w:val="left"/>
              <w:rPr>
                <w:rFonts w:ascii="宋体" w:hAnsi="宋体"/>
                <w:kern w:val="0"/>
              </w:rPr>
            </w:pPr>
            <w:r>
              <w:rPr>
                <w:rFonts w:ascii="宋体" w:hAnsi="宋体"/>
                <w:kern w:val="0"/>
              </w:rPr>
              <w:t>2.对涉及国家公职人员及其近亲属，申请金额超过100万元人民币的申请，在审核过程中</w:t>
            </w:r>
            <w:r>
              <w:rPr>
                <w:rFonts w:hint="eastAsia" w:ascii="宋体" w:hAnsi="宋体"/>
                <w:kern w:val="0"/>
              </w:rPr>
              <w:t>可</w:t>
            </w:r>
            <w:r>
              <w:rPr>
                <w:rFonts w:ascii="宋体" w:hAnsi="宋体"/>
                <w:kern w:val="0"/>
              </w:rPr>
              <w:t>向相应级别的监察部门（省级（含）以上）进行询证。对大额可疑或涉嫌非法转移财产的申请，在审核过程中要询证相应级别的公安、司法部门。</w:t>
            </w:r>
          </w:p>
          <w:p>
            <w:pPr>
              <w:widowControl/>
              <w:snapToGrid w:val="0"/>
              <w:jc w:val="left"/>
              <w:rPr>
                <w:rFonts w:hint="default" w:ascii="宋体" w:hAnsi="宋体"/>
                <w:kern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jc w:val="center"/>
        </w:trPr>
        <w:tc>
          <w:tcPr>
            <w:tcW w:w="1093" w:type="dxa"/>
            <w:tcBorders>
              <w:top w:val="single" w:color="000000" w:sz="4" w:space="0"/>
              <w:left w:val="single" w:color="000000" w:sz="4" w:space="0"/>
              <w:bottom w:val="single" w:color="000000" w:sz="4" w:space="0"/>
              <w:right w:val="single" w:color="000000" w:sz="4" w:space="0"/>
            </w:tcBorders>
            <w:vAlign w:val="center"/>
          </w:tcPr>
          <w:p>
            <w:pPr>
              <w:widowControl/>
              <w:snapToGrid w:val="0"/>
              <w:jc w:val="left"/>
              <w:rPr>
                <w:rFonts w:hint="default"/>
                <w:kern w:val="0"/>
                <w:sz w:val="20"/>
              </w:rPr>
            </w:pPr>
            <w:r>
              <w:rPr>
                <w:rFonts w:ascii="宋体" w:hAnsi="宋体"/>
                <w:kern w:val="0"/>
              </w:rPr>
              <w:t>办理材料</w:t>
            </w:r>
          </w:p>
        </w:tc>
        <w:tc>
          <w:tcPr>
            <w:tcW w:w="7412" w:type="dxa"/>
            <w:tcBorders>
              <w:top w:val="single" w:color="000000" w:sz="4" w:space="0"/>
              <w:left w:val="nil"/>
              <w:bottom w:val="single" w:color="000000" w:sz="4" w:space="0"/>
              <w:right w:val="single" w:color="000000" w:sz="4" w:space="0"/>
            </w:tcBorders>
            <w:vAlign w:val="center"/>
          </w:tcPr>
          <w:p>
            <w:pPr>
              <w:widowControl/>
              <w:snapToGrid w:val="0"/>
              <w:jc w:val="left"/>
              <w:rPr>
                <w:rFonts w:ascii="宋体" w:hAnsi="宋体"/>
                <w:kern w:val="0"/>
              </w:rPr>
            </w:pPr>
            <w:r>
              <w:rPr>
                <w:rFonts w:ascii="宋体" w:hAnsi="宋体"/>
                <w:kern w:val="0"/>
              </w:rPr>
              <w:t>1.由申请人或其代理人签名的《个人财产转移业务申请表》。</w:t>
            </w:r>
          </w:p>
          <w:p>
            <w:pPr>
              <w:widowControl/>
              <w:snapToGrid w:val="0"/>
              <w:jc w:val="left"/>
              <w:rPr>
                <w:rFonts w:ascii="宋体" w:hAnsi="宋体"/>
                <w:kern w:val="0"/>
              </w:rPr>
            </w:pPr>
            <w:r>
              <w:rPr>
                <w:rFonts w:ascii="宋体" w:hAnsi="宋体"/>
                <w:kern w:val="0"/>
              </w:rPr>
              <w:t>2.申请人身份证明文件。</w:t>
            </w:r>
          </w:p>
          <w:p>
            <w:pPr>
              <w:widowControl/>
              <w:snapToGrid w:val="0"/>
              <w:jc w:val="left"/>
              <w:rPr>
                <w:rFonts w:ascii="宋体" w:hAnsi="宋体"/>
                <w:kern w:val="0"/>
              </w:rPr>
            </w:pPr>
            <w:r>
              <w:rPr>
                <w:rFonts w:ascii="宋体" w:hAnsi="宋体"/>
                <w:kern w:val="0"/>
              </w:rPr>
              <w:t>（1）申请人为外国公民的，应提供：</w:t>
            </w:r>
          </w:p>
          <w:p>
            <w:pPr>
              <w:widowControl/>
              <w:snapToGrid w:val="0"/>
              <w:jc w:val="left"/>
              <w:rPr>
                <w:rFonts w:ascii="宋体" w:hAnsi="宋体"/>
                <w:kern w:val="0"/>
              </w:rPr>
            </w:pPr>
            <w:r>
              <w:rPr>
                <w:rFonts w:hint="eastAsia" w:ascii="宋体" w:hAnsi="宋体"/>
                <w:kern w:val="0"/>
              </w:rPr>
              <w:t>①</w:t>
            </w:r>
            <w:r>
              <w:rPr>
                <w:rFonts w:ascii="宋体" w:hAnsi="宋体"/>
                <w:kern w:val="0"/>
              </w:rPr>
              <w:t>申请人持有的外国护照或其他证明其国籍的证明文件。</w:t>
            </w:r>
          </w:p>
          <w:p>
            <w:pPr>
              <w:widowControl/>
              <w:snapToGrid w:val="0"/>
              <w:jc w:val="left"/>
              <w:rPr>
                <w:rFonts w:ascii="宋体" w:hAnsi="宋体"/>
                <w:kern w:val="0"/>
              </w:rPr>
            </w:pPr>
            <w:r>
              <w:rPr>
                <w:rFonts w:hint="eastAsia" w:ascii="宋体" w:hAnsi="宋体"/>
                <w:kern w:val="0"/>
              </w:rPr>
              <w:t>②</w:t>
            </w:r>
            <w:r>
              <w:rPr>
                <w:rFonts w:ascii="宋体" w:hAnsi="宋体"/>
                <w:kern w:val="0"/>
              </w:rPr>
              <w:t>申请人居住国居民身份证或其他有效身份证明。</w:t>
            </w:r>
          </w:p>
          <w:p>
            <w:pPr>
              <w:widowControl/>
              <w:snapToGrid w:val="0"/>
              <w:jc w:val="left"/>
              <w:rPr>
                <w:rFonts w:ascii="宋体" w:hAnsi="宋体"/>
                <w:kern w:val="0"/>
              </w:rPr>
            </w:pPr>
            <w:r>
              <w:rPr>
                <w:rFonts w:hint="eastAsia" w:ascii="宋体" w:hAnsi="宋体"/>
                <w:kern w:val="0"/>
              </w:rPr>
              <w:t>③</w:t>
            </w:r>
            <w:r>
              <w:rPr>
                <w:rFonts w:ascii="宋体" w:hAnsi="宋体"/>
                <w:kern w:val="0"/>
              </w:rPr>
              <w:t>中国驻外使领馆认证的申请人在该国定居证明。</w:t>
            </w:r>
          </w:p>
          <w:p>
            <w:pPr>
              <w:widowControl/>
              <w:snapToGrid w:val="0"/>
              <w:jc w:val="left"/>
              <w:rPr>
                <w:rFonts w:ascii="宋体" w:hAnsi="宋体"/>
                <w:kern w:val="0"/>
              </w:rPr>
            </w:pPr>
            <w:r>
              <w:rPr>
                <w:rFonts w:ascii="宋体" w:hAnsi="宋体"/>
                <w:kern w:val="0"/>
              </w:rPr>
              <w:t>（2）申请人为香港特别行政区、澳门特别行政区居民的，应提供：</w:t>
            </w:r>
          </w:p>
          <w:p>
            <w:pPr>
              <w:widowControl/>
              <w:snapToGrid w:val="0"/>
              <w:jc w:val="left"/>
              <w:rPr>
                <w:rFonts w:ascii="宋体" w:hAnsi="宋体"/>
                <w:kern w:val="0"/>
              </w:rPr>
            </w:pPr>
            <w:r>
              <w:rPr>
                <w:rFonts w:hint="eastAsia" w:ascii="宋体" w:hAnsi="宋体"/>
                <w:kern w:val="0"/>
              </w:rPr>
              <w:t>①</w:t>
            </w:r>
            <w:r>
              <w:rPr>
                <w:rFonts w:ascii="宋体" w:hAnsi="宋体"/>
                <w:kern w:val="0"/>
              </w:rPr>
              <w:t>香港特别行政区、澳门特别行政区（永久）居民身份证或其他有效身份证明。</w:t>
            </w:r>
          </w:p>
          <w:p>
            <w:pPr>
              <w:widowControl/>
              <w:snapToGrid w:val="0"/>
              <w:jc w:val="left"/>
              <w:rPr>
                <w:rFonts w:ascii="宋体" w:hAnsi="宋体"/>
                <w:kern w:val="0"/>
              </w:rPr>
            </w:pPr>
            <w:r>
              <w:rPr>
                <w:rFonts w:hint="eastAsia" w:ascii="宋体" w:hAnsi="宋体"/>
                <w:kern w:val="0"/>
              </w:rPr>
              <w:t>②港澳居民来往内地通行证或者特区护照。</w:t>
            </w:r>
          </w:p>
          <w:p>
            <w:pPr>
              <w:widowControl/>
              <w:snapToGrid w:val="0"/>
              <w:jc w:val="left"/>
              <w:rPr>
                <w:rFonts w:ascii="宋体" w:hAnsi="宋体"/>
                <w:kern w:val="0"/>
              </w:rPr>
            </w:pPr>
            <w:r>
              <w:rPr>
                <w:rFonts w:ascii="宋体" w:hAnsi="宋体"/>
                <w:kern w:val="0"/>
              </w:rPr>
              <w:t>（3）申请人为台湾地区居民的，应提供：</w:t>
            </w:r>
          </w:p>
          <w:p>
            <w:pPr>
              <w:widowControl/>
              <w:snapToGrid w:val="0"/>
              <w:jc w:val="left"/>
              <w:rPr>
                <w:rFonts w:ascii="宋体" w:hAnsi="宋体"/>
                <w:kern w:val="0"/>
              </w:rPr>
            </w:pPr>
            <w:r>
              <w:rPr>
                <w:rFonts w:hint="eastAsia" w:ascii="宋体" w:hAnsi="宋体"/>
                <w:kern w:val="0"/>
              </w:rPr>
              <w:t>①</w:t>
            </w:r>
            <w:r>
              <w:rPr>
                <w:rFonts w:ascii="宋体" w:hAnsi="宋体"/>
                <w:kern w:val="0"/>
              </w:rPr>
              <w:t>台湾地区居民身份证或其他在台湾地区居住的有效身份证明。</w:t>
            </w:r>
          </w:p>
          <w:p>
            <w:pPr>
              <w:widowControl/>
              <w:snapToGrid w:val="0"/>
              <w:jc w:val="left"/>
              <w:rPr>
                <w:rFonts w:ascii="宋体" w:hAnsi="宋体"/>
                <w:kern w:val="0"/>
              </w:rPr>
            </w:pPr>
            <w:r>
              <w:rPr>
                <w:rFonts w:hint="eastAsia" w:ascii="宋体" w:hAnsi="宋体"/>
                <w:kern w:val="0"/>
              </w:rPr>
              <w:t>②台湾居民往来大陆通行证或其他出入境证件。</w:t>
            </w:r>
          </w:p>
          <w:p>
            <w:pPr>
              <w:widowControl/>
              <w:snapToGrid w:val="0"/>
              <w:jc w:val="left"/>
              <w:rPr>
                <w:rFonts w:ascii="宋体" w:hAnsi="宋体"/>
                <w:kern w:val="0"/>
              </w:rPr>
            </w:pPr>
            <w:r>
              <w:rPr>
                <w:rFonts w:ascii="宋体" w:hAnsi="宋体"/>
                <w:kern w:val="0"/>
              </w:rPr>
              <w:t>3.申请人获得继承财产的证明文件。申请人拟继承财产转移</w:t>
            </w:r>
            <w:r>
              <w:rPr>
                <w:rFonts w:hint="eastAsia" w:ascii="宋体" w:hAnsi="宋体"/>
                <w:kern w:val="0"/>
              </w:rPr>
              <w:t>总金额</w:t>
            </w:r>
            <w:r>
              <w:rPr>
                <w:rFonts w:ascii="宋体" w:hAnsi="宋体"/>
                <w:kern w:val="0"/>
              </w:rPr>
              <w:t>在等值50万美元以下的，无需提交财产权利证明文件，只需声明来源。</w:t>
            </w:r>
          </w:p>
          <w:p>
            <w:pPr>
              <w:widowControl/>
              <w:snapToGrid w:val="0"/>
              <w:jc w:val="left"/>
              <w:rPr>
                <w:rFonts w:ascii="宋体" w:hAnsi="宋体"/>
                <w:kern w:val="0"/>
              </w:rPr>
            </w:pPr>
            <w:r>
              <w:rPr>
                <w:rFonts w:ascii="宋体" w:hAnsi="宋体"/>
                <w:kern w:val="0"/>
              </w:rPr>
              <w:t>4</w:t>
            </w:r>
            <w:r>
              <w:rPr>
                <w:rFonts w:hint="eastAsia" w:ascii="宋体" w:hAnsi="宋体"/>
                <w:kern w:val="0"/>
              </w:rPr>
              <w:t>.</w:t>
            </w:r>
            <w:r>
              <w:rPr>
                <w:rFonts w:ascii="宋体" w:hAnsi="宋体"/>
                <w:kern w:val="0"/>
              </w:rPr>
              <w:t>被继承人财产权利证明文件，包括但不限于房屋产权证、房地产买卖契约或拆迁补偿安置协议、</w:t>
            </w:r>
            <w:r>
              <w:rPr>
                <w:rFonts w:hint="eastAsia" w:ascii="宋体" w:hAnsi="宋体"/>
                <w:kern w:val="0"/>
              </w:rPr>
              <w:t>承包或租赁合同或协议、</w:t>
            </w:r>
            <w:r>
              <w:rPr>
                <w:rFonts w:ascii="宋体" w:hAnsi="宋体"/>
                <w:kern w:val="0"/>
              </w:rPr>
              <w:t>财产转让合同或协议、特许权使用协议或合同</w:t>
            </w:r>
            <w:r>
              <w:rPr>
                <w:rFonts w:hint="eastAsia" w:ascii="宋体" w:hAnsi="宋体"/>
                <w:kern w:val="0"/>
              </w:rPr>
              <w:t>。</w:t>
            </w:r>
          </w:p>
          <w:p>
            <w:pPr>
              <w:widowControl/>
              <w:snapToGrid w:val="0"/>
              <w:jc w:val="left"/>
              <w:rPr>
                <w:rFonts w:ascii="宋体" w:hAnsi="宋体"/>
                <w:kern w:val="0"/>
              </w:rPr>
            </w:pPr>
            <w:r>
              <w:rPr>
                <w:rFonts w:ascii="宋体" w:hAnsi="宋体"/>
                <w:kern w:val="0"/>
              </w:rPr>
              <w:t>5</w:t>
            </w:r>
            <w:r>
              <w:rPr>
                <w:rFonts w:hint="eastAsia" w:ascii="宋体" w:hAnsi="宋体"/>
                <w:kern w:val="0"/>
              </w:rPr>
              <w:t>.主管税务部门出具的税务证明原件（按规定无需提交的除外）。</w:t>
            </w:r>
          </w:p>
          <w:p>
            <w:pPr>
              <w:widowControl/>
              <w:snapToGrid w:val="0"/>
              <w:jc w:val="left"/>
              <w:rPr>
                <w:rFonts w:ascii="宋体" w:hAnsi="宋体"/>
                <w:kern w:val="0"/>
              </w:rPr>
            </w:pPr>
            <w:r>
              <w:rPr>
                <w:rFonts w:hint="eastAsia" w:ascii="宋体" w:hAnsi="宋体"/>
                <w:kern w:val="0"/>
              </w:rPr>
              <w:t>6.</w:t>
            </w:r>
            <w:r>
              <w:rPr>
                <w:rFonts w:ascii="宋体" w:hAnsi="宋体"/>
                <w:kern w:val="0"/>
              </w:rPr>
              <w:t>委托他人办理的应提供委托代理协议和代理人身份证明。</w:t>
            </w:r>
          </w:p>
          <w:p>
            <w:pPr>
              <w:widowControl/>
              <w:snapToGrid w:val="0"/>
              <w:jc w:val="left"/>
              <w:rPr>
                <w:rFonts w:hint="default" w:ascii="宋体" w:hAnsi="宋体"/>
                <w:kern w:val="0"/>
              </w:rPr>
            </w:pPr>
            <w:r>
              <w:rPr>
                <w:rFonts w:ascii="宋体" w:hAnsi="宋体"/>
                <w:kern w:val="0"/>
              </w:rPr>
              <w:t>7.外汇局要求提供的其他资料。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1" w:hRule="atLeast"/>
          <w:jc w:val="center"/>
        </w:trPr>
        <w:tc>
          <w:tcPr>
            <w:tcW w:w="1093" w:type="dxa"/>
            <w:tcBorders>
              <w:top w:val="single" w:color="000000" w:sz="4" w:space="0"/>
              <w:left w:val="single" w:color="000000" w:sz="4" w:space="0"/>
              <w:bottom w:val="single" w:color="000000" w:sz="4" w:space="0"/>
              <w:right w:val="single" w:color="000000" w:sz="4" w:space="0"/>
            </w:tcBorders>
            <w:vAlign w:val="center"/>
          </w:tcPr>
          <w:p>
            <w:pPr>
              <w:widowControl/>
              <w:snapToGrid w:val="0"/>
              <w:jc w:val="left"/>
              <w:rPr>
                <w:rFonts w:hint="default"/>
                <w:kern w:val="0"/>
                <w:sz w:val="20"/>
              </w:rPr>
            </w:pPr>
            <w:r>
              <w:rPr>
                <w:rFonts w:ascii="宋体" w:hAnsi="宋体"/>
                <w:kern w:val="0"/>
              </w:rPr>
              <w:t>办理地点</w:t>
            </w:r>
          </w:p>
        </w:tc>
        <w:tc>
          <w:tcPr>
            <w:tcW w:w="7412" w:type="dxa"/>
            <w:tcBorders>
              <w:top w:val="single" w:color="000000" w:sz="4" w:space="0"/>
              <w:left w:val="nil"/>
              <w:bottom w:val="single" w:color="000000" w:sz="4" w:space="0"/>
              <w:right w:val="single" w:color="000000" w:sz="4" w:space="0"/>
            </w:tcBorders>
            <w:vAlign w:val="top"/>
          </w:tcPr>
          <w:p>
            <w:pPr>
              <w:widowControl/>
              <w:snapToGrid w:val="0"/>
              <w:jc w:val="left"/>
              <w:rPr>
                <w:rFonts w:hint="default"/>
                <w:kern w:val="0"/>
              </w:rPr>
            </w:pPr>
            <w:r>
              <w:rPr>
                <w:rFonts w:ascii="宋体" w:hAnsi="宋体"/>
                <w:kern w:val="0"/>
              </w:rPr>
              <w:t>国家外汇管理局青海省分局外汇管理处资本科（西宁市昆仑路3号人民银行政务大厅）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jc w:val="center"/>
        </w:trPr>
        <w:tc>
          <w:tcPr>
            <w:tcW w:w="1093" w:type="dxa"/>
            <w:tcBorders>
              <w:top w:val="single" w:color="000000" w:sz="4" w:space="0"/>
              <w:left w:val="single" w:color="000000" w:sz="4" w:space="0"/>
              <w:bottom w:val="single" w:color="000000" w:sz="4" w:space="0"/>
              <w:right w:val="single" w:color="000000" w:sz="4" w:space="0"/>
            </w:tcBorders>
            <w:vAlign w:val="center"/>
          </w:tcPr>
          <w:p>
            <w:pPr>
              <w:widowControl/>
              <w:snapToGrid w:val="0"/>
              <w:jc w:val="left"/>
              <w:rPr>
                <w:rFonts w:hint="default"/>
                <w:kern w:val="0"/>
                <w:sz w:val="20"/>
              </w:rPr>
            </w:pPr>
            <w:r>
              <w:rPr>
                <w:rFonts w:ascii="宋体" w:hAnsi="宋体"/>
                <w:kern w:val="0"/>
              </w:rPr>
              <w:t>办理时间</w:t>
            </w:r>
          </w:p>
          <w:p>
            <w:pPr>
              <w:widowControl/>
              <w:spacing w:line="271" w:lineRule="auto"/>
              <w:jc w:val="center"/>
              <w:rPr>
                <w:rFonts w:hint="default" w:ascii="Times New Roman" w:eastAsia="Times New Roman"/>
                <w:b/>
                <w:kern w:val="0"/>
              </w:rPr>
            </w:pPr>
          </w:p>
        </w:tc>
        <w:tc>
          <w:tcPr>
            <w:tcW w:w="7412" w:type="dxa"/>
            <w:tcBorders>
              <w:top w:val="single" w:color="000000" w:sz="4" w:space="0"/>
              <w:left w:val="nil"/>
              <w:bottom w:val="single" w:color="000000" w:sz="4" w:space="0"/>
              <w:right w:val="single" w:color="000000" w:sz="4" w:space="0"/>
            </w:tcBorders>
            <w:vAlign w:val="top"/>
          </w:tcPr>
          <w:p>
            <w:pPr>
              <w:widowControl/>
              <w:snapToGrid w:val="0"/>
              <w:jc w:val="left"/>
              <w:rPr>
                <w:rFonts w:hint="default"/>
                <w:kern w:val="0"/>
              </w:rPr>
            </w:pPr>
            <w:r>
              <w:rPr>
                <w:rFonts w:ascii="宋体" w:hAnsi="宋体"/>
                <w:kern w:val="0"/>
              </w:rPr>
              <w:t>周一至周五（法定节假日除外）</w:t>
            </w:r>
          </w:p>
          <w:p>
            <w:pPr>
              <w:widowControl/>
              <w:snapToGrid w:val="0"/>
              <w:jc w:val="left"/>
              <w:rPr>
                <w:rFonts w:hint="default"/>
                <w:kern w:val="0"/>
                <w:sz w:val="20"/>
              </w:rPr>
            </w:pPr>
            <w:r>
              <w:rPr>
                <w:rFonts w:ascii="宋体" w:hAnsi="宋体"/>
                <w:kern w:val="0"/>
              </w:rPr>
              <w:t>上午8：30-11：30，下午2：00-5：30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jc w:val="center"/>
        </w:trPr>
        <w:tc>
          <w:tcPr>
            <w:tcW w:w="1093" w:type="dxa"/>
            <w:tcBorders>
              <w:top w:val="single" w:color="000000" w:sz="4" w:space="0"/>
              <w:left w:val="single" w:color="000000" w:sz="4" w:space="0"/>
              <w:bottom w:val="single" w:color="000000" w:sz="4" w:space="0"/>
              <w:right w:val="single" w:color="000000" w:sz="4" w:space="0"/>
            </w:tcBorders>
            <w:vAlign w:val="center"/>
          </w:tcPr>
          <w:p>
            <w:pPr>
              <w:widowControl/>
              <w:snapToGrid w:val="0"/>
              <w:jc w:val="left"/>
              <w:rPr>
                <w:rFonts w:hint="default"/>
                <w:kern w:val="0"/>
                <w:sz w:val="20"/>
              </w:rPr>
            </w:pPr>
            <w:r>
              <w:rPr>
                <w:rFonts w:ascii="宋体" w:hAnsi="宋体"/>
                <w:kern w:val="0"/>
              </w:rPr>
              <w:t>联系电话</w:t>
            </w:r>
          </w:p>
        </w:tc>
        <w:tc>
          <w:tcPr>
            <w:tcW w:w="7412" w:type="dxa"/>
            <w:tcBorders>
              <w:top w:val="single" w:color="000000" w:sz="4" w:space="0"/>
              <w:left w:val="nil"/>
              <w:bottom w:val="single" w:color="000000" w:sz="4" w:space="0"/>
              <w:right w:val="single" w:color="000000" w:sz="4" w:space="0"/>
            </w:tcBorders>
            <w:vAlign w:val="top"/>
          </w:tcPr>
          <w:p>
            <w:pPr>
              <w:widowControl/>
              <w:snapToGrid w:val="0"/>
              <w:jc w:val="left"/>
              <w:rPr>
                <w:rFonts w:hint="default"/>
                <w:kern w:val="0"/>
              </w:rPr>
            </w:pPr>
            <w:r>
              <w:rPr>
                <w:rFonts w:ascii="宋体" w:hAnsi="宋体"/>
                <w:kern w:val="0"/>
              </w:rPr>
              <w:t>0971-6126143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jc w:val="center"/>
        </w:trPr>
        <w:tc>
          <w:tcPr>
            <w:tcW w:w="1093" w:type="dxa"/>
            <w:tcBorders>
              <w:top w:val="single" w:color="000000" w:sz="4" w:space="0"/>
              <w:left w:val="single" w:color="000000" w:sz="4" w:space="0"/>
              <w:bottom w:val="single" w:color="000000" w:sz="4" w:space="0"/>
              <w:right w:val="single" w:color="000000" w:sz="4" w:space="0"/>
            </w:tcBorders>
            <w:vAlign w:val="center"/>
          </w:tcPr>
          <w:p>
            <w:pPr>
              <w:widowControl/>
              <w:snapToGrid w:val="0"/>
              <w:jc w:val="left"/>
              <w:rPr>
                <w:rFonts w:hint="default"/>
                <w:kern w:val="0"/>
                <w:sz w:val="20"/>
              </w:rPr>
            </w:pPr>
            <w:r>
              <w:rPr>
                <w:rFonts w:ascii="宋体" w:hAnsi="宋体"/>
                <w:kern w:val="0"/>
              </w:rPr>
              <w:t>办理流程</w:t>
            </w:r>
          </w:p>
        </w:tc>
        <w:tc>
          <w:tcPr>
            <w:tcW w:w="7412" w:type="dxa"/>
            <w:tcBorders>
              <w:top w:val="single" w:color="000000" w:sz="4" w:space="0"/>
              <w:left w:val="nil"/>
              <w:bottom w:val="single" w:color="000000" w:sz="4" w:space="0"/>
              <w:right w:val="single" w:color="000000" w:sz="4" w:space="0"/>
            </w:tcBorders>
            <w:vAlign w:val="top"/>
          </w:tcPr>
          <w:p>
            <w:pPr>
              <w:widowControl/>
              <w:snapToGrid w:val="0"/>
              <w:jc w:val="left"/>
              <w:rPr>
                <w:rFonts w:hint="eastAsia" w:ascii="宋体" w:hAnsi="宋体"/>
                <w:kern w:val="0"/>
                <w:lang w:val="en-US" w:eastAsia="zh-CN"/>
              </w:rPr>
            </w:pPr>
            <w:r>
              <w:rPr>
                <w:rFonts w:hint="eastAsia"/>
                <w:kern w:val="0"/>
                <w:sz w:val="20"/>
                <w:lang w:val="en-US" w:eastAsia="zh-CN"/>
              </w:rPr>
              <w:t>对于申请金额</w:t>
            </w:r>
            <w:r>
              <w:rPr>
                <w:rFonts w:hint="eastAsia" w:ascii="宋体" w:hAnsi="宋体"/>
                <w:kern w:val="0"/>
                <w:lang w:val="en-US" w:eastAsia="zh-CN"/>
              </w:rPr>
              <w:t>超过100万人民币的申请,请按照以下步骤办理:</w:t>
            </w:r>
          </w:p>
          <w:p>
            <w:pPr>
              <w:widowControl/>
              <w:numPr>
                <w:numId w:val="0"/>
              </w:numPr>
              <w:snapToGrid w:val="0"/>
              <w:jc w:val="left"/>
              <w:rPr>
                <w:rFonts w:hint="eastAsia" w:ascii="宋体" w:hAnsi="宋体"/>
                <w:kern w:val="0"/>
                <w:lang w:val="en-US" w:eastAsia="zh-CN"/>
              </w:rPr>
            </w:pPr>
            <w:r>
              <w:rPr>
                <w:rFonts w:hint="eastAsia" w:ascii="宋体" w:hAnsi="宋体"/>
                <w:kern w:val="0"/>
                <w:lang w:val="en-US" w:eastAsia="zh-CN"/>
              </w:rPr>
              <w:t>1.继承人提出申请；</w:t>
            </w:r>
          </w:p>
          <w:p>
            <w:pPr>
              <w:widowControl/>
              <w:numPr>
                <w:numId w:val="0"/>
              </w:numPr>
              <w:snapToGrid w:val="0"/>
              <w:jc w:val="left"/>
              <w:rPr>
                <w:rFonts w:hint="default" w:ascii="宋体" w:hAnsi="宋体"/>
                <w:kern w:val="0"/>
                <w:lang w:val="en-US" w:eastAsia="zh-CN"/>
              </w:rPr>
            </w:pPr>
            <w:r>
              <w:rPr>
                <w:rFonts w:hint="eastAsia" w:ascii="宋体" w:hAnsi="宋体"/>
                <w:kern w:val="0"/>
                <w:lang w:val="en-US" w:eastAsia="zh-CN"/>
              </w:rPr>
              <w:t>2.外汇局向监察部门询证；</w:t>
            </w:r>
          </w:p>
          <w:p>
            <w:pPr>
              <w:widowControl/>
              <w:snapToGrid w:val="0"/>
              <w:jc w:val="left"/>
              <w:rPr>
                <w:rFonts w:hint="eastAsia" w:eastAsia="宋体"/>
                <w:kern w:val="0"/>
                <w:sz w:val="20"/>
                <w:lang w:val="en-US" w:eastAsia="zh-CN"/>
              </w:rPr>
            </w:pPr>
            <w:r>
              <w:rPr>
                <w:rFonts w:hint="eastAsia" w:ascii="宋体" w:hAnsi="宋体"/>
                <w:kern w:val="0"/>
                <w:lang w:val="en-US" w:eastAsia="zh-CN"/>
              </w:rPr>
              <w:t>3.外汇局开立核准件。</w:t>
            </w:r>
          </w:p>
        </w:tc>
      </w:tr>
    </w:tbl>
    <w:p>
      <w:pPr>
        <w:widowControl/>
        <w:rPr>
          <w:rFonts w:hint="default"/>
          <w:kern w:val="0"/>
        </w:rPr>
      </w:pPr>
    </w:p>
    <w:p>
      <w:pPr>
        <w:widowControl/>
        <w:rPr>
          <w:rFonts w:hint="default"/>
          <w:kern w:val="0"/>
        </w:rPr>
      </w:pPr>
    </w:p>
    <w:p>
      <w:pPr>
        <w:widowControl/>
        <w:rPr>
          <w:rFonts w:hint="default"/>
          <w:kern w:val="0"/>
        </w:rPr>
      </w:pPr>
    </w:p>
    <w:p>
      <w:pPr>
        <w:widowControl/>
        <w:rPr>
          <w:rFonts w:hint="default"/>
          <w:kern w:val="0"/>
        </w:rPr>
      </w:pPr>
    </w:p>
    <w:p>
      <w:pPr>
        <w:widowControl/>
        <w:rPr>
          <w:rFonts w:hint="default"/>
          <w:kern w:val="0"/>
        </w:rPr>
      </w:pPr>
    </w:p>
    <w:p>
      <w:pPr>
        <w:widowControl/>
        <w:rPr>
          <w:rFonts w:hint="default"/>
          <w:kern w:val="0"/>
        </w:rPr>
      </w:pPr>
    </w:p>
    <w:p>
      <w:pPr>
        <w:widowControl/>
        <w:rPr>
          <w:rFonts w:hint="default"/>
          <w:kern w:val="0"/>
        </w:rPr>
      </w:pPr>
    </w:p>
    <w:p>
      <w:pPr>
        <w:widowControl/>
        <w:rPr>
          <w:rFonts w:hint="default"/>
          <w:kern w:val="0"/>
        </w:rPr>
      </w:pPr>
    </w:p>
    <w:p>
      <w:pPr>
        <w:widowControl/>
        <w:rPr>
          <w:rFonts w:hint="default"/>
          <w:kern w:val="0"/>
        </w:rPr>
      </w:pPr>
    </w:p>
    <w:p>
      <w:pPr>
        <w:widowControl/>
        <w:rPr>
          <w:rFonts w:hint="default"/>
          <w:kern w:val="0"/>
        </w:rPr>
      </w:pPr>
    </w:p>
    <w:p>
      <w:pPr>
        <w:widowControl/>
        <w:rPr>
          <w:rFonts w:hint="default"/>
          <w:kern w:val="0"/>
        </w:rPr>
      </w:pPr>
    </w:p>
    <w:p>
      <w:pPr>
        <w:widowControl/>
        <w:rPr>
          <w:rFonts w:hint="default"/>
          <w:kern w:val="0"/>
        </w:rPr>
      </w:pPr>
    </w:p>
    <w:p>
      <w:pPr>
        <w:widowControl/>
        <w:rPr>
          <w:rFonts w:hint="default"/>
          <w:kern w:val="0"/>
        </w:rPr>
      </w:pPr>
    </w:p>
    <w:p>
      <w:pPr>
        <w:widowControl/>
        <w:rPr>
          <w:rFonts w:hint="default"/>
          <w:kern w:val="0"/>
        </w:rPr>
      </w:pPr>
    </w:p>
    <w:p>
      <w:pPr>
        <w:widowControl/>
        <w:rPr>
          <w:rFonts w:hint="default"/>
          <w:kern w:val="0"/>
        </w:rPr>
      </w:pPr>
    </w:p>
    <w:p>
      <w:pPr>
        <w:widowControl/>
        <w:rPr>
          <w:rFonts w:hint="default"/>
          <w:kern w:val="0"/>
        </w:rPr>
      </w:pPr>
    </w:p>
    <w:p>
      <w:pPr>
        <w:widowControl/>
        <w:rPr>
          <w:rFonts w:hint="default"/>
          <w:kern w:val="0"/>
        </w:rPr>
      </w:pPr>
    </w:p>
    <w:p>
      <w:pPr>
        <w:widowControl/>
        <w:rPr>
          <w:rFonts w:hint="default"/>
          <w:kern w:val="0"/>
        </w:rPr>
      </w:pPr>
    </w:p>
    <w:p>
      <w:pPr>
        <w:widowControl/>
        <w:rPr>
          <w:rFonts w:hint="default"/>
          <w:kern w:val="0"/>
        </w:rPr>
      </w:pPr>
    </w:p>
    <w:p>
      <w:pPr>
        <w:widowControl/>
        <w:rPr>
          <w:rFonts w:hint="default"/>
          <w:kern w:val="0"/>
        </w:rPr>
      </w:pPr>
    </w:p>
    <w:p>
      <w:pPr>
        <w:widowControl/>
        <w:rPr>
          <w:rFonts w:hint="default"/>
          <w:kern w:val="0"/>
        </w:rPr>
      </w:pPr>
    </w:p>
    <w:p>
      <w:pPr>
        <w:widowControl/>
        <w:rPr>
          <w:rFonts w:hint="default"/>
          <w:kern w:val="0"/>
        </w:rPr>
      </w:pPr>
    </w:p>
    <w:p>
      <w:pPr>
        <w:widowControl/>
        <w:rPr>
          <w:rFonts w:hint="default"/>
          <w:kern w:val="0"/>
        </w:rPr>
      </w:pPr>
    </w:p>
    <w:p>
      <w:pPr>
        <w:widowControl/>
        <w:rPr>
          <w:rFonts w:hint="default"/>
          <w:kern w:val="0"/>
        </w:rPr>
      </w:pPr>
    </w:p>
    <w:p>
      <w:pPr>
        <w:widowControl/>
        <w:rPr>
          <w:rFonts w:hint="default"/>
          <w:kern w:val="0"/>
        </w:rPr>
      </w:pPr>
    </w:p>
    <w:p>
      <w:pPr>
        <w:widowControl/>
        <w:rPr>
          <w:rFonts w:hint="default"/>
          <w:kern w:val="0"/>
        </w:rPr>
      </w:pPr>
    </w:p>
    <w:p>
      <w:pPr>
        <w:widowControl/>
        <w:rPr>
          <w:rFonts w:hint="default"/>
          <w:kern w:val="0"/>
        </w:rPr>
      </w:pPr>
    </w:p>
    <w:p>
      <w:pPr>
        <w:widowControl/>
        <w:rPr>
          <w:rFonts w:hint="default"/>
          <w:kern w:val="0"/>
        </w:rPr>
      </w:pPr>
    </w:p>
    <w:p>
      <w:pPr>
        <w:widowControl/>
        <w:rPr>
          <w:rFonts w:hint="default"/>
          <w:kern w:val="0"/>
        </w:rPr>
      </w:pPr>
    </w:p>
    <w:p>
      <w:pPr>
        <w:widowControl/>
        <w:rPr>
          <w:rFonts w:hint="default"/>
          <w:kern w:val="0"/>
        </w:rPr>
      </w:pPr>
    </w:p>
    <w:p>
      <w:pPr>
        <w:widowControl/>
        <w:rPr>
          <w:rFonts w:hint="default"/>
          <w:kern w:val="0"/>
        </w:rPr>
      </w:pPr>
    </w:p>
    <w:p>
      <w:pPr>
        <w:widowControl/>
        <w:rPr>
          <w:rFonts w:hint="default"/>
          <w:kern w:val="0"/>
        </w:rPr>
      </w:pPr>
    </w:p>
    <w:p>
      <w:pPr>
        <w:widowControl/>
        <w:rPr>
          <w:rFonts w:hint="default"/>
          <w:kern w:val="0"/>
        </w:rPr>
      </w:pPr>
    </w:p>
    <w:p>
      <w:pPr>
        <w:widowControl/>
        <w:rPr>
          <w:rFonts w:hint="default"/>
          <w:kern w:val="0"/>
        </w:rPr>
      </w:pPr>
    </w:p>
    <w:p>
      <w:pPr>
        <w:widowControl/>
        <w:rPr>
          <w:rFonts w:hint="default" w:ascii="仿宋_GB2312" w:hAnsi="仿宋_GB2312" w:eastAsia="仿宋_GB2312" w:cs="仿宋_GB2312"/>
          <w:bCs/>
          <w:kern w:val="0"/>
          <w:sz w:val="28"/>
          <w:szCs w:val="28"/>
        </w:rPr>
      </w:pPr>
    </w:p>
    <w:sectPr>
      <w:pgSz w:w="12240" w:h="15840"/>
      <w:pgMar w:top="1440" w:right="1800" w:bottom="1440" w:left="180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 w:name="Cambria">
    <w:panose1 w:val="02040503050406030204"/>
    <w:charset w:val="00"/>
    <w:family w:val="auto"/>
    <w:pitch w:val="default"/>
    <w:sig w:usb0="E00002FF" w:usb1="400004FF" w:usb2="00000000" w:usb3="00000000" w:csb0="2000019F" w:csb1="00000000"/>
  </w:font>
  <w:font w:name="仿宋_GB2312">
    <w:panose1 w:val="02010609030101010101"/>
    <w:charset w:val="86"/>
    <w:family w:val="auto"/>
    <w:pitch w:val="default"/>
    <w:sig w:usb0="00000001" w:usb1="080E0000" w:usb2="00000000" w:usb3="00000000" w:csb0="00040000" w:csb1="00000000"/>
  </w:font>
  <w:font w:name="TimesNewRomanPSMT">
    <w:altName w:val="Times New Roman"/>
    <w:panose1 w:val="00000000000000000000"/>
    <w:charset w:val="00"/>
    <w:family w:val="auto"/>
    <w:pitch w:val="default"/>
    <w:sig w:usb0="00000000"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447814776">
    <w:nsid w:val="564BE678"/>
    <w:multiLevelType w:val="singleLevel"/>
    <w:tmpl w:val="564BE678"/>
    <w:lvl w:ilvl="0" w:tentative="1">
      <w:start w:val="1"/>
      <w:numFmt w:val="decimal"/>
      <w:suff w:val="nothing"/>
      <w:lvlText w:val="%1."/>
      <w:lvlJc w:val="left"/>
    </w:lvl>
  </w:abstractNum>
  <w:abstractNum w:abstractNumId="1447814619">
    <w:nsid w:val="564BE5DB"/>
    <w:multiLevelType w:val="singleLevel"/>
    <w:tmpl w:val="564BE5DB"/>
    <w:lvl w:ilvl="0" w:tentative="1">
      <w:start w:val="3"/>
      <w:numFmt w:val="decimal"/>
      <w:suff w:val="nothing"/>
      <w:lvlText w:val="%1."/>
      <w:lvlJc w:val="left"/>
    </w:lvl>
  </w:abstractNum>
  <w:abstractNum w:abstractNumId="1447814444">
    <w:nsid w:val="564BE52C"/>
    <w:multiLevelType w:val="singleLevel"/>
    <w:tmpl w:val="564BE52C"/>
    <w:lvl w:ilvl="0" w:tentative="1">
      <w:start w:val="1"/>
      <w:numFmt w:val="decimal"/>
      <w:suff w:val="nothing"/>
      <w:lvlText w:val="%1."/>
      <w:lvlJc w:val="left"/>
    </w:lvl>
  </w:abstractNum>
  <w:abstractNum w:abstractNumId="1447814461">
    <w:nsid w:val="564BE53D"/>
    <w:multiLevelType w:val="singleLevel"/>
    <w:tmpl w:val="564BE53D"/>
    <w:lvl w:ilvl="0" w:tentative="1">
      <w:start w:val="2"/>
      <w:numFmt w:val="decimal"/>
      <w:suff w:val="nothing"/>
      <w:lvlText w:val="%1."/>
      <w:lvlJc w:val="left"/>
    </w:lvl>
  </w:abstractNum>
  <w:abstractNum w:abstractNumId="1447814477">
    <w:nsid w:val="564BE54D"/>
    <w:multiLevelType w:val="singleLevel"/>
    <w:tmpl w:val="564BE54D"/>
    <w:lvl w:ilvl="0" w:tentative="1">
      <w:start w:val="3"/>
      <w:numFmt w:val="decimal"/>
      <w:suff w:val="nothing"/>
      <w:lvlText w:val="%1."/>
      <w:lvlJc w:val="left"/>
    </w:lvl>
  </w:abstractNum>
  <w:abstractNum w:abstractNumId="1447814589">
    <w:nsid w:val="564BE5BD"/>
    <w:multiLevelType w:val="singleLevel"/>
    <w:tmpl w:val="564BE5BD"/>
    <w:lvl w:ilvl="0" w:tentative="1">
      <w:start w:val="1"/>
      <w:numFmt w:val="decimal"/>
      <w:suff w:val="nothing"/>
      <w:lvlText w:val="%1."/>
      <w:lvlJc w:val="left"/>
    </w:lvl>
  </w:abstractNum>
  <w:abstractNum w:abstractNumId="458035999">
    <w:nsid w:val="1B4D131F"/>
    <w:multiLevelType w:val="multilevel"/>
    <w:tmpl w:val="1B4D131F"/>
    <w:lvl w:ilvl="0" w:tentative="1">
      <w:start w:val="4"/>
      <w:numFmt w:val="japaneseCounting"/>
      <w:lvlText w:val="（%1）"/>
      <w:lvlJc w:val="left"/>
      <w:pPr>
        <w:ind w:left="1445" w:hanging="885"/>
      </w:pPr>
      <w:rPr>
        <w:rFonts w:hint="default"/>
      </w:rPr>
    </w:lvl>
    <w:lvl w:ilvl="1" w:tentative="1">
      <w:start w:val="1"/>
      <w:numFmt w:val="lowerLetter"/>
      <w:lvlText w:val="%2)"/>
      <w:lvlJc w:val="left"/>
      <w:pPr>
        <w:ind w:left="1400" w:hanging="420"/>
      </w:pPr>
    </w:lvl>
    <w:lvl w:ilvl="2" w:tentative="1">
      <w:start w:val="1"/>
      <w:numFmt w:val="lowerRoman"/>
      <w:lvlText w:val="%3."/>
      <w:lvlJc w:val="right"/>
      <w:pPr>
        <w:ind w:left="1820" w:hanging="420"/>
      </w:pPr>
    </w:lvl>
    <w:lvl w:ilvl="3" w:tentative="1">
      <w:start w:val="1"/>
      <w:numFmt w:val="decimal"/>
      <w:lvlText w:val="%4."/>
      <w:lvlJc w:val="left"/>
      <w:pPr>
        <w:ind w:left="2240" w:hanging="420"/>
      </w:pPr>
    </w:lvl>
    <w:lvl w:ilvl="4" w:tentative="1">
      <w:start w:val="1"/>
      <w:numFmt w:val="lowerLetter"/>
      <w:lvlText w:val="%5)"/>
      <w:lvlJc w:val="left"/>
      <w:pPr>
        <w:ind w:left="2660" w:hanging="420"/>
      </w:pPr>
    </w:lvl>
    <w:lvl w:ilvl="5" w:tentative="1">
      <w:start w:val="1"/>
      <w:numFmt w:val="lowerRoman"/>
      <w:lvlText w:val="%6."/>
      <w:lvlJc w:val="right"/>
      <w:pPr>
        <w:ind w:left="3080" w:hanging="420"/>
      </w:pPr>
    </w:lvl>
    <w:lvl w:ilvl="6" w:tentative="1">
      <w:start w:val="1"/>
      <w:numFmt w:val="decimal"/>
      <w:lvlText w:val="%7."/>
      <w:lvlJc w:val="left"/>
      <w:pPr>
        <w:ind w:left="3500" w:hanging="420"/>
      </w:pPr>
    </w:lvl>
    <w:lvl w:ilvl="7" w:tentative="1">
      <w:start w:val="1"/>
      <w:numFmt w:val="lowerLetter"/>
      <w:lvlText w:val="%8)"/>
      <w:lvlJc w:val="left"/>
      <w:pPr>
        <w:ind w:left="3920" w:hanging="420"/>
      </w:pPr>
    </w:lvl>
    <w:lvl w:ilvl="8" w:tentative="1">
      <w:start w:val="1"/>
      <w:numFmt w:val="lowerRoman"/>
      <w:lvlText w:val="%9."/>
      <w:lvlJc w:val="right"/>
      <w:pPr>
        <w:ind w:left="4340" w:hanging="420"/>
      </w:pPr>
    </w:lvl>
  </w:abstractNum>
  <w:abstractNum w:abstractNumId="1447814903">
    <w:nsid w:val="564BE6F7"/>
    <w:multiLevelType w:val="singleLevel"/>
    <w:tmpl w:val="564BE6F7"/>
    <w:lvl w:ilvl="0" w:tentative="1">
      <w:start w:val="1"/>
      <w:numFmt w:val="decimal"/>
      <w:suff w:val="nothing"/>
      <w:lvlText w:val="%1."/>
      <w:lvlJc w:val="left"/>
    </w:lvl>
  </w:abstractNum>
  <w:abstractNum w:abstractNumId="1447814978">
    <w:nsid w:val="564BE742"/>
    <w:multiLevelType w:val="singleLevel"/>
    <w:tmpl w:val="564BE742"/>
    <w:lvl w:ilvl="0" w:tentative="1">
      <w:start w:val="1"/>
      <w:numFmt w:val="decimal"/>
      <w:suff w:val="nothing"/>
      <w:lvlText w:val="%1."/>
      <w:lvlJc w:val="left"/>
    </w:lvl>
  </w:abstractNum>
  <w:abstractNum w:abstractNumId="1447814791">
    <w:nsid w:val="564BE687"/>
    <w:multiLevelType w:val="singleLevel"/>
    <w:tmpl w:val="564BE687"/>
    <w:lvl w:ilvl="0" w:tentative="1">
      <w:start w:val="2"/>
      <w:numFmt w:val="decimal"/>
      <w:suff w:val="nothing"/>
      <w:lvlText w:val="%1."/>
      <w:lvlJc w:val="left"/>
    </w:lvl>
  </w:abstractNum>
  <w:abstractNum w:abstractNumId="1447814854">
    <w:nsid w:val="564BE6C6"/>
    <w:multiLevelType w:val="singleLevel"/>
    <w:tmpl w:val="564BE6C6"/>
    <w:lvl w:ilvl="0" w:tentative="1">
      <w:start w:val="1"/>
      <w:numFmt w:val="decimal"/>
      <w:suff w:val="nothing"/>
      <w:lvlText w:val="%1."/>
      <w:lvlJc w:val="left"/>
    </w:lvl>
  </w:abstractNum>
  <w:abstractNum w:abstractNumId="1447814604">
    <w:nsid w:val="564BE5CC"/>
    <w:multiLevelType w:val="singleLevel"/>
    <w:tmpl w:val="564BE5CC"/>
    <w:lvl w:ilvl="0" w:tentative="1">
      <w:start w:val="2"/>
      <w:numFmt w:val="decimal"/>
      <w:suff w:val="nothing"/>
      <w:lvlText w:val="%1."/>
      <w:lvlJc w:val="left"/>
    </w:lvl>
  </w:abstractNum>
  <w:abstractNum w:abstractNumId="1447814831">
    <w:nsid w:val="564BE6AF"/>
    <w:multiLevelType w:val="singleLevel"/>
    <w:tmpl w:val="564BE6AF"/>
    <w:lvl w:ilvl="0" w:tentative="1">
      <w:start w:val="2"/>
      <w:numFmt w:val="decimal"/>
      <w:suff w:val="nothing"/>
      <w:lvlText w:val="%1."/>
      <w:lvlJc w:val="left"/>
    </w:lvl>
  </w:abstractNum>
  <w:abstractNum w:abstractNumId="1447814817">
    <w:nsid w:val="564BE6A1"/>
    <w:multiLevelType w:val="singleLevel"/>
    <w:tmpl w:val="564BE6A1"/>
    <w:lvl w:ilvl="0" w:tentative="1">
      <w:start w:val="1"/>
      <w:numFmt w:val="decimal"/>
      <w:suff w:val="nothing"/>
      <w:lvlText w:val="%1."/>
      <w:lvlJc w:val="left"/>
    </w:lvl>
  </w:abstractNum>
  <w:abstractNum w:abstractNumId="1447814880">
    <w:nsid w:val="564BE6E0"/>
    <w:multiLevelType w:val="singleLevel"/>
    <w:tmpl w:val="564BE6E0"/>
    <w:lvl w:ilvl="0" w:tentative="1">
      <w:start w:val="1"/>
      <w:numFmt w:val="decimal"/>
      <w:suff w:val="nothing"/>
      <w:lvlText w:val="%1."/>
      <w:lvlJc w:val="left"/>
    </w:lvl>
  </w:abstractNum>
  <w:abstractNum w:abstractNumId="1447815073">
    <w:nsid w:val="564BE7A1"/>
    <w:multiLevelType w:val="singleLevel"/>
    <w:tmpl w:val="564BE7A1"/>
    <w:lvl w:ilvl="0" w:tentative="1">
      <w:start w:val="2"/>
      <w:numFmt w:val="decimal"/>
      <w:suff w:val="nothing"/>
      <w:lvlText w:val="%1."/>
      <w:lvlJc w:val="left"/>
    </w:lvl>
  </w:abstractNum>
  <w:abstractNum w:abstractNumId="1447815039">
    <w:nsid w:val="564BE77F"/>
    <w:multiLevelType w:val="singleLevel"/>
    <w:tmpl w:val="564BE77F"/>
    <w:lvl w:ilvl="0" w:tentative="1">
      <w:start w:val="1"/>
      <w:numFmt w:val="decimal"/>
      <w:suff w:val="nothing"/>
      <w:lvlText w:val="%1."/>
      <w:lvlJc w:val="left"/>
    </w:lvl>
  </w:abstractNum>
  <w:abstractNum w:abstractNumId="1447815059">
    <w:nsid w:val="564BE793"/>
    <w:multiLevelType w:val="singleLevel"/>
    <w:tmpl w:val="564BE793"/>
    <w:lvl w:ilvl="0" w:tentative="1">
      <w:start w:val="1"/>
      <w:numFmt w:val="decimal"/>
      <w:suff w:val="nothing"/>
      <w:lvlText w:val="%1."/>
      <w:lvlJc w:val="left"/>
    </w:lvl>
  </w:abstractNum>
  <w:abstractNum w:abstractNumId="1447815087">
    <w:nsid w:val="564BE7AF"/>
    <w:multiLevelType w:val="singleLevel"/>
    <w:tmpl w:val="564BE7AF"/>
    <w:lvl w:ilvl="0" w:tentative="1">
      <w:start w:val="3"/>
      <w:numFmt w:val="decimal"/>
      <w:suff w:val="nothing"/>
      <w:lvlText w:val="%1."/>
      <w:lvlJc w:val="left"/>
    </w:lvl>
  </w:abstractNum>
  <w:abstractNum w:abstractNumId="1446798065">
    <w:nsid w:val="563C62F1"/>
    <w:multiLevelType w:val="singleLevel"/>
    <w:tmpl w:val="563C62F1"/>
    <w:lvl w:ilvl="0" w:tentative="1">
      <w:start w:val="1"/>
      <w:numFmt w:val="decimal"/>
      <w:suff w:val="nothing"/>
      <w:lvlText w:val="%1."/>
      <w:lvlJc w:val="left"/>
    </w:lvl>
  </w:abstractNum>
  <w:num w:numId="1">
    <w:abstractNumId w:val="458035999"/>
  </w:num>
  <w:num w:numId="2">
    <w:abstractNumId w:val="1447814444"/>
  </w:num>
  <w:num w:numId="3">
    <w:abstractNumId w:val="1447814461"/>
  </w:num>
  <w:num w:numId="4">
    <w:abstractNumId w:val="1447814477"/>
  </w:num>
  <w:num w:numId="5">
    <w:abstractNumId w:val="1447814589"/>
  </w:num>
  <w:num w:numId="6">
    <w:abstractNumId w:val="1447814604"/>
  </w:num>
  <w:num w:numId="7">
    <w:abstractNumId w:val="1447814619"/>
  </w:num>
  <w:num w:numId="8">
    <w:abstractNumId w:val="1447814776"/>
  </w:num>
  <w:num w:numId="9">
    <w:abstractNumId w:val="1447814791"/>
  </w:num>
  <w:num w:numId="10">
    <w:abstractNumId w:val="1447814817"/>
  </w:num>
  <w:num w:numId="11">
    <w:abstractNumId w:val="1447814831"/>
  </w:num>
  <w:num w:numId="12">
    <w:abstractNumId w:val="1447814854"/>
  </w:num>
  <w:num w:numId="13">
    <w:abstractNumId w:val="1447814880"/>
  </w:num>
  <w:num w:numId="14">
    <w:abstractNumId w:val="1447814903"/>
  </w:num>
  <w:num w:numId="15">
    <w:abstractNumId w:val="1447814978"/>
  </w:num>
  <w:num w:numId="16">
    <w:abstractNumId w:val="1447815039"/>
  </w:num>
  <w:num w:numId="17">
    <w:abstractNumId w:val="1447815059"/>
  </w:num>
  <w:num w:numId="18">
    <w:abstractNumId w:val="1447815073"/>
  </w:num>
  <w:num w:numId="19">
    <w:abstractNumId w:val="1447815087"/>
  </w:num>
  <w:num w:numId="20">
    <w:abstractNumId w:val="144679806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500"/>
  <w:drawingGridVerticalSpacing w:val="156"/>
  <w:displayHorizontalDrawingGridEvery w:val="0"/>
  <w:displayVerticalDrawingGridEvery w:val="2"/>
  <w:characterSpacingControl w:val="compressPunctuation"/>
  <w:compat>
    <w:spaceForUL/>
    <w:balanceSingleByteDoubleByteWidth/>
    <w:doNotLeaveBackslashAlone/>
    <w:ulTrailSpace/>
    <w:splitPgBreakAndParaMark/>
    <w:doNotExpandShiftReturn/>
    <w:adjustLineHeightInTable/>
    <w:useFELayout/>
    <w:doNotUseIndentAsNumberingTabStop/>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000000"/>
    <w:rsid w:val="05264E82"/>
    <w:rsid w:val="071311AA"/>
    <w:rsid w:val="0B2628D9"/>
    <w:rsid w:val="0C337593"/>
    <w:rsid w:val="0C5A3BCF"/>
    <w:rsid w:val="0DEF508F"/>
    <w:rsid w:val="0F5A453C"/>
    <w:rsid w:val="10A92F65"/>
    <w:rsid w:val="18216F24"/>
    <w:rsid w:val="1CDC7B67"/>
    <w:rsid w:val="1E35361B"/>
    <w:rsid w:val="20DE357A"/>
    <w:rsid w:val="25747800"/>
    <w:rsid w:val="268663C4"/>
    <w:rsid w:val="296609FB"/>
    <w:rsid w:val="2DB61F8F"/>
    <w:rsid w:val="30933641"/>
    <w:rsid w:val="32BF6362"/>
    <w:rsid w:val="37CC6816"/>
    <w:rsid w:val="3A9956AF"/>
    <w:rsid w:val="3AA0503A"/>
    <w:rsid w:val="3B212110"/>
    <w:rsid w:val="3BC91625"/>
    <w:rsid w:val="430125FC"/>
    <w:rsid w:val="4D804334"/>
    <w:rsid w:val="4F1D75D8"/>
    <w:rsid w:val="4FEC222F"/>
    <w:rsid w:val="5B9D42DA"/>
    <w:rsid w:val="5E1E4379"/>
    <w:rsid w:val="609E0F14"/>
    <w:rsid w:val="620E0D6B"/>
    <w:rsid w:val="62230D10"/>
    <w:rsid w:val="67387A63"/>
    <w:rsid w:val="6DEF2A6B"/>
    <w:rsid w:val="6FAE71C8"/>
    <w:rsid w:val="71F37403"/>
    <w:rsid w:val="74B9560C"/>
    <w:rsid w:val="77131F68"/>
    <w:rsid w:val="7B8D6663"/>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semiHidden="0" w:name="toc 1"/>
    <w:lsdException w:uiPriority="39" w:semiHidden="0" w:name="toc 2"/>
    <w:lsdException w:uiPriority="39" w:semiHidden="0" w:name="toc 3"/>
    <w:lsdException w:qFormat="1" w:uiPriority="39" w:semiHidden="0" w:name="toc 4"/>
    <w:lsdException w:uiPriority="39" w:semiHidden="0" w:name="toc 5"/>
    <w:lsdException w:uiPriority="39" w:semiHidden="0" w:name="toc 6"/>
    <w:lsdException w:uiPriority="39" w:semiHidden="0" w:name="toc 7"/>
    <w:lsdException w:uiPriority="39" w:semiHidden="0" w:name="toc 8"/>
    <w:lsdException w:uiPriority="39" w:semiHidden="0" w:name="toc 9"/>
    <w:lsdException w:uiPriority="0" w:name="Normal Indent"/>
    <w:lsdException w:uiPriority="0" w:name="footnote text"/>
    <w:lsdException w:uiPriority="0" w:semiHidden="0" w:name="annotation text"/>
    <w:lsdException w:uiPriority="0" w:semiHidden="0" w:name="header"/>
    <w:lsdException w:qFormat="1" w:uiPriority="0"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semiHidden="0"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hint="eastAsia" w:ascii="Calibri" w:hAnsi="Calibri" w:eastAsia="宋体" w:cs="Times New Roman"/>
      <w:kern w:val="2"/>
      <w:sz w:val="21"/>
      <w:lang w:val="en-US" w:eastAsia="zh-CN" w:bidi="ar-SA"/>
    </w:rPr>
  </w:style>
  <w:style w:type="paragraph" w:styleId="2">
    <w:name w:val="heading 2"/>
    <w:basedOn w:val="1"/>
    <w:next w:val="1"/>
    <w:unhideWhenUsed/>
    <w:qFormat/>
    <w:uiPriority w:val="9"/>
    <w:pPr>
      <w:keepNext/>
      <w:keepLines/>
      <w:spacing w:before="260" w:after="260" w:line="416" w:lineRule="auto"/>
      <w:outlineLvl w:val="1"/>
    </w:pPr>
    <w:rPr>
      <w:rFonts w:ascii="Cambria" w:hAnsi="Cambria"/>
      <w:b/>
      <w:bCs/>
      <w:sz w:val="32"/>
      <w:szCs w:val="32"/>
    </w:rPr>
  </w:style>
  <w:style w:type="character" w:default="1" w:styleId="15">
    <w:name w:val="Default Paragraph Font"/>
    <w:unhideWhenUsed/>
    <w:uiPriority w:val="1"/>
  </w:style>
  <w:style w:type="table" w:default="1" w:styleId="16">
    <w:name w:val="Normal Table"/>
    <w:unhideWhenUsed/>
    <w:uiPriority w:val="99"/>
    <w:tblPr>
      <w:tblStyle w:val="16"/>
      <w:tblLayout w:type="fixed"/>
      <w:tblCellMar>
        <w:top w:w="0" w:type="dxa"/>
        <w:left w:w="108" w:type="dxa"/>
        <w:bottom w:w="0" w:type="dxa"/>
        <w:right w:w="108" w:type="dxa"/>
      </w:tblCellMar>
    </w:tblPr>
    <w:tcPr>
      <w:textDirection w:val="lrTb"/>
    </w:tcPr>
  </w:style>
  <w:style w:type="paragraph" w:styleId="3">
    <w:name w:val="toc 7"/>
    <w:basedOn w:val="1"/>
    <w:next w:val="1"/>
    <w:unhideWhenUsed/>
    <w:uiPriority w:val="39"/>
    <w:pPr>
      <w:ind w:left="2520" w:leftChars="1200"/>
    </w:pPr>
  </w:style>
  <w:style w:type="paragraph" w:styleId="4">
    <w:name w:val="annotation text"/>
    <w:basedOn w:val="1"/>
    <w:unhideWhenUsed/>
    <w:uiPriority w:val="0"/>
    <w:pPr>
      <w:jc w:val="left"/>
    </w:pPr>
    <w:rPr>
      <w:rFonts w:ascii="Calibri" w:hAnsi="Calibri"/>
      <w:kern w:val="0"/>
      <w:sz w:val="20"/>
    </w:rPr>
  </w:style>
  <w:style w:type="paragraph" w:styleId="5">
    <w:name w:val="toc 5"/>
    <w:basedOn w:val="1"/>
    <w:next w:val="1"/>
    <w:unhideWhenUsed/>
    <w:uiPriority w:val="39"/>
    <w:pPr>
      <w:ind w:left="1680" w:leftChars="800"/>
    </w:pPr>
  </w:style>
  <w:style w:type="paragraph" w:styleId="6">
    <w:name w:val="toc 3"/>
    <w:basedOn w:val="1"/>
    <w:next w:val="1"/>
    <w:unhideWhenUsed/>
    <w:uiPriority w:val="39"/>
    <w:pPr>
      <w:ind w:left="840" w:leftChars="400"/>
    </w:pPr>
  </w:style>
  <w:style w:type="paragraph" w:styleId="7">
    <w:name w:val="toc 8"/>
    <w:basedOn w:val="1"/>
    <w:next w:val="1"/>
    <w:unhideWhenUsed/>
    <w:uiPriority w:val="39"/>
    <w:pPr>
      <w:ind w:left="2940" w:leftChars="1400"/>
    </w:pPr>
  </w:style>
  <w:style w:type="paragraph" w:styleId="8">
    <w:name w:val="footer"/>
    <w:basedOn w:val="1"/>
    <w:link w:val="20"/>
    <w:unhideWhenUsed/>
    <w:qFormat/>
    <w:uiPriority w:val="0"/>
    <w:pPr>
      <w:tabs>
        <w:tab w:val="center" w:pos="4153"/>
        <w:tab w:val="right" w:pos="8306"/>
      </w:tabs>
      <w:snapToGrid w:val="0"/>
      <w:jc w:val="left"/>
    </w:pPr>
    <w:rPr>
      <w:sz w:val="18"/>
    </w:rPr>
  </w:style>
  <w:style w:type="paragraph" w:styleId="9">
    <w:name w:val="header"/>
    <w:basedOn w:val="1"/>
    <w:link w:val="21"/>
    <w:unhideWhenUsed/>
    <w:uiPriority w:val="0"/>
    <w:pPr>
      <w:pBdr>
        <w:bottom w:val="single" w:color="auto" w:sz="6" w:space="1"/>
      </w:pBdr>
      <w:tabs>
        <w:tab w:val="center" w:pos="4153"/>
        <w:tab w:val="right" w:pos="8306"/>
      </w:tabs>
      <w:snapToGrid w:val="0"/>
      <w:jc w:val="center"/>
    </w:pPr>
    <w:rPr>
      <w:sz w:val="18"/>
    </w:rPr>
  </w:style>
  <w:style w:type="paragraph" w:styleId="10">
    <w:name w:val="toc 1"/>
    <w:basedOn w:val="1"/>
    <w:next w:val="1"/>
    <w:unhideWhenUsed/>
    <w:uiPriority w:val="39"/>
  </w:style>
  <w:style w:type="paragraph" w:styleId="11">
    <w:name w:val="toc 4"/>
    <w:basedOn w:val="1"/>
    <w:next w:val="1"/>
    <w:unhideWhenUsed/>
    <w:qFormat/>
    <w:uiPriority w:val="39"/>
    <w:pPr>
      <w:ind w:left="1260" w:leftChars="600"/>
    </w:pPr>
  </w:style>
  <w:style w:type="paragraph" w:styleId="12">
    <w:name w:val="toc 6"/>
    <w:basedOn w:val="1"/>
    <w:next w:val="1"/>
    <w:unhideWhenUsed/>
    <w:uiPriority w:val="39"/>
    <w:pPr>
      <w:ind w:left="2100" w:leftChars="1000"/>
    </w:pPr>
  </w:style>
  <w:style w:type="paragraph" w:styleId="13">
    <w:name w:val="toc 2"/>
    <w:basedOn w:val="1"/>
    <w:next w:val="1"/>
    <w:unhideWhenUsed/>
    <w:uiPriority w:val="39"/>
    <w:pPr>
      <w:ind w:left="420" w:leftChars="200"/>
    </w:pPr>
  </w:style>
  <w:style w:type="paragraph" w:styleId="14">
    <w:name w:val="toc 9"/>
    <w:basedOn w:val="1"/>
    <w:next w:val="1"/>
    <w:unhideWhenUsed/>
    <w:uiPriority w:val="39"/>
    <w:pPr>
      <w:ind w:left="3360" w:leftChars="1600"/>
    </w:pPr>
  </w:style>
  <w:style w:type="paragraph" w:customStyle="1" w:styleId="17">
    <w:name w:val="p0"/>
    <w:basedOn w:val="1"/>
    <w:unhideWhenUsed/>
    <w:uiPriority w:val="0"/>
    <w:pPr>
      <w:widowControl/>
    </w:pPr>
  </w:style>
  <w:style w:type="paragraph" w:customStyle="1" w:styleId="18">
    <w:name w:val="List Paragraph"/>
    <w:basedOn w:val="1"/>
    <w:qFormat/>
    <w:uiPriority w:val="34"/>
    <w:pPr>
      <w:ind w:firstLine="420" w:firstLineChars="200"/>
    </w:pPr>
    <w:rPr>
      <w:rFonts w:ascii="Calibri" w:hAnsi="Calibri"/>
      <w:szCs w:val="22"/>
    </w:rPr>
  </w:style>
  <w:style w:type="paragraph" w:customStyle="1" w:styleId="19">
    <w:name w:val="列出段落4"/>
    <w:basedOn w:val="1"/>
    <w:qFormat/>
    <w:uiPriority w:val="0"/>
    <w:pPr>
      <w:ind w:firstLine="200" w:firstLineChars="200"/>
    </w:pPr>
    <w:rPr>
      <w:rFonts w:ascii="Calibri" w:hAnsi="Calibri"/>
      <w:szCs w:val="22"/>
    </w:rPr>
  </w:style>
  <w:style w:type="character" w:customStyle="1" w:styleId="20">
    <w:name w:val="页脚 Char Char"/>
    <w:basedOn w:val="15"/>
    <w:link w:val="8"/>
    <w:uiPriority w:val="0"/>
    <w:rPr>
      <w:rFonts w:hint="eastAsia"/>
      <w:sz w:val="18"/>
    </w:rPr>
  </w:style>
  <w:style w:type="character" w:customStyle="1" w:styleId="21">
    <w:name w:val="页眉 Char Char"/>
    <w:basedOn w:val="15"/>
    <w:link w:val="9"/>
    <w:uiPriority w:val="0"/>
    <w:rPr>
      <w:rFonts w:hint="eastAsia"/>
      <w:sz w:val="18"/>
    </w:rPr>
  </w:style>
</w:styles>
</file>

<file path=word/_rels/document.xml.rels><?xml version="1.0" encoding="UTF-8" standalone="yes"?>
<Relationships xmlns="http://schemas.openxmlformats.org/package/2006/relationships"><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40</Pages>
  <Words>4151</Words>
  <Characters>23661</Characters>
  <Lines>197</Lines>
  <Paragraphs>55</Paragraphs>
  <ScaleCrop>false</ScaleCrop>
  <LinksUpToDate>false</LinksUpToDate>
  <CharactersWithSpaces>0</CharactersWithSpaces>
  <Application>WPS Office 专业版_9.1.0.4940_F1E327BC-269C-435d-A152-05C5408002CA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2015-10-12T01:41:00Z</dcterms:created>
  <dc:creator>PBC_wy</dc:creator>
  <cp:lastModifiedBy>王伟涛</cp:lastModifiedBy>
  <dcterms:modified xsi:type="dcterms:W3CDTF">2019-06-13T09:13:26Z</dcterms:modified>
  <dc:title>国家外汇管理局青海省分局外汇管理处</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2052-9.1.0.4940</vt:lpwstr>
  </property>
</Properties>
</file>