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支付机构经常项目收支登记新办</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【00017110100201】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经常项目收支企业核准【00017110100Y】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支付机构经常项目收支登记【000171101002】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支付机构经常项目收支登记新办(00017110100201</w:t>
      </w:r>
      <w:r>
        <w:rPr>
          <w:rFonts w:ascii="方正仿宋_GBK" w:hAnsi="方正仿宋_GBK" w:eastAsia="方正仿宋_GBK" w:cs="方正仿宋_GBK"/>
          <w:sz w:val="28"/>
          <w:szCs w:val="28"/>
        </w:rPr>
        <w:t>)</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（2）《经常项目外汇业务指引（2020年版）》（汇发〔2020〕14号文印发）第一百二十一条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（3）《经常项目外汇业务指引（2020年版）》（汇发〔2020〕14号文印发）第一百二十二条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（4）《经常项目外汇业务指引（2020年版）》（汇发〔2020〕14号文印发）第一百二十四条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（5）《经常项目外汇业务指引（2020年版）》（汇发〔2020〕14号文印发）第一百二十五条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（6）《经常项目外汇业务指引（2020年版）》（汇发〔2020〕14号文印发）第一百二十六条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（7）《经常项目外汇业务指引（2020年版）》（汇发〔2020〕14号文印发）第一百二十七条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进口单位名录登记,出口单位名录登记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支付机构经常项目收支登记新办</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具有相关支付业务合法资质；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具有开展外汇业务的内部管理制度和相应技术条件；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具有申请外汇业务的必要性和可行性；</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具有交易真实性、合法性审核能力和风险控制能力；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至少5名熟悉外汇业务的人员（其中1名为外汇业务负责人）；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与符合要求的银行合作。</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《经常项目外汇业务指引（2020年版）》（汇发〔2020〕14号文印发）第一百二十二条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支付机构申请办理名录登记，应具备下列条件：具有相关支付业务合法资质；具有开展外汇业务的内部管理制度和相应技术条件；申请外汇业务的必要性和可行性；具有交易真实性、合法性审核能力和风险控制能力；至少5名熟悉外汇业务的人员（其中1名为外汇业务负责人）；与符合要求的银行合作。</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法定代表人签字并加盖公章的《贸易外汇收支企业名录登记申请表》原件1份。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加盖公章的《书面申请》原件1份。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加盖公章的行业主管部门颁发的开展支付业务资质证明文件复印件1份。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营业执照（统一社会信用代码证）原件或加盖公章的复印件1份。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加盖公章的法定代表人有效身份证件复印件1份。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加盖公章的与银行的合作协议复印件1份。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加盖公章的外汇业务人员履历及其外汇业务能力核实情况复印件1份。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加盖公章的承诺函原件1份。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《经常项目外汇业务指引（2020年版）》（汇发〔2020〕14号文印发）第一百二十四条 支付机构申请办理名录登记，应向注册地外汇分局提交下列申请材料：书面申请，包括但不限于公司基本情况（如治理结构、机构设置等）、合作银行情况、申请外汇业务范围及可行性研究报告、与主要客户的合作意向协议、业务流程、信息采集及真实性审核方案、抽查机制、风控制度模型及系统情况等；行业主管部门颁发的开展支付机构业务资质证明文件复印件、营业执照（副本）复印件、法定代表人有效身份证件复印件等；与银行的合作协议（包括但不限于双方责任与义务，汇率报价规则，服务费收取方式，利息计算方式与归属，纠纷处理流程，合作银行对支付机构外汇业务合规审核能力、风险管理能力以及相关技术条件的评估认可情况等）；外汇业务人员履历及其外汇业务能力核实情况；承诺函，包括但不限于承诺申请材料真实可信、按时履行报告义务、积极配合外汇局监督管理等。如有其他有助于说明合规、风控能力的材料，也可提供。</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540" w:lineRule="exact"/>
        <w:ind w:firstLine="560" w:firstLineChars="200"/>
        <w:outlineLvl w:val="2"/>
        <w:rPr>
          <w:rFonts w:ascii="Times New Roman" w:hAnsi="Times New Roman" w:eastAsia="仿宋GB2312"/>
          <w:b/>
          <w:bCs/>
          <w:sz w:val="28"/>
          <w:szCs w:val="28"/>
        </w:rPr>
      </w:pPr>
      <w:r>
        <w:rPr>
          <w:rFonts w:hint="eastAsia" w:ascii="方正仿宋_GBK" w:hAnsi="方正仿宋_GBK" w:eastAsia="方正仿宋_GBK" w:cs="方正仿宋_GBK"/>
          <w:sz w:val="28"/>
          <w:szCs w:val="28"/>
        </w:rPr>
        <w:t>《经常项目外汇业务指引（2020年版）》（汇发〔2020〕14号文印发）第一百二十五条 支付机构名录登记的有效期为5年。期满后，支付机构拟继续开展外汇业务的，应在距到期日至少3个月前向注册地外汇分局提出延续登记的申请。继续开展外汇业务应具备办理名录登记的相关条件，并按办理名录登记时的要求提交材料。</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《经常项目外汇业务指引（2020年版）》（汇发〔2020〕14号文印发）第一百二十五条 支付机构名录登记的有效期为5年。期满后，支付机构拟继续开展外汇业务的，应在距到期日至少3个月前向注册地外汇分局提出延续登记的申请。继续开展外汇业务应具备办理名录登记的相关条件，并按办理名录登记时的要求提交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十五、业务办理信息</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方正仿宋_GBK" w:hAnsi="方正仿宋_GBK" w:eastAsia="方正仿宋_GBK" w:cs="方正仿宋_GBK"/>
          <w:color w:val="auto"/>
          <w:sz w:val="28"/>
          <w:szCs w:val="28"/>
          <w:lang w:eastAsia="zh-CN"/>
        </w:rPr>
        <w:t>否</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互联网预审</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1</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需现场核验材料</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10.办理地点：</w:t>
      </w:r>
      <w:r>
        <w:rPr>
          <w:rFonts w:hint="eastAsia" w:ascii="方正仿宋_GBK" w:hAnsi="方正仿宋_GBK" w:eastAsia="方正仿宋_GBK" w:cs="方正仿宋_GBK"/>
          <w:color w:val="auto"/>
          <w:sz w:val="28"/>
          <w:szCs w:val="28"/>
        </w:rPr>
        <w:t>宁夏回族自治区银川市兴庆区北京东路215号外汇管理处</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周一至周五，上午09:00到12:00,下午13:30到17:00；周六、周日及法定节假日不对外办理业务</w:t>
      </w:r>
    </w:p>
    <w:p>
      <w:pPr>
        <w:spacing w:line="600" w:lineRule="exact"/>
        <w:ind w:firstLine="562" w:firstLineChars="200"/>
        <w:rPr>
          <w:rFonts w:hint="default" w:ascii="方正仿宋_GBK" w:hAnsi="方正仿宋_GBK" w:eastAsia="方正仿宋_GBK" w:cs="方正仿宋_GBK"/>
          <w:b/>
          <w:bCs/>
          <w:color w:val="auto"/>
          <w:sz w:val="28"/>
          <w:szCs w:val="28"/>
          <w:lang w:val="en-US" w:eastAsia="zh-CN"/>
        </w:rPr>
      </w:pPr>
      <w:r>
        <w:rPr>
          <w:rFonts w:hint="eastAsia" w:ascii="Times New Roman" w:hAnsi="Times New Roman" w:eastAsia="仿宋GB2312"/>
          <w:b/>
          <w:bCs/>
          <w:color w:val="auto"/>
          <w:sz w:val="28"/>
          <w:szCs w:val="28"/>
        </w:rPr>
        <w:t>12.咨询方式：</w:t>
      </w:r>
      <w:r>
        <w:rPr>
          <w:rFonts w:hint="eastAsia" w:ascii="方正仿宋_GBK" w:hAnsi="方正仿宋_GBK" w:eastAsia="方正仿宋_GBK" w:cs="方正仿宋_GBK"/>
          <w:color w:val="auto"/>
          <w:sz w:val="28"/>
          <w:szCs w:val="28"/>
          <w:lang w:val="en-US" w:eastAsia="zh-CN"/>
        </w:rPr>
        <w:t>（0951）5189420</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lang w:eastAsia="zh-CN"/>
        </w:rPr>
        <w:t>十六、</w:t>
      </w: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p>
    <w:p/>
    <w:p/>
    <w:p/>
    <w:p/>
    <w:p/>
    <w:p/>
    <w:p/>
    <w:p/>
    <w:p/>
    <w:p/>
    <w:p/>
    <w:p/>
    <w:p/>
    <w:p/>
    <w:p/>
    <w:p/>
    <w:p/>
    <w:p/>
    <w:p/>
    <w:p/>
    <w:p/>
    <w:p/>
    <w:p/>
    <w:p/>
    <w:p/>
    <w:p/>
    <w:p/>
    <w:p/>
    <w:p/>
    <w:p/>
    <w:p/>
    <w:p/>
    <w:p>
      <w:pPr>
        <w:widowControl/>
        <w:jc w:val="left"/>
      </w:pPr>
      <w: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支付机构经常项目收支登记变更</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【00017110100202】</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经常项目收支企业核准【00017110100Y】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支付机构经常项目收支登记【000171101002】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支付机构经常项目收支登记变更(00017110100202)</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（2）《经常项目外汇业务指引（2020年版）》（汇发〔2020〕14号文印发）第一百二十一条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（3）《经常项目外汇业务指引（2020年版）》（汇发〔2020〕14号文印发）第一百二十二条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（4）《经常项目外汇业务指引（2020年版）》（汇发〔2020〕14号文印发）第一百二十四条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（5）《经常项目外汇业务指引（2020年版）》（汇发〔2020〕14号文印发）第一百二十五条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（6）《经常项目外汇业务指引（2020年版）》（汇发〔2020〕14号文印发）第一百二十六条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（7）《经常项目外汇业务指引（2020年版）》（汇发〔2020〕14号文印发）第一百二十七条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进口单位名录登记,出口单位名录登记</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支付机构经常项目收支登记变更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变更业务范围或业务子项、合作银行、业务流程、风控方案、单笔交易金额限额、交易信息采集及验证方案、公司外汇业务负责人。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《经常项目外汇业务指引（2020年版）》（汇发〔2020〕14号文印发）第一百二十六条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支付机构变更下列事项之一的，应事前向注册地分局提出登记变更申请，并提供相关说明材料：业务范围或业务子项、合作银行、业务流程、风控方案、单笔交易金额限额（特定交易限额变更理由及相应风险控制措施）、交易信息采集及验证方案、公司外汇业务负责人。注册地分局同意变更的，为支付机构办理登记变更，其有效期与原登记有效期一致。支付机构变更公司名称、实际控制人或法定代表人等公司基本信息，应予变更后30日内向注册地分局报备。注册地分局需评估公司变更情况对持续经营外汇业务能力的影响。</w:t>
      </w:r>
    </w:p>
    <w:p>
      <w:pPr>
        <w:numPr>
          <w:ilvl w:val="0"/>
          <w:numId w:val="2"/>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变更书面申请原件1份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相应变更文件或证明1份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《经常项目外汇业务指引（2020年版）》（汇发〔2020〕14号文印发）第一百二十六条 支付机构变更下列事项之一的，应事前向注册地分局提出登记变更申请，并提供相关说明材料：业务范围或业务子项、合作银行、业务流程、风控方案、单笔交易金额限额（特定交易限额变更理由及相应风险控制措施）、交易信息采集及验证方案、公司外汇业务负责人。注册地分局同意变更的，为支付机构办理登记变更，其有效期与原登记有效期一致。支付机构变更公司名称、实际控制人或法定代表人等公司基本信息，应予变更后30日内向注册地分局报备。注册地分局需评估公司变更情况对持续经营外汇业务能力的影响。</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《经常项目外汇业务指引（2020年版）》（汇发〔2020〕14号文印发）第一百二十五条 支付机构名录登记的有效期为5年。期满后，支付机构拟继续开展外汇业务的，应在距到期日至少3个月前向注册地外汇分局提出延续登记的申请。继续开展外汇业务应具备办理名录登记的相关条件，并按办理名录登记时的要求提交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十五、业务办理信息</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方正仿宋_GBK" w:hAnsi="方正仿宋_GBK" w:eastAsia="方正仿宋_GBK" w:cs="方正仿宋_GBK"/>
          <w:color w:val="auto"/>
          <w:sz w:val="28"/>
          <w:szCs w:val="28"/>
          <w:lang w:eastAsia="zh-CN"/>
        </w:rPr>
        <w:t>否</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互联网预审</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1</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需现场核验材料</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10.办理地点：</w:t>
      </w:r>
      <w:r>
        <w:rPr>
          <w:rFonts w:hint="eastAsia" w:ascii="方正仿宋_GBK" w:hAnsi="方正仿宋_GBK" w:eastAsia="方正仿宋_GBK" w:cs="方正仿宋_GBK"/>
          <w:color w:val="auto"/>
          <w:sz w:val="28"/>
          <w:szCs w:val="28"/>
        </w:rPr>
        <w:t>宁夏回族自治区银川市兴庆区北京东路215号外汇管理处</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周一至周五，上午09:00到12:00,下午13:30到17:00；周六、周日及法定节假日不对外办理业务</w:t>
      </w:r>
    </w:p>
    <w:p>
      <w:pPr>
        <w:spacing w:line="600" w:lineRule="exact"/>
        <w:ind w:firstLine="562" w:firstLineChars="200"/>
        <w:rPr>
          <w:rFonts w:hint="default" w:ascii="方正仿宋_GBK" w:hAnsi="方正仿宋_GBK" w:eastAsia="方正仿宋_GBK" w:cs="方正仿宋_GBK"/>
          <w:b/>
          <w:bCs/>
          <w:color w:val="auto"/>
          <w:sz w:val="28"/>
          <w:szCs w:val="28"/>
          <w:lang w:val="en-US" w:eastAsia="zh-CN"/>
        </w:rPr>
      </w:pPr>
      <w:r>
        <w:rPr>
          <w:rFonts w:hint="eastAsia" w:ascii="Times New Roman" w:hAnsi="Times New Roman" w:eastAsia="仿宋GB2312"/>
          <w:b/>
          <w:bCs/>
          <w:color w:val="auto"/>
          <w:sz w:val="28"/>
          <w:szCs w:val="28"/>
        </w:rPr>
        <w:t>12.咨询方式：</w:t>
      </w:r>
      <w:r>
        <w:rPr>
          <w:rFonts w:hint="eastAsia" w:ascii="方正仿宋_GBK" w:hAnsi="方正仿宋_GBK" w:eastAsia="方正仿宋_GBK" w:cs="方正仿宋_GBK"/>
          <w:color w:val="auto"/>
          <w:sz w:val="28"/>
          <w:szCs w:val="28"/>
          <w:lang w:val="en-US" w:eastAsia="zh-CN"/>
        </w:rPr>
        <w:t>（0951）5189420</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lang w:eastAsia="zh-CN"/>
        </w:rPr>
        <w:t>十六、</w:t>
      </w: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p/>
    <w:p>
      <w:pPr>
        <w:widowControl/>
        <w:jc w:val="left"/>
      </w:pPr>
      <w: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支付机构经常项目收支登记注销</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【00017110100203】</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经常项目收支企业核准【00017110100Y】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支付机构经常项目收支登记【000171101002】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支付机构经常项目收支登记注销(00017110100203)</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（1）《经常项目外汇业务指引（2020年版）》（汇发〔2020〕14号文印发）第一百二十条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（2）《经常项目外汇业务指引（2020年版）》（汇发〔2020〕14号文印发）第一百二十一条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（3）《经常项目外汇业务指引（2020年版）》（汇发〔2020〕14号文印发）第一百二十二条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（4）《经常项目外汇业务指引（2020年版）》（汇发〔2020〕14号文印发）第一百二十四条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（5）《经常项目外汇业务指引（2020年版）》（汇发〔2020〕14号文印发）第一百二十五条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（6）《经常项目外汇业务指引（2020年版）》（汇发〔2020〕14号文印发）第一百二十六条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（7）《经常项目外汇业务指引（2020年版）》（汇发〔2020〕14号文印发）第一百二十七条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进口单位名录登记,出口单位名录登记</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支付机构主动终止外汇业务，且业务处置完毕。</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《经常项目外汇业务指引（2020年版）》（汇发〔2020〕14号文印发）第一百二十七条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支付机构主动终止外汇业务，应在公司作出终止决定之日起5个工作日内向注册地外汇分局提出注销登记申请及终止外汇业务方案。业务处置完毕后注册地外汇分局注销其登记。</w:t>
      </w:r>
    </w:p>
    <w:p>
      <w:pPr>
        <w:numPr>
          <w:ilvl w:val="0"/>
          <w:numId w:val="3"/>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加盖公章的注销登记申请原件1份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加盖公章的终止外汇业务方案复印件1份。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《经常项目外汇业务指引（2020年版）》（汇发〔2020〕14号文印发）第一百二十七条 支付机构主动终止外汇业务，应在公司作出终止决定之日起5个工作日内向注册地外汇分局提出注销登记申请及终止外汇业务方案。业务处置完毕后注册地外汇分局注销其登记。</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r>
        <w:rPr>
          <w:rFonts w:hint="eastAsia"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《经常项目外汇业务指引（2020年版）》（汇发〔2020〕14号文印发）第一百二十五条 支付机构名录登记的有效期为5年。期满后，支付机构拟继续开展外汇业务的，应在距到期日至少3个月前向注册地外汇分局提出延续登记的申请。继续开展外汇业务应具备办理名录登记的相关条件，并按办理名录登记时的要求提交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十五、业务办理信息</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5.是否网办：</w:t>
      </w:r>
      <w:r>
        <w:rPr>
          <w:rFonts w:hint="eastAsia" w:ascii="方正仿宋_GBK" w:hAnsi="方正仿宋_GBK" w:eastAsia="方正仿宋_GBK" w:cs="方正仿宋_GBK"/>
          <w:color w:val="auto"/>
          <w:sz w:val="28"/>
          <w:szCs w:val="28"/>
          <w:lang w:eastAsia="zh-CN"/>
        </w:rPr>
        <w:t>否</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6.网上办理深度：</w:t>
      </w:r>
      <w:r>
        <w:rPr>
          <w:rFonts w:hint="eastAsia" w:ascii="方正仿宋_GBK" w:hAnsi="方正仿宋_GBK" w:eastAsia="方正仿宋_GBK" w:cs="方正仿宋_GBK"/>
          <w:color w:val="auto"/>
          <w:sz w:val="28"/>
          <w:szCs w:val="28"/>
          <w:lang w:eastAsia="zh-CN"/>
        </w:rPr>
        <w:t>互联网预审</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b/>
          <w:bCs/>
          <w:color w:val="auto"/>
          <w:sz w:val="28"/>
          <w:szCs w:val="28"/>
        </w:rPr>
        <w:t>7.到办事现场次数：</w:t>
      </w:r>
      <w:r>
        <w:rPr>
          <w:rFonts w:hint="eastAsia" w:ascii="Times New Roman" w:hAnsi="Times New Roman" w:eastAsia="仿宋GB2312"/>
          <w:b/>
          <w:bCs/>
          <w:color w:val="auto"/>
          <w:sz w:val="28"/>
          <w:szCs w:val="28"/>
          <w:lang w:val="en-US" w:eastAsia="zh-CN"/>
        </w:rPr>
        <w:t>1</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需现场核验材料</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10.办理地点：</w:t>
      </w:r>
      <w:r>
        <w:rPr>
          <w:rFonts w:hint="eastAsia" w:ascii="方正仿宋_GBK" w:hAnsi="方正仿宋_GBK" w:eastAsia="方正仿宋_GBK" w:cs="方正仿宋_GBK"/>
          <w:color w:val="auto"/>
          <w:sz w:val="28"/>
          <w:szCs w:val="28"/>
        </w:rPr>
        <w:t>宁夏回族自治区银川市兴庆区北京东路215号外汇管理处</w:t>
      </w:r>
    </w:p>
    <w:p>
      <w:pPr>
        <w:spacing w:line="600" w:lineRule="exact"/>
        <w:ind w:firstLine="562" w:firstLineChars="200"/>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11.</w:t>
      </w:r>
      <w:bookmarkStart w:id="0" w:name="_GoBack"/>
      <w:r>
        <w:rPr>
          <w:rFonts w:hint="eastAsia" w:ascii="Times New Roman" w:hAnsi="Times New Roman" w:eastAsia="仿宋GB2312"/>
          <w:b/>
          <w:bCs/>
          <w:color w:val="auto"/>
          <w:sz w:val="28"/>
          <w:szCs w:val="28"/>
        </w:rPr>
        <w:t>办理时间</w:t>
      </w:r>
      <w:bookmarkEnd w:id="0"/>
      <w:r>
        <w:rPr>
          <w:rFonts w:hint="eastAsia" w:ascii="Times New Roman" w:hAnsi="Times New Roman" w:eastAsia="仿宋GB2312"/>
          <w:b/>
          <w:bCs/>
          <w:color w:val="auto"/>
          <w:sz w:val="28"/>
          <w:szCs w:val="28"/>
        </w:rPr>
        <w:t>：</w:t>
      </w:r>
      <w:r>
        <w:rPr>
          <w:rFonts w:hint="eastAsia" w:ascii="方正仿宋_GBK" w:hAnsi="方正仿宋_GBK" w:eastAsia="方正仿宋_GBK" w:cs="方正仿宋_GBK"/>
          <w:color w:val="auto"/>
          <w:sz w:val="28"/>
          <w:szCs w:val="28"/>
        </w:rPr>
        <w:t>周一至周五，上午09:00到12:00,下午13:30到17:00；周六、周日及法定节假日不对外办理业务</w:t>
      </w:r>
    </w:p>
    <w:p>
      <w:pPr>
        <w:spacing w:line="600" w:lineRule="exact"/>
        <w:ind w:firstLine="562" w:firstLineChars="200"/>
        <w:rPr>
          <w:rFonts w:hint="default" w:ascii="方正仿宋_GBK" w:hAnsi="方正仿宋_GBK" w:eastAsia="方正仿宋_GBK" w:cs="方正仿宋_GBK"/>
          <w:b/>
          <w:bCs/>
          <w:color w:val="auto"/>
          <w:sz w:val="28"/>
          <w:szCs w:val="28"/>
          <w:lang w:val="en-US" w:eastAsia="zh-CN"/>
        </w:rPr>
      </w:pPr>
      <w:r>
        <w:rPr>
          <w:rFonts w:hint="eastAsia" w:ascii="Times New Roman" w:hAnsi="Times New Roman" w:eastAsia="仿宋GB2312"/>
          <w:b/>
          <w:bCs/>
          <w:color w:val="auto"/>
          <w:sz w:val="28"/>
          <w:szCs w:val="28"/>
        </w:rPr>
        <w:t>12.咨询方式：</w:t>
      </w:r>
      <w:r>
        <w:rPr>
          <w:rFonts w:hint="eastAsia" w:ascii="方正仿宋_GBK" w:hAnsi="方正仿宋_GBK" w:eastAsia="方正仿宋_GBK" w:cs="方正仿宋_GBK"/>
          <w:color w:val="auto"/>
          <w:sz w:val="28"/>
          <w:szCs w:val="28"/>
          <w:lang w:val="en-US" w:eastAsia="zh-CN"/>
        </w:rPr>
        <w:t>（0951）5189420</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pPr>
      <w:r>
        <w:rPr>
          <w:rFonts w:hint="eastAsia" w:ascii="Times New Roman" w:hAnsi="Times New Roman" w:eastAsia="黑体"/>
          <w:sz w:val="28"/>
          <w:szCs w:val="28"/>
          <w:lang w:eastAsia="zh-CN"/>
        </w:rPr>
        <w:t>十六、</w:t>
      </w:r>
      <w:r>
        <w:rPr>
          <w:rFonts w:hint="eastAsia" w:ascii="Times New Roman" w:hAnsi="Times New Roman" w:eastAsia="黑体"/>
          <w:sz w:val="28"/>
          <w:szCs w:val="28"/>
        </w:rPr>
        <w:t>备注</w:t>
      </w: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0DCB4E65"/>
    <w:multiLevelType w:val="singleLevel"/>
    <w:tmpl w:val="0DCB4E65"/>
    <w:lvl w:ilvl="0" w:tentative="0">
      <w:start w:val="1"/>
      <w:numFmt w:val="chineseCounting"/>
      <w:suff w:val="nothing"/>
      <w:lvlText w:val="%1、"/>
      <w:lvlJc w:val="left"/>
      <w:rPr>
        <w:rFonts w:hint="eastAsia"/>
      </w:rPr>
    </w:lvl>
  </w:abstractNum>
  <w:abstractNum w:abstractNumId="2">
    <w:nsid w:val="37626FA2"/>
    <w:multiLevelType w:val="singleLevel"/>
    <w:tmpl w:val="37626FA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5014"/>
    <w:rsid w:val="00073892"/>
    <w:rsid w:val="00180458"/>
    <w:rsid w:val="001F24A7"/>
    <w:rsid w:val="00313307"/>
    <w:rsid w:val="00450E43"/>
    <w:rsid w:val="005A3459"/>
    <w:rsid w:val="007F210C"/>
    <w:rsid w:val="00926871"/>
    <w:rsid w:val="00A15014"/>
    <w:rsid w:val="00B20C3A"/>
    <w:rsid w:val="00B74E30"/>
    <w:rsid w:val="00BA2266"/>
    <w:rsid w:val="00BE5A77"/>
    <w:rsid w:val="00C247B4"/>
    <w:rsid w:val="00C82B27"/>
    <w:rsid w:val="00CC6808"/>
    <w:rsid w:val="00CC7C67"/>
    <w:rsid w:val="00D506A3"/>
    <w:rsid w:val="00E226EE"/>
    <w:rsid w:val="0AFC4D9E"/>
    <w:rsid w:val="1C48154D"/>
    <w:rsid w:val="4E98635B"/>
    <w:rsid w:val="6648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0FEE3-F5AC-4306-A615-38A41A6FE5C8}">
  <ds:schemaRefs/>
</ds:datastoreItem>
</file>

<file path=docProps/app.xml><?xml version="1.0" encoding="utf-8"?>
<Properties xmlns="http://schemas.openxmlformats.org/officeDocument/2006/extended-properties" xmlns:vt="http://schemas.openxmlformats.org/officeDocument/2006/docPropsVTypes">
  <Template>Normal</Template>
  <Pages>27</Pages>
  <Words>1701</Words>
  <Characters>9701</Characters>
  <Lines>80</Lines>
  <Paragraphs>22</Paragraphs>
  <TotalTime>3</TotalTime>
  <ScaleCrop>false</ScaleCrop>
  <LinksUpToDate>false</LinksUpToDate>
  <CharactersWithSpaces>11380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2023-12-08T05:35:00Z</dcterms:created>
  <dc:creator>kylin</dc:creator>
  <cp:lastModifiedBy>fqm</cp:lastModifiedBy>
  <dcterms:modified xsi:type="dcterms:W3CDTF">2025-04-24T06:42:35Z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