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 xml:space="preserve">编号：57017 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图片 1" o:spid="_x0000_s1026" type="#_x0000_t75" style="height:69.75pt;width:87.05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“外汇账户（含边贸人民币结算专用账户）的开立、变更、关闭、撤销以及账户允许保留限额核准”行政审批服务指南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20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11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实施日期：20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20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11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bookmarkStart w:id="1" w:name="_GoBack"/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宁夏回族自治区分局</w:t>
      </w:r>
    </w:p>
    <w:bookmarkEnd w:id="1"/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</w:t>
      </w:r>
      <w:bookmarkStart w:id="0" w:name="_Hlk421820588"/>
      <w:r>
        <w:rPr>
          <w:rFonts w:ascii="Times New Roman" w:hAnsi="Times New Roman" w:eastAsia="仿宋_GB2312" w:cs="Times New Roman"/>
          <w:sz w:val="30"/>
          <w:szCs w:val="30"/>
        </w:rPr>
        <w:t>外汇账户的开立、变更、关闭、撤销以及账户允许保留限额核准</w:t>
      </w:r>
      <w:bookmarkEnd w:id="0"/>
      <w:r>
        <w:rPr>
          <w:rFonts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项目编号：57017；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本指南适用于“外汇账户的开立、变更、关闭、撤销以及账户允许保留限额核准”的申请和办理。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《国务院对确需保留的行政审批项目设定行政许可的决定》（国务院令第412号）附件第493项“外汇账户（含边贸人民币结算专用账户）的开立、变更、关闭、撤销以及账户允许保留限额核准。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四、服务贸易外汇收入存放境外外汇账户审批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1.《中华人民共和国外汇管理条例》（国务院令第532号）；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《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国家外汇管理局关于印发〈经常项目外汇业务指引（2020年版）〉的通知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》（汇发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〔2020〕14号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申请人注册所在地国家外汇管理局分支局。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申请人注册所在地国家外汇管理局分支局。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申请人为境内机构，需同时符合以下条件：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服务贸易外汇收入来源真实合法，且在境外有符合相关规定的支付需求</w:t>
      </w:r>
      <w:r>
        <w:rPr>
          <w:rFonts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2.近两年无违反外汇管理规定行为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禁止性要求：申请材料不齐全，不符合法规规定。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（六）申请材料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1. 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服务贸易外汇收入存放境外外汇账户开立申请材料</w:t>
      </w:r>
    </w:p>
    <w:tbl>
      <w:tblPr>
        <w:tblStyle w:val="18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061"/>
        <w:gridCol w:w="1134"/>
        <w:gridCol w:w="1134"/>
        <w:gridCol w:w="851"/>
        <w:gridCol w:w="1701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申请书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包括但不限于基本情况、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服务贸易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开展情况、拟开户银行、使用期限、根据实际需要申请的存放境外资金规模等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法定代表人或其授权人签字并加盖企业公章</w:t>
            </w:r>
          </w:p>
        </w:tc>
      </w:tr>
    </w:tbl>
    <w:p>
      <w:pPr>
        <w:adjustRightInd w:val="0"/>
        <w:snapToGrid w:val="0"/>
        <w:spacing w:beforeLines="50"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2.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 服务贸易外汇收入存放境外外汇账户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变更申请材料</w:t>
      </w:r>
    </w:p>
    <w:tbl>
      <w:tblPr>
        <w:tblStyle w:val="18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061"/>
        <w:gridCol w:w="1134"/>
        <w:gridCol w:w="1134"/>
        <w:gridCol w:w="851"/>
        <w:gridCol w:w="1701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申请书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列明变更事项（开户银行、收支范围、使用期限、需提高存放境外资金规模或境内企业集团调整参与成员公司）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法定代表人或其授权人签字并加盖企业公章，境内企业集团应由主办企业申请变更登记</w:t>
            </w:r>
          </w:p>
        </w:tc>
      </w:tr>
    </w:tbl>
    <w:p>
      <w:pPr>
        <w:adjustRightInd w:val="0"/>
        <w:snapToGrid w:val="0"/>
        <w:spacing w:line="360" w:lineRule="auto"/>
        <w:ind w:firstLine="0" w:firstLineChars="0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申请人可通过国家外汇管理局分支局窗口提交材料。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3.不予受理的，出具不予受理通知书；受理的，出具受理通知书，审核作出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准或者不予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准的决定；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4.对于符合规定条件，向申请人出具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准文件；不予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准的，做出不予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准的行政许可书面决定并说明理由；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5.材料不全或不符合法定形式的，一次性告知补正材料，并出具《行政许可补正通知书》；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一般程序：申请、受理、审查、决定、出具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核准</w:t>
      </w:r>
      <w:r>
        <w:rPr>
          <w:rFonts w:ascii="Times New Roman" w:hAnsi="Times New Roman" w:eastAsia="仿宋_GB2312" w:cs="Times New Roman"/>
          <w:sz w:val="30"/>
          <w:szCs w:val="30"/>
        </w:rPr>
        <w:t>文件或不予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核准</w:t>
      </w:r>
      <w:r>
        <w:rPr>
          <w:rFonts w:ascii="Times New Roman" w:hAnsi="Times New Roman" w:eastAsia="仿宋_GB2312" w:cs="Times New Roman"/>
          <w:sz w:val="30"/>
          <w:szCs w:val="30"/>
        </w:rPr>
        <w:t>的行政许可书面决定。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核准</w:t>
      </w:r>
      <w:r>
        <w:rPr>
          <w:rFonts w:ascii="Times New Roman" w:hAnsi="Times New Roman" w:eastAsia="仿宋_GB2312" w:cs="Times New Roman"/>
          <w:sz w:val="30"/>
          <w:szCs w:val="30"/>
        </w:rPr>
        <w:t>文件。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通过现场告知或电话通知申请人，并通过现场领取或邮寄方式将结果送达。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（十五）咨询途径、监督和投诉、公开查询等由所在地分支局办理</w:t>
      </w:r>
    </w:p>
    <w:p>
      <w:pPr>
        <w:tabs>
          <w:tab w:val="left" w:pos="8306"/>
        </w:tabs>
        <w:adjustRightInd w:val="0"/>
        <w:snapToGrid w:val="0"/>
        <w:spacing w:line="360" w:lineRule="auto"/>
        <w:ind w:firstLine="6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（一）咨询窗口：国家外汇管理局宁夏回族自治区分局外汇管理处。</w:t>
      </w:r>
    </w:p>
    <w:p>
      <w:pPr>
        <w:tabs>
          <w:tab w:val="left" w:pos="8306"/>
        </w:tabs>
        <w:adjustRightInd w:val="0"/>
        <w:snapToGrid w:val="0"/>
        <w:spacing w:line="360" w:lineRule="auto"/>
        <w:ind w:firstLine="6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（二）咨询电话：（0951）5189600。</w:t>
      </w:r>
    </w:p>
    <w:p>
      <w:pPr>
        <w:tabs>
          <w:tab w:val="left" w:pos="8306"/>
        </w:tabs>
        <w:adjustRightInd w:val="0"/>
        <w:snapToGrid w:val="0"/>
        <w:spacing w:line="360" w:lineRule="auto"/>
        <w:ind w:firstLine="6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（三）咨询信件邮寄地址：宁夏回族自治区银川市兴庆区北京东路215号外汇管理处，邮政编码750001。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监督和投诉等可通过国家外汇管理局宁夏回族自治区分局网站www.safe.gov.cn/ningxia/的投诉建议栏目进行,也可通过该网站公布的电话进行。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（十六）事项审查类型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前审后批。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（十七）办公地址和时间</w:t>
      </w:r>
    </w:p>
    <w:p>
      <w:pPr>
        <w:widowControl/>
        <w:jc w:val="left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国家外汇局管理局宁夏回族自治区分局办公地址：宁夏回族自治区银川市兴庆区北京东路215号，邮政编码750001。</w:t>
      </w:r>
    </w:p>
    <w:p>
      <w:pPr>
        <w:widowControl/>
        <w:jc w:val="left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国家外汇局管理局宁夏分局办公时间：周一至周五，夏季上午08:30到12:00，下午14:30到18:00；冬季上午08:30到12:00，下午14:00到17:30；周六、周日及法定节假日不对外办理业务。</w:t>
      </w:r>
    </w:p>
    <w:p>
      <w:pPr>
        <w:widowControl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乘车路线：公交车101、101A、19、18路公交线路经停，可在临湖小区站上/下车。</w:t>
      </w:r>
      <w:r>
        <w:rPr>
          <w:rFonts w:ascii="Times New Roman" w:hAnsi="Times New Roman" w:eastAsia="黑体" w:cs="Times New Roman"/>
          <w:sz w:val="30"/>
          <w:szCs w:val="30"/>
        </w:rPr>
        <w:br w:type="page"/>
      </w:r>
    </w:p>
    <w:p>
      <w:pPr>
        <w:adjustRightInd w:val="0"/>
        <w:snapToGrid w:val="0"/>
        <w:spacing w:line="360" w:lineRule="auto"/>
        <w:ind w:firstLine="600"/>
        <w:rPr>
          <w:rFonts w:hint="eastAsia"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（十八）申请材料示范文本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关于开立服务贸易外汇收入存放境外外汇账户的申请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国家外汇管理局XX分局：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我公司成立于XXXX年，注册资金XX万元，注册地址XX（公司基本情况介绍）。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XXXX年，我公司服务贸易外汇收入和支出金额分别为……，同比分别增长（下降）……。</w:t>
      </w:r>
      <w:r>
        <w:rPr>
          <w:rFonts w:ascii="Times New Roman" w:hAnsi="Times New Roman" w:eastAsia="仿宋_GB2312" w:cs="Times New Roman"/>
          <w:sz w:val="30"/>
          <w:szCs w:val="30"/>
        </w:rPr>
        <w:t>因XX业务需要，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申请</w:t>
      </w:r>
      <w:r>
        <w:rPr>
          <w:rFonts w:ascii="Times New Roman" w:hAnsi="Times New Roman" w:eastAsia="仿宋_GB2312" w:cs="Times New Roman"/>
          <w:sz w:val="30"/>
          <w:szCs w:val="30"/>
        </w:rPr>
        <w:t>在X国开立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服务贸易外汇收入</w:t>
      </w:r>
      <w:r>
        <w:rPr>
          <w:rFonts w:ascii="Times New Roman" w:hAnsi="Times New Roman" w:eastAsia="仿宋_GB2312" w:cs="Times New Roman"/>
          <w:sz w:val="30"/>
          <w:szCs w:val="30"/>
        </w:rPr>
        <w:t>存放境外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外汇</w:t>
      </w:r>
      <w:r>
        <w:rPr>
          <w:rFonts w:ascii="Times New Roman" w:hAnsi="Times New Roman" w:eastAsia="仿宋_GB2312" w:cs="Times New Roman"/>
          <w:sz w:val="30"/>
          <w:szCs w:val="30"/>
        </w:rPr>
        <w:t>账户，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详细信息如下：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适用币种：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开户银行：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账户使用期限：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存放境外资金规模：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账户收支范围：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（开立账户后，存放境外内部管理制度介绍）。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特此申请。</w:t>
      </w:r>
    </w:p>
    <w:p>
      <w:pPr>
        <w:wordWrap w:val="0"/>
        <w:adjustRightInd w:val="0"/>
        <w:snapToGrid w:val="0"/>
        <w:spacing w:line="360" w:lineRule="auto"/>
        <w:ind w:right="300" w:firstLine="600" w:firstLineChars="200"/>
        <w:jc w:val="right"/>
        <w:outlineLvl w:val="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 </w:t>
      </w:r>
      <w:r>
        <w:rPr>
          <w:rFonts w:ascii="Times New Roman" w:hAnsi="Times New Roman" w:eastAsia="仿宋_GB2312" w:cs="Times New Roman"/>
          <w:sz w:val="30"/>
          <w:szCs w:val="30"/>
        </w:rPr>
        <w:t>XX公司</w:t>
      </w:r>
    </w:p>
    <w:p>
      <w:pPr>
        <w:adjustRightInd w:val="0"/>
        <w:snapToGrid w:val="0"/>
        <w:spacing w:line="360" w:lineRule="auto"/>
        <w:ind w:firstLine="600" w:firstLineChars="200"/>
        <w:jc w:val="right"/>
        <w:rPr>
          <w:rFonts w:ascii="Times New Roman" w:hAnsi="Times New Roman" w:eastAsia="仿宋_GB2312" w:cs="Times New Roman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sz w:val="30"/>
          <w:szCs w:val="30"/>
        </w:rPr>
        <w:t>XXXX年X月X日</w:t>
      </w:r>
    </w:p>
    <w:p>
      <w:pPr>
        <w:adjustRightInd w:val="0"/>
        <w:snapToGrid w:val="0"/>
        <w:spacing w:line="360" w:lineRule="auto"/>
        <w:ind w:firstLine="600" w:firstLineChars="200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（十九）常见问题解答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1.申请存放境外需要具备哪些条件？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（1）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服务贸易外汇收入来源真实合法，且在境外有符合相关规定的支付需求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； 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（2）近两年无违反外汇管理规定行为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 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2.受理后几个工作日能办结？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按照法规要求，正式受理后，20个工作日内可以批复。</w:t>
      </w:r>
    </w:p>
    <w:p>
      <w:pPr>
        <w:adjustRightInd w:val="0"/>
        <w:snapToGrid w:val="0"/>
        <w:spacing w:line="360" w:lineRule="auto"/>
        <w:ind w:firstLine="600" w:firstLineChars="200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（二十）常见错误示例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某公司近两年因违反外汇管理规定被处罚，申请该业务。</w:t>
      </w:r>
    </w:p>
    <w:p>
      <w:pPr>
        <w:widowControl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br w:type="page"/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</w:t>
      </w:r>
      <w:r>
        <w:rPr>
          <w:rFonts w:hint="eastAsia" w:ascii="Times New Roman" w:hAnsi="Times New Roman" w:eastAsia="黑体" w:cs="Times New Roman"/>
          <w:sz w:val="30"/>
          <w:szCs w:val="30"/>
        </w:rPr>
        <w:t>图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pict>
          <v:group id="Group 25" o:spid="_x0000_s1027" style="position:absolute;left:0;margin-left:-42.35pt;margin-top:35.25pt;height:473.2pt;width:472.7pt;rotation:0f;z-index:251658240;" coordorigin="825,3393" coordsize="9454,9464">
            <o:lock v:ext="edit" position="f" selection="f" grouping="f" rotation="f" cropping="f" text="f" aspectratio="f"/>
            <v:shape id="直接箭头连接符 21" o:spid="_x0000_s1028" type="#_x0000_t32" style="position:absolute;left:2402;top:4552;height:1468;width:17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17" o:spid="_x0000_s1029" type="#_x0000_t32" style="position:absolute;left:4275;top:5918;height:1;width:564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16" o:spid="_x0000_s1030" type="#_x0000_t32" style="position:absolute;left:4275;top:6752;height:1;width:564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18" o:spid="_x0000_s1031" type="#_x0000_t34" style="position:absolute;left:8573;top:5455;height:1;width:271;rotation:17694720f;" o:ole="f" fillcolor="#FFFFFF" filled="t" o:preferrelative="t" stroked="t" coordorigin="0,0" coordsize="21600,21600" adj="1076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19" o:spid="_x0000_s1032" type="#_x0000_t32" style="position:absolute;left:2417;top:4938;flip:x y;height:72;width:485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9" o:spid="_x0000_s1033" type="#_x0000_t32" style="position:absolute;left:5002;top:9276;height:437;width:0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11" o:spid="_x0000_s1034" type="#_x0000_t32" style="position:absolute;left:4986;top:11195;height:90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5" o:spid="_x0000_s1035" type="#_x0000_t32" style="position:absolute;left:2432;top:7405;height:1391;width: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直接箭头连接符 6" o:spid="_x0000_s1036" type="#_x0000_t32" style="position:absolute;left:2432;top:8792;height:0;width:822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流程图: 决策 2" o:spid="_x0000_s1037" type="#_x0000_t110" style="position:absolute;left:825;top:5391;height:2085;width:315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left"/>
                    </w:pPr>
                    <w:r>
                      <w:rPr>
                        <w:rFonts w:hint="eastAsia"/>
                      </w:rPr>
                      <w:t>接件并于</w:t>
                    </w:r>
                    <w:r>
                      <w:rPr>
                        <w:rFonts w:ascii="Times New Roman" w:hAnsi="Times New Roman" w:cs="Times New Roman"/>
                      </w:rPr>
                      <w:t>5</w:t>
                    </w:r>
                    <w:r>
                      <w:rPr>
                        <w:rFonts w:hint="eastAsia"/>
                      </w:rPr>
                      <w:t>个工作日作出是否受理决定</w:t>
                    </w:r>
                  </w:p>
                </w:txbxContent>
              </v:textbox>
            </v:shape>
            <v:shape id="直接箭头连接符 3" o:spid="_x0000_s1038" type="#_x0000_t32" style="position:absolute;left:4275;top:5933;height:804;width: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直接箭头连接符 4" o:spid="_x0000_s1039" type="#_x0000_t32" style="position:absolute;left:3982;top:6416;height:0;width:293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rect id="矩形 20" o:spid="_x0000_s1040" style="position:absolute;left:7272;top:4573;height:720;width:2929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申请人补全材料</w:t>
                    </w:r>
                  </w:p>
                </w:txbxContent>
              </v:textbox>
            </v:rect>
            <v:shape id="流程图: 过程 7" o:spid="_x0000_s1041" type="#_x0000_t109" style="position:absolute;left:4839;top:5591;height:587;width:544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</w:txbxContent>
              </v:textbox>
            </v:shape>
            <v:rect id="矩形 8" o:spid="_x0000_s1042" style="position:absolute;left:4839;top:6592;height:811;width:544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</w:txbxContent>
              </v:textbox>
            </v:rect>
            <v:shape id="流程图: 过程 13" o:spid="_x0000_s1043" type="#_x0000_t109" style="position:absolute;left:3332;top:8461;height:815;width:322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依法应予受理的，出具受理单</w:t>
                    </w:r>
                  </w:p>
                  <w:p/>
                </w:txbxContent>
              </v:textbox>
            </v:shape>
            <v:shape id="流程图: 决策 10" o:spid="_x0000_s1044" type="#_x0000_t110" style="position:absolute;left:3456;top:9713;height:1444;width:3064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</w:txbxContent>
              </v:textbox>
            </v:shape>
            <v:shape id="流程图: 过程 12" o:spid="_x0000_s1045" type="#_x0000_t109" style="position:absolute;left:3452;top:12100;height:757;width:298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予以许可的，向申请人出具核准书面决定</w:t>
                    </w:r>
                  </w:p>
                  <w:p/>
                </w:txbxContent>
              </v:textbox>
            </v:shape>
            <v:shape id="流程图: 过程 14" o:spid="_x0000_s1046" type="#_x0000_t109" style="position:absolute;left:7786;top:10041;height:766;width:2298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依法作出不予许可决定</w:t>
                    </w:r>
                  </w:p>
                  <w:p/>
                </w:txbxContent>
              </v:textbox>
            </v:shape>
            <v:shape id="直接箭头连接符 15" o:spid="_x0000_s1047" type="#_x0000_t32" style="position:absolute;left:6520;top:10422;flip:y;height:15;width:1266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流程图: 终止 22" o:spid="_x0000_s1048" type="#_x0000_t116" style="position:absolute;left:1258;top:3393;height:1172;width:246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申请人现场提出书面申请，并提交材料</w:t>
                    </w:r>
                  </w:p>
                  <w:p/>
                </w:txbxContent>
              </v:textbox>
            </v:shape>
          </v:group>
        </w:pict>
      </w:r>
    </w:p>
    <w:sectPr>
      <w:footerReference r:id="rId5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B131E"/>
    <w:rsid w:val="00003372"/>
    <w:rsid w:val="00022191"/>
    <w:rsid w:val="00023783"/>
    <w:rsid w:val="000258D3"/>
    <w:rsid w:val="00041960"/>
    <w:rsid w:val="00042B58"/>
    <w:rsid w:val="00054B00"/>
    <w:rsid w:val="00055270"/>
    <w:rsid w:val="0006560A"/>
    <w:rsid w:val="00072F8A"/>
    <w:rsid w:val="000750C8"/>
    <w:rsid w:val="00077973"/>
    <w:rsid w:val="00080630"/>
    <w:rsid w:val="00091661"/>
    <w:rsid w:val="00092D53"/>
    <w:rsid w:val="00096CBB"/>
    <w:rsid w:val="00097F7B"/>
    <w:rsid w:val="000B308B"/>
    <w:rsid w:val="000B6901"/>
    <w:rsid w:val="000B728B"/>
    <w:rsid w:val="000C15B3"/>
    <w:rsid w:val="000C2B33"/>
    <w:rsid w:val="000D1995"/>
    <w:rsid w:val="000D7478"/>
    <w:rsid w:val="0012202B"/>
    <w:rsid w:val="0012271F"/>
    <w:rsid w:val="00130519"/>
    <w:rsid w:val="00135BEE"/>
    <w:rsid w:val="00140FCF"/>
    <w:rsid w:val="0014667A"/>
    <w:rsid w:val="00154B58"/>
    <w:rsid w:val="00157C64"/>
    <w:rsid w:val="00157E81"/>
    <w:rsid w:val="00170126"/>
    <w:rsid w:val="00177059"/>
    <w:rsid w:val="00181D3E"/>
    <w:rsid w:val="00182FDC"/>
    <w:rsid w:val="00196FAE"/>
    <w:rsid w:val="001A08D4"/>
    <w:rsid w:val="001A3E49"/>
    <w:rsid w:val="001A72AA"/>
    <w:rsid w:val="001B1E2C"/>
    <w:rsid w:val="001C44C7"/>
    <w:rsid w:val="001D65A2"/>
    <w:rsid w:val="001E1407"/>
    <w:rsid w:val="001F4BD4"/>
    <w:rsid w:val="001F7297"/>
    <w:rsid w:val="00205D07"/>
    <w:rsid w:val="00212F39"/>
    <w:rsid w:val="00217116"/>
    <w:rsid w:val="002222D1"/>
    <w:rsid w:val="00224238"/>
    <w:rsid w:val="00231EED"/>
    <w:rsid w:val="00233841"/>
    <w:rsid w:val="00235F24"/>
    <w:rsid w:val="002417D2"/>
    <w:rsid w:val="00241FE8"/>
    <w:rsid w:val="00242648"/>
    <w:rsid w:val="00243264"/>
    <w:rsid w:val="0024527E"/>
    <w:rsid w:val="00253A10"/>
    <w:rsid w:val="00253F7B"/>
    <w:rsid w:val="00255EAC"/>
    <w:rsid w:val="00262235"/>
    <w:rsid w:val="00263B1F"/>
    <w:rsid w:val="00263BFE"/>
    <w:rsid w:val="002738B5"/>
    <w:rsid w:val="00291C17"/>
    <w:rsid w:val="0029313A"/>
    <w:rsid w:val="002B0B1C"/>
    <w:rsid w:val="002B598D"/>
    <w:rsid w:val="002B61C1"/>
    <w:rsid w:val="002E1323"/>
    <w:rsid w:val="002E4A4E"/>
    <w:rsid w:val="002F3868"/>
    <w:rsid w:val="00302119"/>
    <w:rsid w:val="00302E87"/>
    <w:rsid w:val="00310261"/>
    <w:rsid w:val="00324E79"/>
    <w:rsid w:val="00342642"/>
    <w:rsid w:val="00343044"/>
    <w:rsid w:val="00344B01"/>
    <w:rsid w:val="00353AC4"/>
    <w:rsid w:val="003616B4"/>
    <w:rsid w:val="003A57B2"/>
    <w:rsid w:val="003B0C46"/>
    <w:rsid w:val="003C7132"/>
    <w:rsid w:val="003D4A51"/>
    <w:rsid w:val="003D77A5"/>
    <w:rsid w:val="003E6BF6"/>
    <w:rsid w:val="003F221D"/>
    <w:rsid w:val="003F3097"/>
    <w:rsid w:val="00402AE8"/>
    <w:rsid w:val="00405FE6"/>
    <w:rsid w:val="00406AEB"/>
    <w:rsid w:val="004105BC"/>
    <w:rsid w:val="004163C0"/>
    <w:rsid w:val="00421C27"/>
    <w:rsid w:val="00434C7C"/>
    <w:rsid w:val="00440A1F"/>
    <w:rsid w:val="00443603"/>
    <w:rsid w:val="00443604"/>
    <w:rsid w:val="00447FA5"/>
    <w:rsid w:val="004501EA"/>
    <w:rsid w:val="00460458"/>
    <w:rsid w:val="0046792D"/>
    <w:rsid w:val="004767DF"/>
    <w:rsid w:val="00493CCC"/>
    <w:rsid w:val="004A0218"/>
    <w:rsid w:val="004A7840"/>
    <w:rsid w:val="004B5070"/>
    <w:rsid w:val="004B545A"/>
    <w:rsid w:val="004B7E80"/>
    <w:rsid w:val="004C457E"/>
    <w:rsid w:val="004C48D5"/>
    <w:rsid w:val="004D03B7"/>
    <w:rsid w:val="004D1436"/>
    <w:rsid w:val="004D57AE"/>
    <w:rsid w:val="005056D4"/>
    <w:rsid w:val="005125EC"/>
    <w:rsid w:val="00526B2B"/>
    <w:rsid w:val="005362B0"/>
    <w:rsid w:val="0053703D"/>
    <w:rsid w:val="00542447"/>
    <w:rsid w:val="00545209"/>
    <w:rsid w:val="0055599B"/>
    <w:rsid w:val="00564312"/>
    <w:rsid w:val="005774DB"/>
    <w:rsid w:val="00577B1E"/>
    <w:rsid w:val="00586E61"/>
    <w:rsid w:val="00593C10"/>
    <w:rsid w:val="005A2981"/>
    <w:rsid w:val="005B0F69"/>
    <w:rsid w:val="005C6937"/>
    <w:rsid w:val="005C7F02"/>
    <w:rsid w:val="005D0D5F"/>
    <w:rsid w:val="005F0A86"/>
    <w:rsid w:val="005F144A"/>
    <w:rsid w:val="005F1C00"/>
    <w:rsid w:val="006003C2"/>
    <w:rsid w:val="0061621E"/>
    <w:rsid w:val="00630AA8"/>
    <w:rsid w:val="00630B2E"/>
    <w:rsid w:val="00643D2A"/>
    <w:rsid w:val="006523DA"/>
    <w:rsid w:val="00664E11"/>
    <w:rsid w:val="00673B30"/>
    <w:rsid w:val="006946A7"/>
    <w:rsid w:val="00696E5D"/>
    <w:rsid w:val="006B3DF4"/>
    <w:rsid w:val="006B5B86"/>
    <w:rsid w:val="006C5908"/>
    <w:rsid w:val="006C633E"/>
    <w:rsid w:val="006D734F"/>
    <w:rsid w:val="006E043F"/>
    <w:rsid w:val="006E4695"/>
    <w:rsid w:val="006E4B8B"/>
    <w:rsid w:val="006E5901"/>
    <w:rsid w:val="007054F3"/>
    <w:rsid w:val="0071091C"/>
    <w:rsid w:val="00714961"/>
    <w:rsid w:val="00744BD5"/>
    <w:rsid w:val="00745748"/>
    <w:rsid w:val="00750E36"/>
    <w:rsid w:val="00753125"/>
    <w:rsid w:val="00753CB0"/>
    <w:rsid w:val="00755460"/>
    <w:rsid w:val="00761FB7"/>
    <w:rsid w:val="00762107"/>
    <w:rsid w:val="00764CB9"/>
    <w:rsid w:val="00765B05"/>
    <w:rsid w:val="00770157"/>
    <w:rsid w:val="00785F45"/>
    <w:rsid w:val="007933BD"/>
    <w:rsid w:val="007A2780"/>
    <w:rsid w:val="007A403E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471B6"/>
    <w:rsid w:val="00851521"/>
    <w:rsid w:val="0085686A"/>
    <w:rsid w:val="00860878"/>
    <w:rsid w:val="008731FF"/>
    <w:rsid w:val="0088294A"/>
    <w:rsid w:val="0089282A"/>
    <w:rsid w:val="008A1DC0"/>
    <w:rsid w:val="008A4538"/>
    <w:rsid w:val="008A704B"/>
    <w:rsid w:val="008B079F"/>
    <w:rsid w:val="008B08D2"/>
    <w:rsid w:val="008B4EE5"/>
    <w:rsid w:val="008B5807"/>
    <w:rsid w:val="008D5FA0"/>
    <w:rsid w:val="008E2D38"/>
    <w:rsid w:val="008F5724"/>
    <w:rsid w:val="00902633"/>
    <w:rsid w:val="009027D8"/>
    <w:rsid w:val="0090372F"/>
    <w:rsid w:val="00911E27"/>
    <w:rsid w:val="0092129A"/>
    <w:rsid w:val="00925BB2"/>
    <w:rsid w:val="00930C8C"/>
    <w:rsid w:val="009360EA"/>
    <w:rsid w:val="00945E71"/>
    <w:rsid w:val="00947C57"/>
    <w:rsid w:val="00951149"/>
    <w:rsid w:val="00960EDB"/>
    <w:rsid w:val="009622DB"/>
    <w:rsid w:val="009664BC"/>
    <w:rsid w:val="00980F02"/>
    <w:rsid w:val="00991B77"/>
    <w:rsid w:val="00997523"/>
    <w:rsid w:val="009A0C5D"/>
    <w:rsid w:val="009A766A"/>
    <w:rsid w:val="009C1AE0"/>
    <w:rsid w:val="009C4672"/>
    <w:rsid w:val="009C491B"/>
    <w:rsid w:val="009C7E8B"/>
    <w:rsid w:val="009D0911"/>
    <w:rsid w:val="009D24F8"/>
    <w:rsid w:val="009D688C"/>
    <w:rsid w:val="009D703D"/>
    <w:rsid w:val="009F7A36"/>
    <w:rsid w:val="00A249C2"/>
    <w:rsid w:val="00A24FAB"/>
    <w:rsid w:val="00A301E7"/>
    <w:rsid w:val="00A42E69"/>
    <w:rsid w:val="00A45CA7"/>
    <w:rsid w:val="00A51415"/>
    <w:rsid w:val="00A6014E"/>
    <w:rsid w:val="00A60356"/>
    <w:rsid w:val="00A81DF1"/>
    <w:rsid w:val="00A90EF3"/>
    <w:rsid w:val="00A9342E"/>
    <w:rsid w:val="00AA28A2"/>
    <w:rsid w:val="00AA7717"/>
    <w:rsid w:val="00AB131E"/>
    <w:rsid w:val="00AB3B88"/>
    <w:rsid w:val="00AB644F"/>
    <w:rsid w:val="00AC3F5E"/>
    <w:rsid w:val="00AD2DED"/>
    <w:rsid w:val="00AE7ACF"/>
    <w:rsid w:val="00AF1339"/>
    <w:rsid w:val="00B06409"/>
    <w:rsid w:val="00B17D66"/>
    <w:rsid w:val="00B35D3A"/>
    <w:rsid w:val="00B422F1"/>
    <w:rsid w:val="00B52382"/>
    <w:rsid w:val="00B54103"/>
    <w:rsid w:val="00B71531"/>
    <w:rsid w:val="00B7456C"/>
    <w:rsid w:val="00B84131"/>
    <w:rsid w:val="00B8630E"/>
    <w:rsid w:val="00B931F4"/>
    <w:rsid w:val="00B95573"/>
    <w:rsid w:val="00B96395"/>
    <w:rsid w:val="00BA2AF8"/>
    <w:rsid w:val="00BB2650"/>
    <w:rsid w:val="00BB5BDC"/>
    <w:rsid w:val="00BB7447"/>
    <w:rsid w:val="00BB7B76"/>
    <w:rsid w:val="00BD233D"/>
    <w:rsid w:val="00BF4EF0"/>
    <w:rsid w:val="00BF7FCF"/>
    <w:rsid w:val="00C02E44"/>
    <w:rsid w:val="00C147D2"/>
    <w:rsid w:val="00C2075F"/>
    <w:rsid w:val="00C23799"/>
    <w:rsid w:val="00C274C9"/>
    <w:rsid w:val="00C275D5"/>
    <w:rsid w:val="00C31E02"/>
    <w:rsid w:val="00C42513"/>
    <w:rsid w:val="00C4465B"/>
    <w:rsid w:val="00C46940"/>
    <w:rsid w:val="00C54291"/>
    <w:rsid w:val="00C601D3"/>
    <w:rsid w:val="00C672C3"/>
    <w:rsid w:val="00C712B2"/>
    <w:rsid w:val="00C74460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CE61BD"/>
    <w:rsid w:val="00D01626"/>
    <w:rsid w:val="00D26728"/>
    <w:rsid w:val="00D26F10"/>
    <w:rsid w:val="00D33A4D"/>
    <w:rsid w:val="00D33F76"/>
    <w:rsid w:val="00D37EC3"/>
    <w:rsid w:val="00D41F5E"/>
    <w:rsid w:val="00D43DC0"/>
    <w:rsid w:val="00D457D1"/>
    <w:rsid w:val="00D54E56"/>
    <w:rsid w:val="00D6407D"/>
    <w:rsid w:val="00D93E78"/>
    <w:rsid w:val="00D9765F"/>
    <w:rsid w:val="00DB61F0"/>
    <w:rsid w:val="00DC6E91"/>
    <w:rsid w:val="00DC7514"/>
    <w:rsid w:val="00DD3845"/>
    <w:rsid w:val="00DF3230"/>
    <w:rsid w:val="00E1687A"/>
    <w:rsid w:val="00E20A2E"/>
    <w:rsid w:val="00E277DE"/>
    <w:rsid w:val="00E27EE9"/>
    <w:rsid w:val="00E3239D"/>
    <w:rsid w:val="00E3439B"/>
    <w:rsid w:val="00E37414"/>
    <w:rsid w:val="00E40E64"/>
    <w:rsid w:val="00E42C5F"/>
    <w:rsid w:val="00E65A1B"/>
    <w:rsid w:val="00E72F1F"/>
    <w:rsid w:val="00E80001"/>
    <w:rsid w:val="00E934AB"/>
    <w:rsid w:val="00EA06AC"/>
    <w:rsid w:val="00EA08BF"/>
    <w:rsid w:val="00EA24FB"/>
    <w:rsid w:val="00EB3204"/>
    <w:rsid w:val="00EB50BA"/>
    <w:rsid w:val="00EC3D33"/>
    <w:rsid w:val="00EC7AC5"/>
    <w:rsid w:val="00ED302A"/>
    <w:rsid w:val="00ED3A42"/>
    <w:rsid w:val="00EE02BC"/>
    <w:rsid w:val="00EE6970"/>
    <w:rsid w:val="00EF38D0"/>
    <w:rsid w:val="00EF3DDF"/>
    <w:rsid w:val="00EF4A8C"/>
    <w:rsid w:val="00F12A6C"/>
    <w:rsid w:val="00F2678C"/>
    <w:rsid w:val="00F27B38"/>
    <w:rsid w:val="00F40278"/>
    <w:rsid w:val="00F41832"/>
    <w:rsid w:val="00F56988"/>
    <w:rsid w:val="00F620FB"/>
    <w:rsid w:val="00F6571F"/>
    <w:rsid w:val="00F8687E"/>
    <w:rsid w:val="00F93331"/>
    <w:rsid w:val="00F95549"/>
    <w:rsid w:val="00FA1E24"/>
    <w:rsid w:val="00FA24FB"/>
    <w:rsid w:val="00FA632B"/>
    <w:rsid w:val="00FA7FB8"/>
    <w:rsid w:val="00FB09C6"/>
    <w:rsid w:val="00FB38EA"/>
    <w:rsid w:val="00FB5E0F"/>
    <w:rsid w:val="00FB5E8C"/>
    <w:rsid w:val="00FB6AFF"/>
    <w:rsid w:val="00FC4D8F"/>
    <w:rsid w:val="00FD06D3"/>
    <w:rsid w:val="00FE3157"/>
    <w:rsid w:val="00FE6865"/>
    <w:rsid w:val="00FE6993"/>
    <w:rsid w:val="00FF6200"/>
    <w:rsid w:val="119A02EF"/>
    <w:rsid w:val="11EF57FA"/>
    <w:rsid w:val="62BB5558"/>
    <w:rsid w:val="67414AFB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qFormat="1"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3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4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3">
    <w:name w:val="Default Paragraph Font"/>
    <w:unhideWhenUsed/>
    <w:uiPriority w:val="1"/>
  </w:style>
  <w:style w:type="table" w:default="1" w:styleId="17">
    <w:name w:val="Normal Table"/>
    <w:unhideWhenUsed/>
    <w:qFormat/>
    <w:uiPriority w:val="99"/>
    <w:tblPr>
      <w:tblStyle w:val="1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Document Map"/>
    <w:basedOn w:val="1"/>
    <w:link w:val="38"/>
    <w:unhideWhenUsed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1"/>
    <w:unhideWhenUsed/>
    <w:qFormat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9"/>
    <w:unhideWhenUsed/>
    <w:uiPriority w:val="0"/>
    <w:rPr>
      <w:sz w:val="18"/>
      <w:szCs w:val="18"/>
    </w:rPr>
  </w:style>
  <w:style w:type="paragraph" w:styleId="8">
    <w:name w:val="footer"/>
    <w:basedOn w:val="1"/>
    <w:link w:val="2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6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1">
    <w:name w:val="HTML Preformatted"/>
    <w:basedOn w:val="1"/>
    <w:link w:val="30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4">
    <w:name w:val="Hyperlink"/>
    <w:basedOn w:val="13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5">
    <w:name w:val="annotation reference"/>
    <w:basedOn w:val="13"/>
    <w:unhideWhenUsed/>
    <w:qFormat/>
    <w:uiPriority w:val="0"/>
    <w:rPr>
      <w:sz w:val="21"/>
      <w:szCs w:val="21"/>
    </w:rPr>
  </w:style>
  <w:style w:type="character" w:styleId="16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table" w:styleId="18">
    <w:name w:val="Table Grid"/>
    <w:basedOn w:val="17"/>
    <w:uiPriority w:val="59"/>
    <w:pPr/>
    <w:tblPr>
      <w:tblStyle w:val="1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1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Revision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4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5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6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7">
    <w:name w:val="页眉 Char"/>
    <w:basedOn w:val="13"/>
    <w:link w:val="9"/>
    <w:uiPriority w:val="99"/>
    <w:rPr>
      <w:sz w:val="18"/>
      <w:szCs w:val="18"/>
    </w:rPr>
  </w:style>
  <w:style w:type="character" w:customStyle="1" w:styleId="28">
    <w:name w:val="页脚 Char"/>
    <w:basedOn w:val="13"/>
    <w:link w:val="8"/>
    <w:uiPriority w:val="99"/>
    <w:rPr>
      <w:sz w:val="18"/>
      <w:szCs w:val="18"/>
    </w:rPr>
  </w:style>
  <w:style w:type="character" w:customStyle="1" w:styleId="29">
    <w:name w:val="批注框文本 Char"/>
    <w:basedOn w:val="13"/>
    <w:link w:val="7"/>
    <w:semiHidden/>
    <w:uiPriority w:val="0"/>
    <w:rPr>
      <w:sz w:val="18"/>
      <w:szCs w:val="18"/>
    </w:rPr>
  </w:style>
  <w:style w:type="character" w:customStyle="1" w:styleId="30">
    <w:name w:val="HTML 预设格式 Char"/>
    <w:basedOn w:val="13"/>
    <w:link w:val="11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批注文字 Char"/>
    <w:basedOn w:val="13"/>
    <w:link w:val="6"/>
    <w:semiHidden/>
    <w:qFormat/>
    <w:uiPriority w:val="0"/>
    <w:rPr>
      <w:rFonts w:ascii="Calibri" w:hAnsi="Calibri" w:eastAsia="宋体" w:cs="Times New Roman"/>
    </w:rPr>
  </w:style>
  <w:style w:type="character" w:customStyle="1" w:styleId="32">
    <w:name w:val="标题 1 Char"/>
    <w:basedOn w:val="13"/>
    <w:link w:val="2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3">
    <w:name w:val="标题 2 Char"/>
    <w:basedOn w:val="13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4">
    <w:name w:val="标题 3 Char"/>
    <w:basedOn w:val="13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5">
    <w:name w:val="脚注文本 Char"/>
    <w:basedOn w:val="13"/>
    <w:semiHidden/>
    <w:uiPriority w:val="99"/>
    <w:rPr>
      <w:kern w:val="2"/>
      <w:sz w:val="18"/>
      <w:szCs w:val="18"/>
    </w:rPr>
  </w:style>
  <w:style w:type="character" w:customStyle="1" w:styleId="36">
    <w:name w:val="脚注文本 Char1"/>
    <w:basedOn w:val="13"/>
    <w:link w:val="10"/>
    <w:semiHidden/>
    <w:qFormat/>
    <w:uiPriority w:val="0"/>
    <w:rPr>
      <w:rFonts w:ascii="Times New Roman" w:hAnsi="Times New Roman"/>
      <w:sz w:val="18"/>
      <w:szCs w:val="18"/>
    </w:rPr>
  </w:style>
  <w:style w:type="character" w:customStyle="1" w:styleId="37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8">
    <w:name w:val="文档结构图 Char"/>
    <w:basedOn w:val="13"/>
    <w:link w:val="5"/>
    <w:uiPriority w:val="0"/>
    <w:rPr>
      <w:rFonts w:ascii="宋体"/>
      <w:sz w:val="18"/>
      <w:szCs w:val="18"/>
    </w:rPr>
  </w:style>
  <w:style w:type="character" w:customStyle="1" w:styleId="39">
    <w:name w:val="批注文字 Char1"/>
    <w:basedOn w:val="13"/>
    <w:semiHidden/>
    <w:qFormat/>
    <w:uiPriority w:val="99"/>
    <w:rPr>
      <w:kern w:val="2"/>
      <w:sz w:val="21"/>
      <w:szCs w:val="22"/>
    </w:rPr>
  </w:style>
  <w:style w:type="character" w:customStyle="1" w:styleId="40">
    <w:name w:val="Intense Emphasis"/>
    <w:basedOn w:val="13"/>
    <w:qFormat/>
    <w:uiPriority w:val="21"/>
    <w:rPr>
      <w:b/>
      <w:bCs/>
      <w:i/>
      <w:iCs/>
      <w:color w:val="4F81BD"/>
    </w:rPr>
  </w:style>
  <w:style w:type="character" w:customStyle="1" w:styleId="41">
    <w:name w:val="文档结构图 Char1"/>
    <w:basedOn w:val="13"/>
    <w:semiHidden/>
    <w:qFormat/>
    <w:uiPriority w:val="99"/>
    <w:rPr>
      <w:rFonts w:ascii="宋体" w:eastAsia="宋体"/>
      <w:sz w:val="18"/>
      <w:szCs w:val="18"/>
    </w:rPr>
  </w:style>
  <w:style w:type="character" w:customStyle="1" w:styleId="42">
    <w:name w:val="脚注文本 Char2"/>
    <w:basedOn w:val="1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407</Words>
  <Characters>2322</Characters>
  <Lines>19</Lines>
  <Paragraphs>5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2020-02-27T06:09:00Z</dcterms:created>
  <dc:creator>裴建君2</dc:creator>
  <cp:lastModifiedBy>席雅兰/外汇管理处/银川/PBC</cp:lastModifiedBy>
  <cp:lastPrinted>2020-09-08T02:25:00Z</cp:lastPrinted>
  <dcterms:modified xsi:type="dcterms:W3CDTF">2021-05-18T06:18:38Z</dcterms:modified>
  <dc:title>编号：57017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