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62" o:spid="_x0000_s1026" type="#_x0000_t75" style="height:70.15pt;width:86.9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16"/>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四、非银行债务人外债登记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 《中国人民银行关于全口径跨境融资宏观审慎管理有关事宜的通知》（银发〔2017〕9号）。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ascii="Times New Roman" w:hAnsi="Times New Roman" w:cs="Times New Roman"/>
        </w:rPr>
        <w:t xml:space="preserve"> </w:t>
      </w:r>
      <w:r>
        <w:rPr>
          <w:rFonts w:ascii="Times New Roman" w:hAnsi="Times New Roman" w:eastAsia="仿宋_GB2312" w:cs="Times New Roman"/>
          <w:sz w:val="30"/>
          <w:szCs w:val="30"/>
        </w:rPr>
        <w:t>《国家外汇管理局关于进一步促进跨境贸易投资便利化的通知》（汇发〔2019〕28号）。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7.《中国人民银行  国家外汇管理局关于调整全口径跨境融资宏观审慎调节参数的通知》（银发〔2020〕64号）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《中国人民银行  国家外汇管理局关于调整跨境融资宏观审慎</w:t>
      </w:r>
      <w:r>
        <w:rPr>
          <w:rFonts w:hint="eastAsia" w:ascii="Times New Roman" w:hAnsi="Times New Roman" w:eastAsia="仿宋_GB2312" w:cs="Times New Roman"/>
          <w:sz w:val="30"/>
          <w:szCs w:val="30"/>
        </w:rPr>
        <w:t>政策</w:t>
      </w:r>
      <w:r>
        <w:rPr>
          <w:rFonts w:ascii="Times New Roman" w:hAnsi="Times New Roman" w:eastAsia="仿宋_GB2312" w:cs="Times New Roman"/>
          <w:sz w:val="30"/>
          <w:szCs w:val="30"/>
        </w:rPr>
        <w:t>的通知》（银发〔2020〕</w:t>
      </w:r>
      <w:r>
        <w:rPr>
          <w:rFonts w:hint="eastAsia" w:ascii="Times New Roman" w:hAnsi="Times New Roman" w:eastAsia="仿宋_GB2312" w:cs="Times New Roman"/>
          <w:sz w:val="30"/>
          <w:szCs w:val="30"/>
        </w:rPr>
        <w:t>301</w:t>
      </w:r>
      <w:r>
        <w:rPr>
          <w:rFonts w:ascii="Times New Roman" w:hAnsi="Times New Roman" w:eastAsia="仿宋_GB2312" w:cs="Times New Roman"/>
          <w:sz w:val="30"/>
          <w:szCs w:val="30"/>
        </w:rPr>
        <w:t>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（1）新办登记。申请人为按照规定可以举借外债的财政部门、银行以外的其他境内债务人（以下简称“非银行债务人”）。应当在不晚于外债提款前3个工作日内，到所在地国家外汇管理局</w:t>
      </w:r>
      <w:r>
        <w:rPr>
          <w:rFonts w:hint="eastAsia" w:ascii="Times New Roman" w:hAnsi="Times New Roman" w:eastAsia="仿宋_GB2312" w:cs="Times New Roman"/>
          <w:sz w:val="30"/>
          <w:szCs w:val="30"/>
          <w:lang w:eastAsia="zh-CN"/>
        </w:rPr>
        <w:t>分支机构</w:t>
      </w:r>
      <w:r>
        <w:rPr>
          <w:rFonts w:ascii="Times New Roman" w:hAnsi="Times New Roman" w:eastAsia="仿宋_GB2312" w:cs="Times New Roman"/>
          <w:sz w:val="30"/>
          <w:szCs w:val="30"/>
        </w:rPr>
        <w:t>办理外债签约登记手续。非银行债务人融资租赁、售后融资性回租和发行境外债券等，也应办理外债签约登记手续。</w:t>
      </w:r>
    </w:p>
    <w:p>
      <w:pPr>
        <w:adjustRightInd w:val="0"/>
        <w:snapToGrid w:val="0"/>
        <w:spacing w:line="360" w:lineRule="auto"/>
        <w:ind w:firstLine="601"/>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（2）变更登记。已办理签约登记的外债合同主要条款发生变化，如期限（展期等）、金额、债权人等，非银行债务人应办理外债签约变更登记。</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备案。具备真实业务需求；具有完善的跨境资金管理架构、内控制度；建立相应的内部管理电子系统；上年度本外币国际收支规模超过1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A类；</w:t>
      </w:r>
      <w:r>
        <w:rPr>
          <w:rFonts w:ascii="Times New Roman" w:hAnsi="Times New Roman" w:eastAsia="仿宋_GB2312" w:cs="Times New Roman"/>
          <w:spacing w:val="-6"/>
          <w:sz w:val="30"/>
          <w:szCs w:val="30"/>
        </w:rPr>
        <w:t>国家外汇管理局规定的其他审慎监管条件</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2.以下情形，不予办理外债签约登记：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（1）2007年6月1日以后（含）取得商务主管部门批准证书且通过商务部备案的外商投资房地产企业；</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外商投资房地产企业未取得《国有土地使用证》的，或开发项目资本金未达到项目投资总额35％的。</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属于地方政府融资平台性质的公司与房地产企业，不适用于宏观审慎管理模式。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3.境内机构在境外发行债券的，无论期限长短，均应在境外债券交割后15</w:t>
      </w:r>
      <w:r>
        <w:rPr>
          <w:rFonts w:hint="eastAsia" w:ascii="Times New Roman" w:hAnsi="Times New Roman" w:eastAsia="仿宋_GB2312" w:cs="Times New Roman"/>
          <w:sz w:val="30"/>
          <w:szCs w:val="30"/>
        </w:rPr>
        <w:t>个工作日</w:t>
      </w:r>
      <w:r>
        <w:rPr>
          <w:rFonts w:ascii="Times New Roman" w:hAnsi="Times New Roman" w:eastAsia="仿宋_GB2312" w:cs="Times New Roman"/>
          <w:sz w:val="30"/>
          <w:szCs w:val="30"/>
        </w:rPr>
        <w:t>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 非银行债务人已登记外债符合以下条件的，在办妥最后一笔还本付息业务、关闭相关外债账户后，可向所属分局辖内银行申请办理外债注销登记：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（1）已登记外债未偿余额为零且不再发生提款；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（2）已登记外债完成所有还本付息业务且不再发生提款，但由于扣划手续费等合理原因导致未偿余额不为零，银行能够核实并确定未偿余额不为零的原因合理。 </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 不符合在银行办理外债注销登记条件（如债务减免、债转股等）的，非银行债务人应向所在地外汇局申请办理外债注销登记。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1．非银行债务人外债登记-外债签约（变更）登记申请材料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3"/>
        <w:gridCol w:w="4253"/>
        <w:gridCol w:w="992"/>
        <w:gridCol w:w="567"/>
        <w:gridCol w:w="851"/>
        <w:gridCol w:w="567"/>
        <w:gridCol w:w="759"/>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（选择宏观审慎模式的机构，附《宏观审慎跨境融资风险加权余额情况表（企业版）》）</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加盖公章的外债合同主要条款复印件</w:t>
            </w:r>
            <w:r>
              <w:rPr>
                <w:rFonts w:hint="eastAsia" w:ascii="Times New Roman" w:hAnsi="Times New Roman" w:eastAsia="仿宋_GB2312" w:cs="Times New Roman"/>
                <w:sz w:val="24"/>
                <w:szCs w:val="24"/>
              </w:rPr>
              <w:t>（境外发行债券的，应提供全球债券证书等证明材料）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选择宏观审慎模式的机构，提交</w:t>
            </w:r>
            <w:r>
              <w:rPr>
                <w:rFonts w:hint="eastAsia" w:ascii="Times New Roman" w:hAnsi="Times New Roman" w:eastAsia="仿宋_GB2312" w:cs="Times New Roman"/>
                <w:color w:val="000000"/>
                <w:sz w:val="24"/>
                <w:szCs w:val="24"/>
              </w:rPr>
              <w:t>上年度或最近一期经审计的财务报告，以及其他相关批准文件（发展改革部门备案文件，如有）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投注差</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模式的外商投资企业，应提供外商投资企业批准证书或商务部业务系统统一平台打印的外商投资企业基本信息页面</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因外债合同主要条款发生变化，需办理外债变更登记的，还需提供原《境内机构外债签约情况表》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2.跨国公司跨境资金集中运营-集中外债额度业务备案</w:t>
      </w:r>
    </w:p>
    <w:tbl>
      <w:tblPr>
        <w:tblW w:w="9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5"/>
        <w:gridCol w:w="5567"/>
        <w:gridCol w:w="992"/>
        <w:gridCol w:w="387"/>
        <w:gridCol w:w="587"/>
        <w:gridCol w:w="494"/>
        <w:gridCol w:w="494"/>
      </w:tblGrid>
      <w:tr>
        <w:tc>
          <w:tcPr>
            <w:tcW w:w="49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5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3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494" w:type="dxa"/>
            <w:vAlign w:val="top"/>
          </w:tcPr>
          <w:p>
            <w:pPr>
              <w:keepNext/>
              <w:keepLines/>
              <w:spacing w:before="340" w:after="330" w:line="578" w:lineRule="auto"/>
              <w:jc w:val="center"/>
              <w:rPr>
                <w:rFonts w:ascii="Times New Roman" w:hAnsi="Times New Roman" w:eastAsia="仿宋_GB2312" w:cs="Times New Roman"/>
                <w:sz w:val="24"/>
                <w:szCs w:val="24"/>
              </w:rPr>
            </w:pPr>
          </w:p>
        </w:tc>
      </w:tr>
      <w:tr>
        <w:trPr>
          <w:trHeight w:val="378"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rPr>
          <w:trHeight w:val="126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贡献外债额度成员企业上年度经审计的资产负债表复印件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bl>
    <w:p>
      <w:pPr>
        <w:tabs>
          <w:tab w:val="right" w:pos="8306"/>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3.跨国公司跨境资金集中运营-集中外债额度业务变更备案</w:t>
      </w:r>
      <w:r>
        <w:rPr>
          <w:rFonts w:ascii="Times New Roman" w:hAnsi="Times New Roman" w:eastAsia="仿宋_GB2312" w:cs="Times New Roman"/>
          <w:sz w:val="30"/>
          <w:szCs w:val="30"/>
        </w:rPr>
        <w:tab/>
      </w: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3"/>
        <w:gridCol w:w="4253"/>
        <w:gridCol w:w="992"/>
        <w:gridCol w:w="567"/>
        <w:gridCol w:w="851"/>
        <w:gridCol w:w="709"/>
        <w:gridCol w:w="708"/>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4.非银行债务人外债登记-外债注销登记申请材料   </w:t>
      </w:r>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2835"/>
        <w:gridCol w:w="1417"/>
        <w:gridCol w:w="992"/>
        <w:gridCol w:w="993"/>
        <w:gridCol w:w="708"/>
        <w:gridCol w:w="993"/>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书面申请，并附原《境内机构外债签约情况表》</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银行出具的相关关户证明材料（如有）</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5.跨国公司跨境资金集中运营-集中外债额度业务注销</w:t>
      </w:r>
    </w:p>
    <w:tbl>
      <w:tblPr>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29"/>
        <w:gridCol w:w="4223"/>
        <w:gridCol w:w="985"/>
        <w:gridCol w:w="563"/>
        <w:gridCol w:w="845"/>
        <w:gridCol w:w="563"/>
        <w:gridCol w:w="754"/>
      </w:tblGrid>
      <w:tr>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outlineLvl w:val="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hint="eastAsia"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hint="eastAsia" w:ascii="Times New Roman" w:hAnsi="Times New Roman" w:eastAsia="仿宋_GB2312" w:cs="Times New Roman"/>
          <w:sz w:val="30"/>
        </w:rPr>
      </w:pPr>
      <w:r>
        <w:rPr>
          <w:rFonts w:ascii="Times New Roman" w:hAnsi="Times New Roman" w:eastAsia="黑体" w:cs="Times New Roman"/>
          <w:sz w:val="30"/>
          <w:szCs w:val="30"/>
        </w:rPr>
        <w:t>（十五）咨询途径、监督和投诉</w:t>
      </w:r>
    </w:p>
    <w:p>
      <w:pPr>
        <w:adjustRightInd w:val="0"/>
        <w:snapToGrid w:val="0"/>
        <w:spacing w:line="360" w:lineRule="auto"/>
        <w:ind w:firstLine="600"/>
        <w:rPr>
          <w:rFonts w:hint="eastAsia" w:ascii="Times New Roman" w:hAnsi="Times New Roman" w:eastAsia="仿宋_GB2312" w:cs="Times New Roman"/>
          <w:sz w:val="30"/>
        </w:rPr>
      </w:pPr>
      <w:r>
        <w:rPr>
          <w:rFonts w:eastAsia="仿宋_GB2312"/>
          <w:sz w:val="30"/>
          <w:szCs w:val="30"/>
        </w:rPr>
        <w:t>向国家外汇管理局咨询、监督投诉等可通过国家外汇管理局官方互联网站公众交流栏目进行</w:t>
      </w:r>
      <w:r>
        <w:rPr>
          <w:rFonts w:hint="eastAsia" w:eastAsia="仿宋_GB2312"/>
          <w:sz w:val="30"/>
          <w:szCs w:val="30"/>
        </w:rPr>
        <w:t>，</w:t>
      </w:r>
      <w:r>
        <w:rPr>
          <w:rFonts w:eastAsia="仿宋_GB2312"/>
          <w:sz w:val="30"/>
          <w:szCs w:val="30"/>
        </w:rPr>
        <w:t>网址为</w:t>
      </w:r>
      <w:r>
        <w:fldChar w:fldCharType="begin"/>
      </w:r>
      <w:r>
        <w:instrText xml:space="preserve">HYPERLINK "http://www.safe.gov.cn/" </w:instrText>
      </w:r>
      <w:r>
        <w:fldChar w:fldCharType="separate"/>
      </w:r>
      <w:r>
        <w:rPr>
          <w:rFonts w:eastAsia="仿宋_GB2312"/>
          <w:spacing w:val="-4"/>
          <w:sz w:val="30"/>
          <w:szCs w:val="30"/>
        </w:rPr>
        <w:t>www.safe.gov.cn</w:t>
      </w:r>
      <w:r>
        <w:fldChar w:fldCharType="end"/>
      </w:r>
      <w:r>
        <w:rPr>
          <w:rFonts w:eastAsia="仿宋_GB2312"/>
          <w:sz w:val="30"/>
          <w:szCs w:val="30"/>
        </w:rPr>
        <w:t>。</w:t>
      </w:r>
    </w:p>
    <w:p>
      <w:pPr>
        <w:adjustRightInd w:val="0"/>
        <w:snapToGrid w:val="0"/>
        <w:spacing w:line="360" w:lineRule="auto"/>
        <w:ind w:firstLine="600"/>
        <w:rPr>
          <w:rFonts w:hint="eastAsia" w:ascii="Times New Roman" w:hAnsi="Times New Roman" w:eastAsia="仿宋_GB2312" w:cs="Times New Roman"/>
          <w:sz w:val="30"/>
        </w:rPr>
      </w:pPr>
      <w:r>
        <w:rPr>
          <w:rFonts w:eastAsia="仿宋_GB2312"/>
          <w:sz w:val="30"/>
          <w:szCs w:val="30"/>
        </w:rPr>
        <w:t>向外汇局</w:t>
      </w:r>
      <w:r>
        <w:rPr>
          <w:rFonts w:hint="eastAsia" w:eastAsia="仿宋_GB2312"/>
          <w:sz w:val="30"/>
          <w:szCs w:val="30"/>
        </w:rPr>
        <w:t>吉林省分局及</w:t>
      </w:r>
      <w:r>
        <w:rPr>
          <w:rFonts w:hint="eastAsia" w:eastAsia="仿宋_GB2312"/>
          <w:sz w:val="30"/>
          <w:szCs w:val="30"/>
          <w:lang w:eastAsia="zh-CN"/>
        </w:rPr>
        <w:t>分支机构</w:t>
      </w:r>
      <w:r>
        <w:rPr>
          <w:rFonts w:eastAsia="仿宋_GB2312"/>
          <w:sz w:val="30"/>
          <w:szCs w:val="30"/>
        </w:rPr>
        <w:t>进行咨询、监督和投诉等可通过</w:t>
      </w:r>
      <w:r>
        <w:rPr>
          <w:rFonts w:hint="eastAsia" w:eastAsia="仿宋_GB2312"/>
          <w:sz w:val="30"/>
          <w:szCs w:val="30"/>
        </w:rPr>
        <w:t>国家外汇管理局吉林省分局官方互联网站“咨询反馈”栏目进行，网址为</w:t>
      </w:r>
      <w:r>
        <w:fldChar w:fldCharType="begin"/>
      </w:r>
      <w:r>
        <w:instrText xml:space="preserve">HYPERLINK "http://www.safe.gov.cn/jilin" </w:instrText>
      </w:r>
      <w:r>
        <w:fldChar w:fldCharType="separate"/>
      </w:r>
      <w:r>
        <w:rPr>
          <w:rStyle w:val="14"/>
          <w:rFonts w:eastAsia="仿宋_GB2312"/>
          <w:color w:val="auto"/>
          <w:sz w:val="30"/>
          <w:szCs w:val="30"/>
        </w:rPr>
        <w:t>www.safe.gov.cn/jilin</w:t>
      </w:r>
      <w:r>
        <w:fldChar w:fldCharType="end"/>
      </w:r>
      <w:r>
        <w:rPr>
          <w:rFonts w:hint="eastAsia" w:eastAsia="仿宋_GB2312"/>
          <w:sz w:val="30"/>
          <w:szCs w:val="30"/>
        </w:rPr>
        <w:t>，也可通过国家外汇管理局吉林省分局官方互联网站“咨询反馈——联系我们”栏目中</w:t>
      </w:r>
      <w:r>
        <w:rPr>
          <w:rFonts w:eastAsia="仿宋_GB2312"/>
          <w:sz w:val="30"/>
          <w:szCs w:val="30"/>
        </w:rPr>
        <w:t>公布的电话进行。</w:t>
      </w:r>
    </w:p>
    <w:p>
      <w:pPr>
        <w:adjustRightInd w:val="0"/>
        <w:snapToGrid w:val="0"/>
        <w:spacing w:line="360" w:lineRule="auto"/>
        <w:ind w:firstLine="600"/>
        <w:rPr>
          <w:rFonts w:hint="eastAsia" w:ascii="Times New Roman" w:hAnsi="Times New Roman" w:eastAsia="仿宋_GB2312" w:cs="Times New Roman"/>
          <w:sz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rPr>
        <w:t>六</w:t>
      </w:r>
      <w:r>
        <w:rPr>
          <w:rFonts w:ascii="Times New Roman" w:hAnsi="Times New Roman" w:eastAsia="黑体" w:cs="Times New Roman"/>
          <w:sz w:val="30"/>
          <w:szCs w:val="30"/>
        </w:rPr>
        <w:t>）办公地址和时间</w:t>
      </w:r>
    </w:p>
    <w:p>
      <w:pPr>
        <w:adjustRightInd w:val="0"/>
        <w:snapToGrid w:val="0"/>
        <w:spacing w:line="360" w:lineRule="auto"/>
        <w:ind w:firstLine="600"/>
        <w:rPr>
          <w:rFonts w:ascii="Times New Roman" w:hAnsi="Times New Roman" w:eastAsia="仿宋_GB2312" w:cs="Times New Roman"/>
          <w:sz w:val="30"/>
        </w:rPr>
      </w:pPr>
      <w:r>
        <w:rPr>
          <w:rFonts w:eastAsia="仿宋_GB2312"/>
          <w:sz w:val="30"/>
          <w:szCs w:val="30"/>
        </w:rPr>
        <w:t>该项行政许可具体由国家外汇管理局</w:t>
      </w:r>
      <w:r>
        <w:rPr>
          <w:rFonts w:hint="eastAsia" w:eastAsia="仿宋_GB2312"/>
          <w:sz w:val="30"/>
          <w:szCs w:val="30"/>
          <w:lang w:eastAsia="zh-CN"/>
        </w:rPr>
        <w:t>吉林省分局及分支机构</w:t>
      </w:r>
      <w:r>
        <w:rPr>
          <w:rFonts w:eastAsia="仿宋_GB2312"/>
          <w:sz w:val="30"/>
          <w:szCs w:val="30"/>
        </w:rPr>
        <w:t>办理，</w:t>
      </w:r>
      <w:r>
        <w:rPr>
          <w:rFonts w:hint="eastAsia" w:eastAsia="仿宋_GB2312"/>
          <w:sz w:val="30"/>
          <w:szCs w:val="30"/>
        </w:rPr>
        <w:t>国家外汇管理局吉林省</w:t>
      </w:r>
      <w:r>
        <w:rPr>
          <w:rFonts w:hint="eastAsia" w:eastAsia="仿宋_GB2312"/>
          <w:sz w:val="30"/>
          <w:szCs w:val="30"/>
          <w:lang w:eastAsia="zh-CN"/>
        </w:rPr>
        <w:t>分局</w:t>
      </w:r>
      <w:bookmarkStart w:id="5" w:name="_GoBack"/>
      <w:bookmarkEnd w:id="5"/>
      <w:r>
        <w:rPr>
          <w:rFonts w:hint="eastAsia" w:eastAsia="仿宋_GB2312"/>
          <w:sz w:val="30"/>
          <w:szCs w:val="30"/>
          <w:lang w:eastAsia="zh-CN"/>
        </w:rPr>
        <w:t>分支机构</w:t>
      </w:r>
      <w:r>
        <w:rPr>
          <w:rFonts w:hint="eastAsia" w:eastAsia="仿宋_GB2312"/>
          <w:sz w:val="30"/>
          <w:szCs w:val="30"/>
        </w:rPr>
        <w:t>的</w:t>
      </w:r>
      <w:r>
        <w:rPr>
          <w:rFonts w:eastAsia="仿宋_GB2312"/>
          <w:sz w:val="30"/>
          <w:szCs w:val="30"/>
        </w:rPr>
        <w:t>办公地址和办公时间见</w:t>
      </w:r>
      <w:r>
        <w:rPr>
          <w:rFonts w:hint="eastAsia" w:eastAsia="仿宋_GB2312"/>
          <w:sz w:val="30"/>
          <w:szCs w:val="30"/>
        </w:rPr>
        <w:t>国家外汇管理局吉林省分局官方互联网站“咨询反馈——联系我们”栏目。</w:t>
      </w: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仿宋_GB2312" w:eastAsia="仿宋_GB2312"/>
          <w:sz w:val="30"/>
          <w:szCs w:val="30"/>
        </w:rPr>
      </w:pPr>
      <w:r>
        <w:rPr>
          <w:rFonts w:ascii="Times New Roman" w:hAnsi="Times New Roman" w:eastAsia="黑体" w:cs="Times New Roman"/>
          <w:sz w:val="30"/>
          <w:szCs w:val="30"/>
        </w:rPr>
        <w:t>基本流程图</w:t>
      </w:r>
      <w:r>
        <w:rPr>
          <w:rFonts w:ascii="仿宋_GB2312" w:hAnsi="Calibri" w:eastAsia="仿宋_GB2312" w:cs="黑体"/>
          <w:kern w:val="2"/>
          <w:sz w:val="30"/>
          <w:szCs w:val="30"/>
          <w:lang w:val="en-US" w:eastAsia="zh-CN" w:bidi="ar-SA"/>
        </w:rPr>
        <w:pict>
          <v:group id="组合 1026" o:spid="_x0000_s1027" style="position:absolute;left:0;margin-left:-18pt;margin-top:28.25pt;height:586.05pt;width:453.65pt;rotation:0f;z-index:251660288;"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left"/>
        <w:rPr>
          <w:rFonts w:ascii="仿宋_GB2312" w:eastAsia="仿宋_GB2312"/>
          <w:sz w:val="30"/>
          <w:szCs w:val="30"/>
        </w:rPr>
      </w:pP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ind w:firstLine="420"/>
      </w:pPr>
    </w:p>
    <w:p>
      <w:pPr>
        <w:widowControl/>
        <w:jc w:val="left"/>
        <w:rPr>
          <w:rFonts w:ascii="仿宋_GB2312" w:eastAsia="仿宋_GB2312"/>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t>附录二</w:t>
      </w:r>
      <w:bookmarkStart w:id="0" w:name="_Toc485028274"/>
      <w:bookmarkStart w:id="1" w:name="_Toc492328435"/>
      <w:bookmarkStart w:id="2" w:name="_Toc495992552"/>
      <w:bookmarkStart w:id="3" w:name="_Toc487492193"/>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eastAsia="黑体" w:cs="Times New Roman"/>
          <w:sz w:val="30"/>
          <w:szCs w:val="30"/>
        </w:rPr>
        <w:t>非银行债务人外债签约（变更）登记（</w:t>
      </w:r>
      <w:r>
        <w:rPr>
          <w:rFonts w:ascii="Times New Roman" w:hAnsi="Times New Roman" w:cs="Times New Roman"/>
          <w:b/>
          <w:bCs/>
          <w:sz w:val="28"/>
          <w:szCs w:val="28"/>
        </w:rPr>
        <w:t>示范文本）</w:t>
      </w:r>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cs="Times New Roman"/>
          <w:b/>
          <w:bCs/>
          <w:sz w:val="28"/>
          <w:szCs w:val="28"/>
        </w:rPr>
        <w:t>宏观审慎跨境融资风险加权余额情况表（企业版）</w:t>
      </w:r>
      <w:bookmarkEnd w:id="0"/>
      <w:bookmarkEnd w:id="1"/>
      <w:bookmarkEnd w:id="2"/>
      <w:bookmarkEnd w:id="3"/>
    </w:p>
    <w:p>
      <w:pPr>
        <w:ind w:firstLine="3045" w:firstLineChars="1450"/>
        <w:rPr>
          <w:rFonts w:ascii="Times New Roman" w:hAnsi="Times New Roman" w:cs="Times New Roman"/>
        </w:rPr>
      </w:pPr>
      <w:bookmarkStart w:id="4" w:name="_Toc485028275"/>
      <w:r>
        <w:rPr>
          <w:rFonts w:hint="eastAsia" w:ascii="Times New Roman" w:cs="Times New Roman"/>
        </w:rPr>
        <w:t xml:space="preserve">                             </w:t>
      </w:r>
      <w:r>
        <w:rPr>
          <w:rFonts w:ascii="Times New Roman" w:cs="Times New Roman"/>
        </w:rPr>
        <w:t>单位</w:t>
      </w:r>
      <w:r>
        <w:rPr>
          <w:rStyle w:val="15"/>
        </w:rPr>
        <w:footnoteReference w:id="0"/>
      </w:r>
      <w:r>
        <w:rPr>
          <w:rFonts w:ascii="Times New Roman" w:cs="Times New Roman"/>
        </w:rPr>
        <w:t>：万元人民币</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959"/>
        <w:gridCol w:w="709"/>
        <w:gridCol w:w="1673"/>
        <w:gridCol w:w="1461"/>
        <w:gridCol w:w="268"/>
        <w:gridCol w:w="1592"/>
        <w:gridCol w:w="47"/>
        <w:gridCol w:w="23"/>
        <w:gridCol w:w="1790"/>
      </w:tblGrid>
      <w:tr>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860"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1"/>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中资企业</w:t>
            </w:r>
          </w:p>
        </w:tc>
      </w:tr>
      <w:tr>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2"/>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3"/>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rPr>
          <w:cantSplit/>
          <w:trHeight w:val="29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4"/>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5"/>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rPr>
          <w:trHeight w:val="454" w:hRule="atLeast"/>
        </w:trPr>
        <w:tc>
          <w:tcPr>
            <w:tcW w:w="3341"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 xml:space="preserve"> </w:t>
            </w:r>
          </w:p>
        </w:tc>
        <w:tc>
          <w:tcPr>
            <w:tcW w:w="1639"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rPr>
          <w:trHeight w:val="454" w:hRule="atLeast"/>
        </w:trPr>
        <w:tc>
          <w:tcPr>
            <w:tcW w:w="8522" w:type="dxa"/>
            <w:gridSpan w:val="9"/>
            <w:vAlign w:val="center"/>
          </w:tcPr>
          <w:p>
            <w:pPr>
              <w:spacing w:line="320" w:lineRule="exact"/>
              <w:ind w:firstLine="480" w:firstLineChars="20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p>
          <w:p>
            <w:pPr>
              <w:spacing w:line="320" w:lineRule="exact"/>
              <w:ind w:firstLine="480" w:firstLineChars="200"/>
              <w:jc w:val="center"/>
              <w:rPr>
                <w:rFonts w:ascii="Times New Roman" w:hAnsi="Times New Roman" w:cs="Times New Roman"/>
                <w:sz w:val="24"/>
              </w:rPr>
            </w:pP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Times New Roman" w:cs="Times New Roman"/>
                <w:sz w:val="24"/>
              </w:rPr>
              <w:t xml:space="preserve">   年  月  日</w:t>
            </w:r>
            <w:r>
              <w:rPr>
                <w:rFonts w:ascii="Times New Roman" w:hAnsi="Times New Roman" w:cs="Times New Roman"/>
                <w:sz w:val="24"/>
              </w:rPr>
              <w:t xml:space="preserve">           </w:t>
            </w:r>
          </w:p>
        </w:tc>
      </w:tr>
    </w:tbl>
    <w:p>
      <w:pPr>
        <w:widowControl/>
        <w:spacing w:line="384" w:lineRule="auto"/>
        <w:rPr>
          <w:rFonts w:ascii="Times New Roman" w:hAnsi="Times New Roman" w:eastAsia="黑体" w:cs="Times New Roman"/>
          <w:bCs/>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联系电话：</w:t>
      </w:r>
      <w:bookmarkEnd w:id="4"/>
      <w:r>
        <w:rPr>
          <w:rFonts w:ascii="Times New Roman" w:hAnsi="Times New Roman" w:eastAsia="仿宋_GB2312" w:cs="Times New Roman"/>
          <w:kern w:val="0"/>
          <w:sz w:val="30"/>
          <w:szCs w:val="30"/>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ind w:right="300"/>
        <w:rPr>
          <w:rFonts w:ascii="Times New Roman" w:hAnsi="Times New Roman" w:eastAsia="黑体" w:cs="Times New Roman"/>
          <w:sz w:val="30"/>
          <w:szCs w:val="30"/>
        </w:rPr>
      </w:pPr>
      <w:r>
        <w:rPr>
          <w:rFonts w:ascii="Times New Roman" w:hAnsi="黑体" w:eastAsia="黑体" w:cs="Times New Roman"/>
          <w:bCs/>
          <w:sz w:val="30"/>
          <w:szCs w:val="30"/>
        </w:rPr>
        <w:t>宏观审慎跨境融资风险加权余额情况表（企业版）</w:t>
      </w:r>
      <w:r>
        <w:rPr>
          <w:rFonts w:ascii="Times New Roman" w:hAnsi="黑体" w:eastAsia="黑体" w:cs="Times New Roman"/>
          <w:sz w:val="30"/>
          <w:szCs w:val="30"/>
        </w:rPr>
        <w:t>错误示例</w:t>
      </w:r>
    </w:p>
    <w:p>
      <w:pPr>
        <w:ind w:firstLine="1260" w:firstLineChars="600"/>
        <w:rPr>
          <w:rFonts w:ascii="Times New Roman" w:hAnsi="Times New Roman" w:cs="Times New Roman"/>
        </w:rPr>
      </w:pPr>
      <w:r>
        <w:rPr>
          <w:rFonts w:hint="eastAsia" w:ascii="Times New Roman" w:cs="Times New Roman"/>
        </w:rPr>
        <w:t xml:space="preserve">                                           </w:t>
      </w:r>
      <w:r>
        <w:rPr>
          <w:rFonts w:ascii="Times New Roman" w:cs="Times New Roman"/>
        </w:rPr>
        <w:t>单位</w:t>
      </w:r>
      <w:r>
        <w:rPr>
          <w:rStyle w:val="15"/>
        </w:rPr>
        <w:footnoteReference w:id="6"/>
      </w:r>
      <w:r>
        <w:rPr>
          <w:rFonts w:ascii="Times New Roman" w:cs="Times New Roman"/>
        </w:rPr>
        <w:t>：万元人民币</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959"/>
        <w:gridCol w:w="709"/>
        <w:gridCol w:w="1712"/>
        <w:gridCol w:w="1422"/>
        <w:gridCol w:w="207"/>
        <w:gridCol w:w="61"/>
        <w:gridCol w:w="1592"/>
        <w:gridCol w:w="47"/>
        <w:gridCol w:w="23"/>
        <w:gridCol w:w="1790"/>
      </w:tblGrid>
      <w:tr>
        <w:trPr>
          <w:cantSplit/>
          <w:trHeight w:val="541"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rPr>
          <w:cantSplit/>
          <w:trHeight w:val="556"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22"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123456789</w:t>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7"/>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椭圆 94" o:spid="_x0000_s1061" type="#_x0000_t3" style="position:absolute;left:0;margin-left:8.9pt;margin-top:-1.5pt;height:28.8pt;width:63.95pt;rotation:0f;z-index:251658240;" o:ole="f" fillcolor="#9CBEE0" filled="f" o:preferrelative="t" stroked="t" coordorigin="0,0" coordsize="21600,21600">
                  <v:fill on="f" color2="#BBD5F0" focus="0%"/>
                  <v:stroke color="#FF0000" color2="#FFFFFF" miterlimit="2"/>
                  <v:imagedata gain="65536f" blacklevel="0f" gamma="0"/>
                  <o:lock v:ext="edit" position="f" selection="f" grouping="f" rotation="f" cropping="f" text="f" aspectratio="f"/>
                </v:shape>
              </w:pict>
            </w:r>
            <w:r>
              <w:rPr>
                <w:rFonts w:ascii="Times New Roman" w:hAnsi="宋体" w:cs="Times New Roman"/>
                <w:sz w:val="24"/>
              </w:rPr>
              <w:t>股份公司</w:t>
            </w:r>
          </w:p>
        </w:tc>
      </w:tr>
      <w:tr>
        <w:trPr>
          <w:cantSplit/>
          <w:trHeight w:val="387"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8"/>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240.51</w:t>
            </w:r>
          </w:p>
        </w:tc>
      </w:tr>
      <w:tr>
        <w:trPr>
          <w:cantSplit/>
          <w:trHeight w:val="689"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9"/>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线形标注 3 95" o:spid="_x0000_s1062" type="#_x0000_t48" style="position:absolute;left:0;margin-left:254.25pt;margin-top:-8.05pt;height:38.65pt;width:67.95pt;rotation:0f;z-index:251659264;" o:ole="f" fillcolor="#9CBEE0" filled="f" o:preferrelative="t" stroked="t" coordorigin="0,0" coordsize="21600,21600" adj="-5404,-22662,-3656,5030,-1907,5030">
                  <v:fill on="f" color2="#BBD5F0" focus="0%"/>
                  <v:stroke color="#3366FF" color2="#FFFFFF" miterlimit="2"/>
                  <v:imagedata gain="65536f" blacklevel="0f" gamma="0"/>
                  <o:lock v:ext="edit" position="f" selection="f" grouping="f" rotation="f" cropping="f" text="f" aspectratio="f"/>
                  <v:textbox>
                    <w:txbxContent>
                      <w:p>
                        <w:pPr>
                          <w:snapToGrid w:val="0"/>
                          <w:rPr>
                            <w:sz w:val="15"/>
                            <w:szCs w:val="13"/>
                          </w:rPr>
                        </w:pPr>
                        <w:r>
                          <w:rPr>
                            <w:rFonts w:hint="eastAsia"/>
                            <w:sz w:val="15"/>
                            <w:szCs w:val="13"/>
                          </w:rPr>
                          <w:t>此处应填写中资企业或外资企业</w:t>
                        </w:r>
                      </w:p>
                    </w:txbxContent>
                  </v:textbox>
                </v:shape>
              </w:pict>
            </w:r>
            <w:r>
              <w:rPr>
                <w:rFonts w:hint="eastAsia" w:ascii="Times New Roman" w:hAnsi="Times New Roman" w:cs="Times New Roman"/>
                <w:sz w:val="24"/>
              </w:rPr>
              <w:t>601.28</w:t>
            </w:r>
          </w:p>
        </w:tc>
      </w:tr>
      <w:tr>
        <w:trPr>
          <w:cantSplit/>
          <w:trHeight w:val="375"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421"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20</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rPr>
          <w:cantSplit/>
          <w:trHeight w:val="405"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rPr>
          <w:cantSplit/>
          <w:trHeight w:val="68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712" w:type="dxa"/>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rPr>
          <w:cantSplit/>
          <w:trHeight w:val="411"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w:t>
            </w:r>
          </w:p>
        </w:tc>
        <w:tc>
          <w:tcPr>
            <w:tcW w:w="1790" w:type="dxa"/>
            <w:vAlign w:val="center"/>
          </w:tcPr>
          <w:p>
            <w:pPr>
              <w:spacing w:line="320" w:lineRule="exact"/>
              <w:jc w:val="center"/>
              <w:rPr>
                <w:rFonts w:ascii="Times New Roman" w:hAnsi="Times New Roman" w:cs="Times New Roman"/>
                <w:sz w:val="24"/>
              </w:rPr>
            </w:pPr>
          </w:p>
        </w:tc>
      </w:tr>
      <w:tr>
        <w:trPr>
          <w:cantSplit/>
          <w:trHeight w:val="416"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09"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568"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10"/>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28</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r>
      <w:tr>
        <w:trPr>
          <w:cantSplit/>
          <w:trHeight w:val="704"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11"/>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79.5</w:t>
            </w:r>
          </w:p>
        </w:tc>
      </w:tr>
      <w:tr>
        <w:trPr>
          <w:trHeight w:val="900" w:hRule="atLeast"/>
        </w:trPr>
        <w:tc>
          <w:tcPr>
            <w:tcW w:w="3380"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6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521.78</w:t>
            </w:r>
          </w:p>
        </w:tc>
        <w:tc>
          <w:tcPr>
            <w:tcW w:w="1700" w:type="dxa"/>
            <w:gridSpan w:val="3"/>
            <w:vAlign w:val="top"/>
          </w:tcPr>
          <w:p>
            <w:pPr>
              <w:spacing w:line="320" w:lineRule="exact"/>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rPr>
          <w:trHeight w:val="768" w:hRule="atLeast"/>
        </w:trPr>
        <w:tc>
          <w:tcPr>
            <w:tcW w:w="8522" w:type="dxa"/>
            <w:gridSpan w:val="10"/>
            <w:vAlign w:val="center"/>
          </w:tcPr>
          <w:p>
            <w:pPr>
              <w:spacing w:line="320" w:lineRule="exact"/>
              <w:ind w:firstLine="480" w:firstLineChars="200"/>
              <w:rPr>
                <w:rFonts w:ascii="Times New Roman" w:hAnsi="宋体"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宋体" w:cs="Times New Roman"/>
                <w:sz w:val="24"/>
              </w:rPr>
              <w:t xml:space="preserve">                                            年  月  日</w:t>
            </w:r>
          </w:p>
        </w:tc>
      </w:tr>
    </w:tbl>
    <w:p>
      <w:pPr>
        <w:widowControl/>
        <w:spacing w:line="384" w:lineRule="auto"/>
        <w:rPr>
          <w:rFonts w:ascii="Times New Roman" w:hAnsi="Times New Roman" w:eastAsia="仿宋_GB2312" w:cs="Times New Roman"/>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w:t>
      </w:r>
      <w:r>
        <w:rPr>
          <w:rFonts w:hint="eastAsia" w:ascii="Times New Roman" w:hAnsi="宋体" w:cs="Times New Roman"/>
          <w:sz w:val="24"/>
        </w:rPr>
        <w:t xml:space="preserve">电话： </w:t>
      </w:r>
      <w:r>
        <w:rPr>
          <w:rFonts w:ascii="Times New Roman" w:hAnsi="Times New Roman" w:cs="Times New Roman"/>
          <w:sz w:val="24"/>
        </w:rPr>
        <w:t xml:space="preserve">    </w:t>
      </w: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 xml:space="preserve">附录四 </w:t>
      </w:r>
    </w:p>
    <w:p>
      <w:pPr>
        <w:widowControl/>
        <w:spacing w:line="384" w:lineRule="auto"/>
        <w:rPr>
          <w:rFonts w:ascii="Times New Roman" w:hAnsi="Times New Roman" w:eastAsia="仿宋_GB2312" w:cs="Times New Roman"/>
          <w:kern w:val="0"/>
          <w:sz w:val="30"/>
          <w:szCs w:val="30"/>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8197"/>
      </w:tblGrid>
      <w:tr>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widowControl/>
        <w:jc w:val="left"/>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59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1.问：请问中资企业是否能够借入外债？</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答：除房地产企业和政府融资平台以外的中资企业，可以按照《中国人民银行关于全口径跨境融资宏观审慎管理有关事宜的通知》（银发〔2017〕9号）</w:t>
      </w:r>
      <w:r>
        <w:rPr>
          <w:rFonts w:hint="eastAsia" w:ascii="Times New Roman" w:hAnsi="Times New Roman" w:eastAsia="仿宋_GB2312" w:cs="Times New Roman"/>
          <w:kern w:val="0"/>
          <w:sz w:val="30"/>
          <w:szCs w:val="30"/>
        </w:rPr>
        <w:t>和</w:t>
      </w:r>
      <w:r>
        <w:rPr>
          <w:rFonts w:ascii="Times New Roman" w:hAnsi="Times New Roman" w:eastAsia="仿宋_GB2312" w:cs="Times New Roman"/>
          <w:kern w:val="0"/>
          <w:sz w:val="30"/>
          <w:szCs w:val="30"/>
        </w:rPr>
        <w:t>《中国人民银行</w:t>
      </w:r>
      <w:r>
        <w:rPr>
          <w:rFonts w:hint="eastAsia" w:ascii="Times New Roman" w:hAnsi="Times New Roman" w:eastAsia="仿宋_GB2312" w:cs="Times New Roman"/>
          <w:kern w:val="0"/>
          <w:sz w:val="30"/>
          <w:szCs w:val="30"/>
        </w:rPr>
        <w:t xml:space="preserve">  国家外汇管理局</w:t>
      </w:r>
      <w:r>
        <w:rPr>
          <w:rFonts w:ascii="Times New Roman" w:hAnsi="Times New Roman" w:eastAsia="仿宋_GB2312" w:cs="Times New Roman"/>
          <w:kern w:val="0"/>
          <w:sz w:val="30"/>
          <w:szCs w:val="30"/>
        </w:rPr>
        <w:t>关于</w:t>
      </w:r>
      <w:r>
        <w:rPr>
          <w:rFonts w:hint="eastAsia" w:ascii="Times New Roman" w:hAnsi="Times New Roman" w:eastAsia="仿宋_GB2312" w:cs="Times New Roman"/>
          <w:kern w:val="0"/>
          <w:sz w:val="30"/>
          <w:szCs w:val="30"/>
        </w:rPr>
        <w:t>调整</w:t>
      </w:r>
      <w:r>
        <w:rPr>
          <w:rFonts w:ascii="Times New Roman" w:hAnsi="Times New Roman" w:eastAsia="仿宋_GB2312" w:cs="Times New Roman"/>
          <w:kern w:val="0"/>
          <w:sz w:val="30"/>
          <w:szCs w:val="30"/>
        </w:rPr>
        <w:t>全口径跨境融资宏观审慎</w:t>
      </w:r>
      <w:r>
        <w:rPr>
          <w:rFonts w:hint="eastAsia" w:ascii="Times New Roman" w:hAnsi="Times New Roman" w:eastAsia="仿宋_GB2312" w:cs="Times New Roman"/>
          <w:kern w:val="0"/>
          <w:sz w:val="30"/>
          <w:szCs w:val="30"/>
        </w:rPr>
        <w:t>调节参数</w:t>
      </w:r>
      <w:r>
        <w:rPr>
          <w:rFonts w:ascii="Times New Roman" w:hAnsi="Times New Roman" w:eastAsia="仿宋_GB2312" w:cs="Times New Roman"/>
          <w:kern w:val="0"/>
          <w:sz w:val="30"/>
          <w:szCs w:val="30"/>
        </w:rPr>
        <w:t>的通知》（银发〔20</w:t>
      </w:r>
      <w:r>
        <w:rPr>
          <w:rFonts w:hint="eastAsia" w:ascii="Times New Roman" w:hAnsi="Times New Roman" w:eastAsia="仿宋_GB2312" w:cs="Times New Roman"/>
          <w:kern w:val="0"/>
          <w:sz w:val="30"/>
          <w:szCs w:val="30"/>
        </w:rPr>
        <w:t>20</w:t>
      </w:r>
      <w:r>
        <w:rPr>
          <w:rFonts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rPr>
        <w:t>64</w:t>
      </w:r>
      <w:r>
        <w:rPr>
          <w:rFonts w:ascii="Times New Roman" w:hAnsi="Times New Roman" w:eastAsia="仿宋_GB2312" w:cs="Times New Roman"/>
          <w:kern w:val="0"/>
          <w:sz w:val="30"/>
          <w:szCs w:val="30"/>
        </w:rPr>
        <w:t>号）等相关文件规定借入外债。</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sectPr>
      <w:headerReference r:id="rId5" w:type="default"/>
      <w:footerReference r:id="rId7" w:type="default"/>
      <w:headerReference r:id="rId6" w:type="even"/>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外币跨境融资以签约日的汇率水平折算。</w:t>
      </w:r>
    </w:p>
  </w:footnote>
  <w:footnote w:id="1">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债务人类型请按以下分类填写：中资企业、外资企业。</w:t>
      </w:r>
    </w:p>
  </w:footnote>
  <w:footnote w:id="2">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根据债务人上年度或最新的经审计的会计报表填写。</w:t>
      </w:r>
    </w:p>
  </w:footnote>
  <w:footnote w:id="3">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跨境融资风险加权余额上限=净资产×外债杠杆率×宏观审慎调节参数。其中，宏观审慎条件参数的初始值设定为1，外债杠杆率初始值设定为2。</w:t>
      </w:r>
    </w:p>
  </w:footnote>
  <w:footnote w:id="4">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纳入计算的中长期外债余额= 中长期现有外债余额 + 中长期本笔外债签约额 </w:t>
      </w:r>
      <w:r>
        <w:rPr>
          <w:rFonts w:ascii="宋体" w:hAnsi="宋体"/>
          <w:sz w:val="21"/>
          <w:szCs w:val="21"/>
        </w:rPr>
        <w:t>–</w:t>
      </w:r>
      <w:r>
        <w:rPr>
          <w:rFonts w:hint="eastAsia" w:ascii="宋体" w:hAnsi="宋体"/>
          <w:sz w:val="21"/>
          <w:szCs w:val="21"/>
        </w:rPr>
        <w:t xml:space="preserve"> 不纳入计算的业务类型的中长期外债余额。纳入计算的短期外债和外币外债余额参照此公式计算。</w:t>
      </w:r>
    </w:p>
  </w:footnote>
  <w:footnote w:id="5">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6">
    <w:p>
      <w:pPr>
        <w:pStyle w:val="10"/>
        <w:rPr>
          <w:rFonts w:ascii="宋体" w:hAnsi="宋体"/>
        </w:rPr>
      </w:pPr>
      <w:r>
        <w:rPr>
          <w:rStyle w:val="15"/>
          <w:rFonts w:ascii="宋体" w:hAnsi="宋体"/>
        </w:rPr>
        <w:footnoteRef/>
      </w:r>
      <w:r>
        <w:rPr>
          <w:rFonts w:hint="eastAsia" w:ascii="宋体" w:hAnsi="宋体"/>
        </w:rPr>
        <w:t>外币跨境融资以签约日的汇率水平折算。</w:t>
      </w:r>
    </w:p>
  </w:footnote>
  <w:footnote w:id="7">
    <w:p>
      <w:pPr>
        <w:pStyle w:val="10"/>
        <w:rPr>
          <w:rFonts w:ascii="宋体" w:hAnsi="宋体"/>
        </w:rPr>
      </w:pPr>
      <w:r>
        <w:rPr>
          <w:rStyle w:val="15"/>
          <w:rFonts w:ascii="宋体" w:hAnsi="宋体"/>
        </w:rPr>
        <w:footnoteRef/>
      </w:r>
      <w:r>
        <w:rPr>
          <w:rFonts w:hint="eastAsia" w:ascii="宋体" w:hAnsi="宋体"/>
        </w:rPr>
        <w:t xml:space="preserve"> 债务人类型请按以下分类填写：中资企业、外资企业。</w:t>
      </w:r>
    </w:p>
  </w:footnote>
  <w:footnote w:id="8">
    <w:p>
      <w:pPr>
        <w:pStyle w:val="10"/>
        <w:rPr>
          <w:rFonts w:ascii="宋体" w:hAnsi="宋体"/>
        </w:rPr>
      </w:pPr>
      <w:r>
        <w:rPr>
          <w:rStyle w:val="15"/>
          <w:rFonts w:ascii="宋体" w:hAnsi="宋体"/>
        </w:rPr>
        <w:footnoteRef/>
      </w:r>
      <w:r>
        <w:rPr>
          <w:rFonts w:hint="eastAsia" w:ascii="宋体" w:hAnsi="宋体"/>
        </w:rPr>
        <w:t>根据债务人上年度或最新的经审计的会计报表填写。</w:t>
      </w:r>
    </w:p>
  </w:footnote>
  <w:footnote w:id="9">
    <w:p>
      <w:pPr>
        <w:pStyle w:val="10"/>
        <w:rPr>
          <w:rFonts w:ascii="宋体" w:hAnsi="宋体"/>
        </w:rPr>
      </w:pPr>
      <w:r>
        <w:rPr>
          <w:rStyle w:val="15"/>
          <w:rFonts w:ascii="宋体" w:hAnsi="宋体"/>
        </w:rPr>
        <w:footnoteRef/>
      </w:r>
      <w:r>
        <w:rPr>
          <w:rFonts w:hint="eastAsia" w:ascii="宋体" w:hAnsi="宋体"/>
        </w:rPr>
        <w:t>跨境融资风险加权余额上限=净资产×外债杠杆率×宏观审慎调节参数。其中，宏观审慎条件参数的初始值设定为1，外债杠杆率初始值设定为2。</w:t>
      </w:r>
    </w:p>
  </w:footnote>
  <w:footnote w:id="10">
    <w:p>
      <w:pPr>
        <w:pStyle w:val="10"/>
        <w:rPr>
          <w:rFonts w:ascii="宋体" w:hAnsi="宋体"/>
        </w:rPr>
      </w:pPr>
      <w:r>
        <w:rPr>
          <w:rStyle w:val="15"/>
          <w:rFonts w:ascii="宋体" w:hAnsi="宋体"/>
        </w:rPr>
        <w:footnoteRef/>
      </w:r>
      <w:r>
        <w:rPr>
          <w:rFonts w:hint="eastAsia" w:ascii="宋体" w:hAnsi="宋体"/>
        </w:rPr>
        <w:t xml:space="preserve">纳入计算的中长期外债余额= 中长期现有外债余额 + 中长期本笔外债签约额 </w:t>
      </w:r>
      <w:r>
        <w:rPr>
          <w:rFonts w:ascii="宋体" w:hAnsi="宋体"/>
        </w:rPr>
        <w:t>–</w:t>
      </w:r>
      <w:r>
        <w:rPr>
          <w:rFonts w:hint="eastAsia" w:ascii="宋体" w:hAnsi="宋体"/>
        </w:rPr>
        <w:t xml:space="preserve"> 不纳入计算的业务类型的中长期外债余额。纳入计算的短期外债和外币外债余额参照此公式计算。</w:t>
      </w:r>
    </w:p>
  </w:footnote>
  <w:footnote w:id="11">
    <w:p>
      <w:pPr>
        <w:pStyle w:val="10"/>
        <w:rPr>
          <w:rFonts w:ascii="宋体" w:hAnsi="宋体"/>
        </w:rPr>
      </w:pPr>
      <w:r>
        <w:rPr>
          <w:rStyle w:val="15"/>
          <w:rFonts w:ascii="宋体" w:hAnsi="宋体"/>
        </w:rPr>
        <w:footnoteRef/>
      </w:r>
      <w:r>
        <w:rPr>
          <w:rFonts w:hint="eastAsia" w:ascii="宋体" w:hAnsi="宋体"/>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abstractNum w:abstractNumId="1511065422">
    <w:nsid w:val="5A11074E"/>
    <w:multiLevelType w:val="singleLevel"/>
    <w:tmpl w:val="5A11074E"/>
    <w:lvl w:ilvl="0" w:tentative="1">
      <w:start w:val="2"/>
      <w:numFmt w:val="decimal"/>
      <w:suff w:val="nothing"/>
      <w:lvlText w:val="（%1）"/>
      <w:lvlJc w:val="left"/>
    </w:lvl>
  </w:abstractNum>
  <w:num w:numId="1">
    <w:abstractNumId w:val="1511059921"/>
  </w:num>
  <w:num w:numId="2">
    <w:abstractNumId w:val="1511059936"/>
  </w:num>
  <w:num w:numId="3">
    <w:abstractNumId w:val="1511065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qFormat="1"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25"/>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4"/>
    <w:unhideWhenUsed/>
    <w:qFormat/>
    <w:uiPriority w:val="0"/>
    <w:rPr>
      <w:rFonts w:ascii="宋体"/>
      <w:sz w:val="18"/>
      <w:szCs w:val="18"/>
    </w:rPr>
  </w:style>
  <w:style w:type="paragraph" w:styleId="6">
    <w:name w:val="annotation text"/>
    <w:basedOn w:val="1"/>
    <w:link w:val="31"/>
    <w:unhideWhenUsed/>
    <w:qFormat/>
    <w:uiPriority w:val="99"/>
    <w:pPr>
      <w:jc w:val="left"/>
    </w:pPr>
    <w:rPr>
      <w:rFonts w:cs="Times New Roman"/>
    </w:rPr>
  </w:style>
  <w:style w:type="paragraph" w:styleId="7">
    <w:name w:val="Balloon Text"/>
    <w:basedOn w:val="1"/>
    <w:link w:val="28"/>
    <w:unhideWhenUsed/>
    <w:qFormat/>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列出段落1"/>
    <w:basedOn w:val="1"/>
    <w:qFormat/>
    <w:uiPriority w:val="34"/>
    <w:pPr>
      <w:ind w:firstLine="420" w:firstLineChars="200"/>
    </w:pPr>
    <w:rPr>
      <w:rFonts w:cs="Times New Roman"/>
    </w:r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18">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9">
    <w:name w:val="列出段落4"/>
    <w:basedOn w:val="1"/>
    <w:qFormat/>
    <w:uiPriority w:val="0"/>
    <w:pPr>
      <w:ind w:firstLine="200" w:firstLineChars="200"/>
    </w:pPr>
    <w:rPr>
      <w:rFonts w:cs="Times New Roman"/>
    </w:rPr>
  </w:style>
  <w:style w:type="paragraph" w:customStyle="1" w:styleId="20">
    <w:name w:val="列出段落3"/>
    <w:basedOn w:val="1"/>
    <w:qFormat/>
    <w:uiPriority w:val="0"/>
    <w:pPr>
      <w:ind w:firstLine="420" w:firstLineChars="200"/>
    </w:pPr>
    <w:rPr>
      <w:rFonts w:ascii="Times New Roman" w:hAnsi="Times New Roman" w:cs="Times New Roman"/>
      <w:szCs w:val="24"/>
    </w:rPr>
  </w:style>
  <w:style w:type="paragraph" w:customStyle="1" w:styleId="21">
    <w:name w:val="p0"/>
    <w:basedOn w:val="1"/>
    <w:qFormat/>
    <w:uiPriority w:val="0"/>
    <w:pPr>
      <w:widowControl/>
    </w:pPr>
    <w:rPr>
      <w:rFonts w:cs="宋体"/>
      <w:kern w:val="0"/>
      <w:szCs w:val="21"/>
    </w:rPr>
  </w:style>
  <w:style w:type="paragraph" w:customStyle="1" w:styleId="22">
    <w:name w:val="修订1"/>
    <w:hidden/>
    <w:semiHidden/>
    <w:qFormat/>
    <w:uiPriority w:val="99"/>
    <w:rPr>
      <w:rFonts w:ascii="Calibri" w:hAnsi="Calibri" w:cs="黑体"/>
      <w:kern w:val="2"/>
      <w:sz w:val="21"/>
      <w:szCs w:val="22"/>
    </w:rPr>
  </w:style>
  <w:style w:type="character" w:customStyle="1" w:styleId="23">
    <w:name w:val="标题 1 Char Char"/>
    <w:basedOn w:val="13"/>
    <w:link w:val="2"/>
    <w:uiPriority w:val="9"/>
    <w:rPr>
      <w:rFonts w:ascii="黑体" w:hAnsi="黑体" w:eastAsia="黑体" w:cs="宋体"/>
      <w:color w:val="000000"/>
      <w:kern w:val="0"/>
      <w:sz w:val="30"/>
      <w:szCs w:val="30"/>
    </w:rPr>
  </w:style>
  <w:style w:type="character" w:customStyle="1" w:styleId="24">
    <w:name w:val="标题 2 Char Char"/>
    <w:basedOn w:val="13"/>
    <w:link w:val="3"/>
    <w:uiPriority w:val="9"/>
    <w:rPr>
      <w:rFonts w:ascii="Cambria" w:hAnsi="Cambria" w:eastAsia="宋体" w:cs="Times New Roman"/>
      <w:b/>
      <w:bCs/>
      <w:sz w:val="32"/>
      <w:szCs w:val="32"/>
    </w:rPr>
  </w:style>
  <w:style w:type="character" w:customStyle="1" w:styleId="25">
    <w:name w:val="标题 3 Char Char"/>
    <w:basedOn w:val="13"/>
    <w:link w:val="4"/>
    <w:uiPriority w:val="9"/>
    <w:rPr>
      <w:rFonts w:ascii="仿宋_GB2312" w:hAnsi="Calibri" w:eastAsia="仿宋_GB2312" w:cs="Times New Roman"/>
      <w:sz w:val="30"/>
      <w:szCs w:val="30"/>
    </w:rPr>
  </w:style>
  <w:style w:type="character" w:customStyle="1" w:styleId="26">
    <w:name w:val="页眉 Char Char"/>
    <w:basedOn w:val="13"/>
    <w:link w:val="9"/>
    <w:uiPriority w:val="99"/>
    <w:rPr>
      <w:sz w:val="18"/>
      <w:szCs w:val="18"/>
    </w:rPr>
  </w:style>
  <w:style w:type="character" w:customStyle="1" w:styleId="27">
    <w:name w:val="页脚 Char Char"/>
    <w:basedOn w:val="13"/>
    <w:link w:val="8"/>
    <w:uiPriority w:val="99"/>
    <w:rPr>
      <w:sz w:val="18"/>
      <w:szCs w:val="18"/>
    </w:rPr>
  </w:style>
  <w:style w:type="character" w:customStyle="1" w:styleId="28">
    <w:name w:val="批注框文本 Char Char"/>
    <w:basedOn w:val="13"/>
    <w:link w:val="7"/>
    <w:uiPriority w:val="0"/>
    <w:rPr>
      <w:sz w:val="18"/>
      <w:szCs w:val="18"/>
    </w:rPr>
  </w:style>
  <w:style w:type="character" w:customStyle="1" w:styleId="29">
    <w:name w:val="批注框文本 Char1"/>
    <w:basedOn w:val="13"/>
    <w:semiHidden/>
    <w:qFormat/>
    <w:uiPriority w:val="99"/>
    <w:rPr>
      <w:sz w:val="18"/>
      <w:szCs w:val="18"/>
    </w:rPr>
  </w:style>
  <w:style w:type="character" w:customStyle="1" w:styleId="30">
    <w:name w:val="HTML 预设格式 Char Char"/>
    <w:basedOn w:val="13"/>
    <w:link w:val="11"/>
    <w:uiPriority w:val="99"/>
    <w:rPr>
      <w:rFonts w:ascii="宋体" w:hAnsi="宋体" w:eastAsia="宋体" w:cs="宋体"/>
      <w:kern w:val="0"/>
      <w:sz w:val="24"/>
      <w:szCs w:val="24"/>
    </w:rPr>
  </w:style>
  <w:style w:type="character" w:customStyle="1" w:styleId="31">
    <w:name w:val="批注文字 Char Char"/>
    <w:basedOn w:val="13"/>
    <w:link w:val="6"/>
    <w:uiPriority w:val="99"/>
    <w:rPr>
      <w:rFonts w:ascii="Calibri" w:hAnsi="Calibri" w:eastAsia="宋体" w:cs="Times New Roman"/>
    </w:rPr>
  </w:style>
  <w:style w:type="character" w:customStyle="1" w:styleId="32">
    <w:name w:val="脚注文本 Char Char"/>
    <w:basedOn w:val="13"/>
    <w:link w:val="10"/>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Char"/>
    <w:basedOn w:val="13"/>
    <w:link w:val="5"/>
    <w:uiPriority w:val="0"/>
    <w:rPr>
      <w:rFonts w:ascii="宋体"/>
      <w:sz w:val="18"/>
      <w:szCs w:val="18"/>
    </w:rPr>
  </w:style>
  <w:style w:type="character" w:customStyle="1" w:styleId="35">
    <w:name w:val="明显强调1"/>
    <w:basedOn w:val="13"/>
    <w:qFormat/>
    <w:uiPriority w:val="21"/>
    <w:rPr>
      <w:b/>
      <w:bCs/>
      <w:i/>
      <w:iCs/>
      <w:color w:val="4F81BD"/>
    </w:rPr>
  </w:style>
  <w:style w:type="character" w:customStyle="1" w:styleId="36">
    <w:name w:val="文档结构图 Char1"/>
    <w:basedOn w:val="13"/>
    <w:semiHidden/>
    <w:qFormat/>
    <w:uiPriority w:val="99"/>
    <w:rPr>
      <w:rFonts w:ascii="宋体" w:eastAsia="宋体"/>
      <w:sz w:val="18"/>
      <w:szCs w:val="18"/>
    </w:rPr>
  </w:style>
  <w:style w:type="character" w:customStyle="1" w:styleId="37">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theme" Target="theme/theme1.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16</Pages>
  <Words>1030</Words>
  <Characters>5871</Characters>
  <Lines>48</Lines>
  <Paragraphs>13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2020-06-28T02:12:00Z</dcterms:created>
  <dc:creator>朱敏1</dc:creator>
  <cp:lastModifiedBy>韩美琪/收支处/长春/PBC</cp:lastModifiedBy>
  <cp:lastPrinted>2020-07-02T08:51:00Z</cp:lastPrinted>
  <dcterms:modified xsi:type="dcterms:W3CDTF">2023-09-01T06:42:25Z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