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hint="eastAsia"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w:t>
      </w:r>
      <w:r>
        <w:rPr>
          <w:rFonts w:hint="eastAsia" w:ascii="Times New Roman" w:hAnsi="Times New Roman" w:eastAsia="仿宋_GB2312"/>
          <w:sz w:val="30"/>
          <w:szCs w:val="30"/>
        </w:rPr>
        <w:t>、</w:t>
      </w:r>
      <w:r>
        <w:rPr>
          <w:rFonts w:ascii="Times New Roman" w:hAnsi="Times New Roman" w:eastAsia="仿宋_GB2312" w:cs="Times New Roman"/>
          <w:sz w:val="30"/>
          <w:szCs w:val="30"/>
        </w:rPr>
        <w:t>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四、境内机构短期外债余额指标核准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2.《境内机构借用国际商业贷款管理办法》（〔97〕汇政发字06号）。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.其他相关法规。</w:t>
      </w:r>
    </w:p>
    <w:p>
      <w:pPr>
        <w:numPr>
          <w:ilvl w:val="0"/>
          <w:numId w:val="3"/>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rPr>
        <w:t>吉林省分局</w:t>
      </w:r>
    </w:p>
    <w:p>
      <w:pPr>
        <w:numPr>
          <w:ilvl w:val="0"/>
          <w:numId w:val="4"/>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国家外汇管理局或国家外汇管理局</w:t>
      </w:r>
      <w:r>
        <w:rPr>
          <w:rFonts w:hint="eastAsia" w:ascii="Times New Roman" w:hAnsi="Times New Roman" w:eastAsia="仿宋_GB2312" w:cs="Times New Roman"/>
          <w:sz w:val="30"/>
          <w:szCs w:val="30"/>
        </w:rPr>
        <w:t>吉林省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numPr>
          <w:ilvl w:val="0"/>
          <w:numId w:val="5"/>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（1）短期外债使用无不良记录。</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（2）外汇局根据中、外资银行对外汇资金的实际合理需求，根据公平原则，参考上年度指标使用情况、同规模银行一般水平和当年度短期外债余额调控目标等因素为银行核定短期外债指标。</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2.非金融企业需同时符合以下条件：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（1）属于国家鼓励行业，具有对外贸易经营权。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（2）过去三年内连续盈利，或经营趋势良好。</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（3）具有完善的财务管理制度和内控制度。</w:t>
      </w:r>
    </w:p>
    <w:p>
      <w:pPr>
        <w:adjustRightInd w:val="0"/>
        <w:snapToGrid w:val="0"/>
        <w:spacing w:line="360" w:lineRule="auto"/>
        <w:ind w:firstLine="600"/>
        <w:rPr>
          <w:rFonts w:ascii="Times New Roman" w:hAnsi="Times New Roman" w:eastAsia="仿宋_GB2312" w:cs="Times New Roman"/>
          <w:b/>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1.金融机构短期外债余额指标申请材料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2"/>
        <w:gridCol w:w="4254"/>
        <w:gridCol w:w="992"/>
        <w:gridCol w:w="567"/>
        <w:gridCol w:w="851"/>
        <w:gridCol w:w="567"/>
        <w:gridCol w:w="759"/>
      </w:tblGrid>
      <w:tr>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流动性需要或资金用途有关的证明材料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境外总行授权文件（“短期外债管理行”提供）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numPr>
          <w:ilvl w:val="0"/>
          <w:numId w:val="6"/>
        </w:num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非金融企业短期外债余额指标申请材料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3"/>
        <w:gridCol w:w="4474"/>
        <w:gridCol w:w="952"/>
        <w:gridCol w:w="457"/>
        <w:gridCol w:w="845"/>
        <w:gridCol w:w="490"/>
        <w:gridCol w:w="771"/>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上年度外汇收支情况。</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信贷机构出具的承诺贷款的意向书</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b w:val="0"/>
          <w:bCs w:val="0"/>
          <w:color w:val="000000"/>
          <w:sz w:val="30"/>
          <w:szCs w:val="30"/>
        </w:rPr>
      </w:pPr>
      <w:r>
        <w:rPr>
          <w:rFonts w:ascii="Times New Roman" w:hAnsi="Times New Roman" w:eastAsia="仿宋_GB2312" w:cs="Times New Roman"/>
          <w:b w:val="0"/>
          <w:bCs w:val="0"/>
          <w:color w:val="000000"/>
          <w:sz w:val="30"/>
          <w:szCs w:val="30"/>
        </w:rPr>
        <w:t>申请人可通过国家外汇管理局</w:t>
      </w:r>
      <w:r>
        <w:rPr>
          <w:rFonts w:hint="eastAsia" w:ascii="Times New Roman" w:hAnsi="Times New Roman" w:eastAsia="仿宋_GB2312" w:cs="Times New Roman"/>
          <w:b w:val="0"/>
          <w:bCs w:val="0"/>
          <w:color w:val="000000"/>
          <w:sz w:val="30"/>
          <w:szCs w:val="30"/>
        </w:rPr>
        <w:t>吉林省分局</w:t>
      </w:r>
      <w:r>
        <w:rPr>
          <w:rFonts w:ascii="Times New Roman" w:hAnsi="Times New Roman" w:eastAsia="仿宋_GB2312" w:cs="Times New Roman"/>
          <w:b w:val="0"/>
          <w:bCs w:val="0"/>
          <w:color w:val="000000"/>
          <w:sz w:val="30"/>
          <w:szCs w:val="30"/>
        </w:rPr>
        <w:t>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向国家外汇管理局咨询、监督投诉等可通过国家外汇管理局官方互联网站公众交流栏目进行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网址为</w:t>
      </w:r>
      <w:r>
        <w:fldChar w:fldCharType="begin"/>
      </w:r>
      <w:r>
        <w:instrText xml:space="preserve">HYPERLINK "http://www.safe.gov.cn/" </w:instrText>
      </w:r>
      <w:r>
        <w:fldChar w:fldCharType="separate"/>
      </w:r>
      <w:r>
        <w:rPr>
          <w:rStyle w:val="14"/>
          <w:rFonts w:ascii="Times New Roman" w:hAnsi="Times New Roman" w:eastAsia="仿宋_GB2312" w:cs="Times New Roman"/>
          <w:color w:val="auto"/>
          <w:sz w:val="30"/>
          <w:szCs w:val="30"/>
        </w:rPr>
        <w:t>www.safe.gov.cn</w:t>
      </w:r>
      <w:r>
        <w:fldChar w:fldCharType="end"/>
      </w:r>
      <w:r>
        <w:rPr>
          <w:rFonts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向外汇局</w:t>
      </w:r>
      <w:r>
        <w:rPr>
          <w:rFonts w:hint="eastAsia" w:ascii="Times New Roman" w:hAnsi="Times New Roman" w:eastAsia="仿宋_GB2312" w:cs="Times New Roman"/>
          <w:sz w:val="30"/>
          <w:szCs w:val="30"/>
        </w:rPr>
        <w:t>吉林省分局及</w:t>
      </w:r>
      <w:r>
        <w:rPr>
          <w:rFonts w:hint="eastAsia" w:ascii="Times New Roman" w:hAnsi="Times New Roman" w:eastAsia="仿宋_GB2312" w:cs="Times New Roman"/>
          <w:sz w:val="30"/>
          <w:szCs w:val="30"/>
          <w:lang w:eastAsia="zh-CN"/>
        </w:rPr>
        <w:t>分支机构</w:t>
      </w:r>
      <w:r>
        <w:rPr>
          <w:rFonts w:ascii="Times New Roman" w:hAnsi="Times New Roman" w:eastAsia="仿宋_GB2312" w:cs="Times New Roman"/>
          <w:sz w:val="30"/>
          <w:szCs w:val="30"/>
        </w:rPr>
        <w:t>进行咨询、监督和投诉等可通过</w:t>
      </w:r>
      <w:r>
        <w:rPr>
          <w:rFonts w:hint="eastAsia" w:ascii="Times New Roman" w:hAnsi="Times New Roman" w:eastAsia="仿宋_GB2312" w:cs="Times New Roman"/>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ascii="Times New Roman" w:hAnsi="Times New Roman" w:eastAsia="仿宋_GB2312" w:cs="Times New Roman"/>
          <w:color w:val="auto"/>
          <w:sz w:val="30"/>
          <w:szCs w:val="30"/>
        </w:rPr>
        <w:t>www.safe.gov.cn/jilin</w:t>
      </w:r>
      <w:r>
        <w:fldChar w:fldCharType="end"/>
      </w:r>
      <w:r>
        <w:rPr>
          <w:rFonts w:hint="eastAsia" w:ascii="Times New Roman" w:hAnsi="Times New Roman" w:eastAsia="仿宋_GB2312" w:cs="Times New Roman"/>
          <w:sz w:val="30"/>
          <w:szCs w:val="30"/>
        </w:rPr>
        <w:t>。也可通过国家外汇管理局吉林省分局官方互联网站“咨询反馈——联系我们”栏目中</w:t>
      </w:r>
      <w:r>
        <w:rPr>
          <w:rFonts w:ascii="Times New Roman" w:hAnsi="Times New Roman" w:eastAsia="仿宋_GB2312" w:cs="Times New Roman"/>
          <w:sz w:val="30"/>
          <w:szCs w:val="30"/>
        </w:rPr>
        <w:t>公布的电话进行。</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（十六）办公地址和时间</w:t>
      </w:r>
    </w:p>
    <w:p>
      <w:pPr>
        <w:adjustRightInd w:val="0"/>
        <w:snapToGrid w:val="0"/>
        <w:spacing w:line="360" w:lineRule="auto"/>
        <w:ind w:firstLine="600" w:firstLineChars="200"/>
        <w:rPr>
          <w:rFonts w:ascii="仿宋_GB2312" w:hAnsi="Times New Roman" w:eastAsia="仿宋_GB2312"/>
          <w:sz w:val="30"/>
          <w:szCs w:val="30"/>
        </w:rPr>
      </w:pPr>
      <w:r>
        <w:rPr>
          <w:rFonts w:ascii="仿宋_GB2312" w:hAnsi="Times New Roman" w:eastAsia="仿宋_GB2312"/>
          <w:sz w:val="30"/>
          <w:szCs w:val="30"/>
        </w:rPr>
        <w:t>该项行政许可具体由国家外汇管理局分局办理，</w:t>
      </w:r>
      <w:r>
        <w:rPr>
          <w:rFonts w:hint="eastAsia" w:ascii="仿宋_GB2312" w:hAnsi="Times New Roman" w:eastAsia="仿宋_GB2312"/>
          <w:sz w:val="30"/>
          <w:szCs w:val="30"/>
        </w:rPr>
        <w:t>国家外汇管理局吉林省</w:t>
      </w:r>
      <w:r>
        <w:rPr>
          <w:rFonts w:ascii="仿宋_GB2312" w:hAnsi="Times New Roman" w:eastAsia="仿宋_GB2312"/>
          <w:sz w:val="30"/>
          <w:szCs w:val="30"/>
        </w:rPr>
        <w:t>分局办公地址和办公时间见</w:t>
      </w:r>
      <w:r>
        <w:rPr>
          <w:rFonts w:hint="eastAsia" w:ascii="仿宋_GB2312" w:hAnsi="Times New Roman" w:eastAsia="仿宋_GB2312"/>
          <w:sz w:val="30"/>
          <w:szCs w:val="30"/>
        </w:rPr>
        <w:t>国家外汇管理局吉林省分局官方互联网站“咨询反馈——联系我们”栏目。</w:t>
      </w: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37.1pt;margin-top:5.6pt;height:665.15pt;width:491.25pt;rotation:0f;z-index:251658240;" coordorigin="1599,1560" coordsize="9010,13628">
            <o:lock v:ext="edit" position="f" selection="f" grouping="f" rotation="f" cropping="f" text="f" aspectratio="f"/>
            <v:shape id="AutoShape 3" o:spid="_x0000_s1028" type="#_x0000_t32" style="position:absolute;left:6566;top:10994;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28" o:spid="_x0000_s1029" style="position:absolute;left:1599;top:1560;height:13628;width:9010;rotation:0f;" coordorigin="1599,1560" coordsize="9010,13628">
              <o:lock v:ext="edit" position="f" selection="f" grouping="f" rotation="f" cropping="f" text="f" aspectratio="f"/>
              <v:shape id="AutoShape 5" o:spid="_x0000_s1030" type="#_x0000_t32" style="position:absolute;left:6565;top:11899;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0" o:spid="_x0000_s1031" style="position:absolute;left:1599;top:1560;height:13628;width:9010;rotation:0f;" coordorigin="1599,1560" coordsize="9010,13628">
                <o:lock v:ext="edit" position="f" selection="f" grouping="f" rotation="f" cropping="f" text="f" aspectratio="f"/>
                <v:rect id="Rectangle 7" o:spid="_x0000_s1032"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033" type="#_x0000_t32" style="position:absolute;left:3999;top:12614;height:56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9" o:spid="_x0000_s1034" type="#_x0000_t32" style="position:absolute;left:9017;top:12614;height:607;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5" type="#_x0000_t32" style="position:absolute;left:4013;top:12614;height:0;width:498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 o:spid="_x0000_s1036"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037"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038"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13;top:14040;height:470;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9" o:spid="_x0000_s1040" style="position:absolute;left:1599;top:1560;height:11621;width:8921;rotation:0f;" coordorigin="1635,1526" coordsize="8921,11621">
                  <o:lock v:ext="edit" position="f" selection="f" grouping="f" rotation="f" cropping="f" text="f" aspectratio="f"/>
                  <v:shape id="AutoShape 16" o:spid="_x0000_s1041" type="#_x0000_t32" style="position:absolute;left:6600;top:8677;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7" o:spid="_x0000_s1042"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组合 1042" o:spid="_x0000_s1043" style="position:absolute;left:1635;top:2321;height:6356;width:8921;rotation:0f;" coordorigin="1635,2361" coordsize="8921,6356">
                    <o:lock v:ext="edit" position="f" selection="f" grouping="f" rotation="f" cropping="f" text="f" aspectratio="f"/>
                    <v:shape id="AutoShape 19" o:spid="_x0000_s1044" type="#_x0000_t34" style="position:absolute;left:8011;top:4164;height:1285;width:3790;rotation:17694720f;" o:ole="f" fillcolor="#FFFFFF" filled="t" o:preferrelative="t" stroked="t" coordorigin="0,0" coordsize="21600,21600" adj="45">
                      <v:stroke color="#000000" color2="#FFFFFF" miterlimit="2"/>
                      <v:imagedata gain="65536f" blacklevel="0f" gamma="0"/>
                      <o:lock v:ext="edit" position="f" selection="f" grouping="f" rotation="f" cropping="f" text="f" aspectratio="f"/>
                    </v:shape>
                    <v:group id="组合 1044" o:spid="_x0000_s1045" style="position:absolute;left:1635;top:2361;height:6356;width:8921;rotation:0f;" coordorigin="1656,3881" coordsize="8921,6356">
                      <o:lock v:ext="edit" position="f" selection="f" grouping="f" rotation="f" cropping="f" text="f" aspectratio="f"/>
                      <v:shape id="AutoShape 21" o:spid="_x0000_s1046" type="#_x0000_t32" style="position:absolute;left:7549;top:7016;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 o:spid="_x0000_s1047"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shape id="AutoShape 23" o:spid="_x0000_s1048" type="#_x0000_t32" style="position:absolute;left:3011;top:9967;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4" o:spid="_x0000_s1049" type="#_x0000_t32" style="position:absolute;left:3011;top:6530;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Text Box 25" o:spid="_x0000_s1050"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051" type="#_x0000_t32" style="position:absolute;left:7549;top:9110;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7" o:spid="_x0000_s1052"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053"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054" type="#_x0000_t32" style="position:absolute;left:4429;top:5511;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0" o:spid="_x0000_s1055" type="#_x0000_t32" style="position:absolute;left:5658;top:4533;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6"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057" type="#_x0000_t32" style="position:absolute;left:5686;top:645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 o:spid="_x0000_s1058" type="#_x0000_t32" style="position:absolute;left:5658;top:4533;height:0;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Rectangle 34" o:spid="_x0000_s1059"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060"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061"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062"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063" type="#_x0000_t32" style="position:absolute;left:9040;top:4464;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shape id="AutoShape 39" o:spid="_x0000_s1064" type="#_x0000_t32" style="position:absolute;left:3011;top:2229;flip:x;height:6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0" o:spid="_x0000_s1065"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申请人所在地外汇局分局（外汇管理部）根据申请材料，</w:t>
                          </w:r>
                        </w:p>
                        <w:p>
                          <w:pPr>
                            <w:jc w:val="center"/>
                          </w:pPr>
                          <w:r>
                            <w:rPr>
                              <w:rFonts w:hint="eastAsia"/>
                            </w:rPr>
                            <w:t>作出初审意见</w:t>
                          </w:r>
                        </w:p>
                      </w:txbxContent>
                    </v:textbox>
                  </v:shape>
                  <v:shape id="Text Box 41" o:spid="_x0000_s1066"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067"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068" type="#_x0000_t32" style="position:absolute;left:9682;top:10120;height:302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widowControl/>
        <w:jc w:val="left"/>
        <w:rPr>
          <w:rFonts w:ascii="Times New Roman" w:hAnsi="Times New Roman" w:eastAsia="仿宋_GB2312"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 xml:space="preserve">    问：外资金融机构能否申请短期外债余额指标？</w:t>
      </w:r>
    </w:p>
    <w:p>
      <w:pPr>
        <w:rPr>
          <w:rFonts w:ascii="Times New Roman" w:hAnsi="Times New Roman" w:cs="Times New Roman"/>
        </w:rPr>
      </w:pPr>
      <w:r>
        <w:rPr>
          <w:rFonts w:ascii="Times New Roman" w:hAnsi="Times New Roman" w:eastAsia="仿宋_GB2312" w:cs="Times New Roman"/>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059956">
    <w:nsid w:val="5A10F1F4"/>
    <w:multiLevelType w:val="singleLevel"/>
    <w:tmpl w:val="5A10F1F4"/>
    <w:lvl w:ilvl="0" w:tentative="1">
      <w:start w:val="2"/>
      <w:numFmt w:val="chineseCounting"/>
      <w:suff w:val="nothing"/>
      <w:lvlText w:val="（%1）"/>
      <w:lvlJc w:val="left"/>
    </w:lvl>
  </w:abstractNum>
  <w:abstractNum w:abstractNumId="1511059970">
    <w:nsid w:val="5A10F202"/>
    <w:multiLevelType w:val="singleLevel"/>
    <w:tmpl w:val="5A10F202"/>
    <w:lvl w:ilvl="0" w:tentative="1">
      <w:start w:val="3"/>
      <w:numFmt w:val="chineseCounting"/>
      <w:suff w:val="nothing"/>
      <w:lvlText w:val="（%1）"/>
      <w:lvlJc w:val="left"/>
    </w:lvl>
  </w:abstractNum>
  <w:abstractNum w:abstractNumId="1511062315">
    <w:nsid w:val="5A10FB2B"/>
    <w:multiLevelType w:val="singleLevel"/>
    <w:tmpl w:val="5A10FB2B"/>
    <w:lvl w:ilvl="0" w:tentative="1">
      <w:start w:val="5"/>
      <w:numFmt w:val="chineseCounting"/>
      <w:suff w:val="nothing"/>
      <w:lvlText w:val="（%1）"/>
      <w:lvlJc w:val="left"/>
    </w:lvl>
  </w:abstractNum>
  <w:abstractNum w:abstractNumId="1511063245">
    <w:nsid w:val="5A10FECD"/>
    <w:multiLevelType w:val="singleLevel"/>
    <w:tmpl w:val="5A10FECD"/>
    <w:lvl w:ilvl="0" w:tentative="1">
      <w:start w:val="2"/>
      <w:numFmt w:val="decimal"/>
      <w:suff w:val="nothing"/>
      <w:lvlText w:val="%1."/>
      <w:lvlJc w:val="left"/>
    </w:lvl>
  </w:abstractNum>
  <w:num w:numId="1">
    <w:abstractNumId w:val="1511059921"/>
  </w:num>
  <w:num w:numId="2">
    <w:abstractNumId w:val="1511059936"/>
  </w:num>
  <w:num w:numId="3">
    <w:abstractNumId w:val="1511059956"/>
  </w:num>
  <w:num w:numId="4">
    <w:abstractNumId w:val="1511059970"/>
  </w:num>
  <w:num w:numId="5">
    <w:abstractNumId w:val="1511062315"/>
  </w:num>
  <w:num w:numId="6">
    <w:abstractNumId w:val="1511063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4"/>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3"/>
    <w:unhideWhenUsed/>
    <w:qFormat/>
    <w:uiPriority w:val="0"/>
    <w:rPr>
      <w:rFonts w:ascii="宋体"/>
      <w:sz w:val="18"/>
      <w:szCs w:val="18"/>
    </w:rPr>
  </w:style>
  <w:style w:type="paragraph" w:styleId="6">
    <w:name w:val="annotation text"/>
    <w:basedOn w:val="1"/>
    <w:link w:val="30"/>
    <w:unhideWhenUsed/>
    <w:qFormat/>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1"/>
    <w:semiHidden/>
    <w:qFormat/>
    <w:uiPriority w:val="0"/>
    <w:pPr>
      <w:snapToGrid w:val="0"/>
      <w:jc w:val="left"/>
    </w:pPr>
    <w:rPr>
      <w:rFonts w:ascii="Times New Roman" w:hAnsi="Times New Roman"/>
      <w:sz w:val="18"/>
      <w:szCs w:val="18"/>
    </w:rPr>
  </w:style>
  <w:style w:type="paragraph" w:styleId="11">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character" w:customStyle="1" w:styleId="22">
    <w:name w:val="标题 1 Char Char"/>
    <w:basedOn w:val="13"/>
    <w:link w:val="2"/>
    <w:uiPriority w:val="9"/>
    <w:rPr>
      <w:rFonts w:ascii="黑体" w:hAnsi="黑体" w:eastAsia="黑体" w:cs="宋体"/>
      <w:color w:val="000000"/>
      <w:kern w:val="0"/>
      <w:sz w:val="30"/>
      <w:szCs w:val="30"/>
    </w:rPr>
  </w:style>
  <w:style w:type="character" w:customStyle="1" w:styleId="23">
    <w:name w:val="标题 2 Char Char"/>
    <w:basedOn w:val="13"/>
    <w:link w:val="3"/>
    <w:uiPriority w:val="9"/>
    <w:rPr>
      <w:rFonts w:ascii="Cambria" w:hAnsi="Cambria" w:eastAsia="宋体" w:cs="Times New Roman"/>
      <w:b/>
      <w:bCs/>
      <w:sz w:val="32"/>
      <w:szCs w:val="32"/>
    </w:rPr>
  </w:style>
  <w:style w:type="character" w:customStyle="1" w:styleId="24">
    <w:name w:val="标题 3 Char Char"/>
    <w:basedOn w:val="13"/>
    <w:link w:val="4"/>
    <w:uiPriority w:val="9"/>
    <w:rPr>
      <w:rFonts w:ascii="仿宋_GB2312" w:hAnsi="Calibri" w:eastAsia="仿宋_GB2312" w:cs="Times New Roman"/>
      <w:sz w:val="30"/>
      <w:szCs w:val="30"/>
    </w:rPr>
  </w:style>
  <w:style w:type="character" w:customStyle="1" w:styleId="25">
    <w:name w:val="页眉 Char Char"/>
    <w:basedOn w:val="13"/>
    <w:link w:val="9"/>
    <w:uiPriority w:val="99"/>
    <w:rPr>
      <w:sz w:val="18"/>
      <w:szCs w:val="18"/>
    </w:rPr>
  </w:style>
  <w:style w:type="character" w:customStyle="1" w:styleId="26">
    <w:name w:val="页脚 Char Char"/>
    <w:basedOn w:val="13"/>
    <w:link w:val="8"/>
    <w:uiPriority w:val="99"/>
    <w:rPr>
      <w:sz w:val="18"/>
      <w:szCs w:val="18"/>
    </w:rPr>
  </w:style>
  <w:style w:type="character" w:customStyle="1" w:styleId="27">
    <w:name w:val="批注框文本 Char Char"/>
    <w:basedOn w:val="13"/>
    <w:link w:val="7"/>
    <w:uiPriority w:val="0"/>
    <w:rPr>
      <w:sz w:val="18"/>
      <w:szCs w:val="18"/>
    </w:rPr>
  </w:style>
  <w:style w:type="character" w:customStyle="1" w:styleId="28">
    <w:name w:val="批注框文本 Char1"/>
    <w:basedOn w:val="13"/>
    <w:semiHidden/>
    <w:qFormat/>
    <w:uiPriority w:val="99"/>
    <w:rPr>
      <w:sz w:val="18"/>
      <w:szCs w:val="18"/>
    </w:rPr>
  </w:style>
  <w:style w:type="character" w:customStyle="1" w:styleId="29">
    <w:name w:val="HTML 预设格式 Char Char"/>
    <w:basedOn w:val="13"/>
    <w:link w:val="11"/>
    <w:uiPriority w:val="99"/>
    <w:rPr>
      <w:rFonts w:ascii="宋体" w:hAnsi="宋体" w:eastAsia="宋体" w:cs="宋体"/>
      <w:kern w:val="0"/>
      <w:sz w:val="24"/>
      <w:szCs w:val="24"/>
    </w:rPr>
  </w:style>
  <w:style w:type="character" w:customStyle="1" w:styleId="30">
    <w:name w:val="批注文字 Char Char"/>
    <w:basedOn w:val="13"/>
    <w:link w:val="6"/>
    <w:uiPriority w:val="99"/>
    <w:rPr>
      <w:rFonts w:ascii="Calibri" w:hAnsi="Calibri" w:eastAsia="宋体" w:cs="Times New Roman"/>
    </w:rPr>
  </w:style>
  <w:style w:type="character" w:customStyle="1" w:styleId="31">
    <w:name w:val="脚注文本 Char Char"/>
    <w:basedOn w:val="13"/>
    <w:link w:val="10"/>
    <w:uiPriority w:val="0"/>
    <w:rPr>
      <w:rFonts w:ascii="Times New Roman" w:hAnsi="Times New Roman"/>
      <w:sz w:val="18"/>
      <w:szCs w:val="18"/>
    </w:rPr>
  </w:style>
  <w:style w:type="character" w:customStyle="1" w:styleId="32">
    <w:name w:val="标题 4 Char Char"/>
    <w:qFormat/>
    <w:uiPriority w:val="0"/>
    <w:rPr>
      <w:rFonts w:ascii="Calibri" w:hAnsi="Calibri"/>
      <w:b/>
      <w:bCs/>
      <w:sz w:val="28"/>
      <w:szCs w:val="28"/>
      <w:lang w:eastAsia="en-US" w:bidi="en-US"/>
    </w:rPr>
  </w:style>
  <w:style w:type="character" w:customStyle="1" w:styleId="33">
    <w:name w:val="文档结构图 Char Char"/>
    <w:basedOn w:val="13"/>
    <w:link w:val="5"/>
    <w:uiPriority w:val="0"/>
    <w:rPr>
      <w:rFonts w:ascii="宋体"/>
      <w:sz w:val="18"/>
      <w:szCs w:val="18"/>
    </w:rPr>
  </w:style>
  <w:style w:type="character" w:customStyle="1" w:styleId="34">
    <w:name w:val="明显强调1"/>
    <w:basedOn w:val="13"/>
    <w:qFormat/>
    <w:uiPriority w:val="21"/>
    <w:rPr>
      <w:b/>
      <w:bCs/>
      <w:i/>
      <w:iCs/>
      <w:color w:val="4F81BD"/>
    </w:rPr>
  </w:style>
  <w:style w:type="character" w:customStyle="1" w:styleId="35">
    <w:name w:val="文档结构图 Char1"/>
    <w:basedOn w:val="13"/>
    <w:semiHidden/>
    <w:qFormat/>
    <w:uiPriority w:val="99"/>
    <w:rPr>
      <w:rFonts w:ascii="宋体" w:eastAsia="宋体"/>
      <w:sz w:val="18"/>
      <w:szCs w:val="18"/>
    </w:rPr>
  </w:style>
  <w:style w:type="character" w:customStyle="1" w:styleId="36">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431</Words>
  <Characters>2458</Characters>
  <Lines>20</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2020-03-17T01:49:00Z</dcterms:created>
  <dc:creator>朱敏1</dc:creator>
  <cp:lastModifiedBy>韩美琪/收支处/长春/PBC</cp:lastModifiedBy>
  <cp:lastPrinted>2021-04-20T07:58:00Z</cp:lastPrinted>
  <dcterms:modified xsi:type="dcterms:W3CDTF">2023-09-01T06:38:10Z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