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right"/>
        <w:rPr>
          <w:rFonts w:hint="eastAsia" w:eastAsia="方正小标宋_GBK" w:cs="Times New Roman"/>
          <w:color w:val="auto"/>
          <w:sz w:val="40"/>
          <w:szCs w:val="40"/>
          <w:highlight w:val="none"/>
          <w:lang w:val="en-US" w:eastAsia="zh-CN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0" w:leftChars="0" w:right="300" w:firstLine="0" w:firstLineChars="0"/>
        <w:jc w:val="left"/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00017110100</w:t>
      </w:r>
      <w:r>
        <w:rPr>
          <w:rFonts w:hint="eastAsia" w:eastAsia="黑体" w:cs="Times New Roman"/>
          <w:sz w:val="48"/>
          <w:szCs w:val="48"/>
          <w:lang w:val="en-US" w:eastAsia="zh-CN"/>
        </w:rPr>
        <w:t>2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ind w:left="0" w:leftChars="0" w:right="300" w:firstLine="0" w:firstLineChars="0"/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eastAsia" w:eastAsia="黑体" w:cs="Times New Roman"/>
          <w:sz w:val="52"/>
          <w:szCs w:val="52"/>
          <w:lang w:eastAsia="zh-CN"/>
        </w:rPr>
        <w:t>“支付机构经常项目收支登记”</w:t>
      </w: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</w:t>
      </w:r>
      <w:bookmarkStart w:id="10" w:name="_GoBack"/>
      <w:bookmarkEnd w:id="10"/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bookmarkStart w:id="0" w:name="_Toc230209183"/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2089527096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经常项目收支企业核准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00017110100Y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52538092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支付机构经常项目收支登记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【000171101002】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bookmarkStart w:id="3" w:name="_Toc2063580263"/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bookmarkStart w:id="4" w:name="_Toc643850346"/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支付机构经常项目收支登记新办（00017110100201）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支付机构经常项目收支登记变更（00017110100202）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支付机构经常项目收支登记注销（00017110100203）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</w:t>
      </w:r>
      <w:r>
        <w:rPr>
          <w:rFonts w:hint="eastAsia" w:eastAsia="仿宋_GB2312" w:cs="Times New Roman"/>
          <w:sz w:val="30"/>
          <w:szCs w:val="30"/>
          <w:lang w:eastAsia="zh-CN"/>
        </w:rPr>
        <w:t>“支付机构经常项目收支登记”</w:t>
      </w:r>
      <w:r>
        <w:rPr>
          <w:rFonts w:ascii="Times New Roman" w:hAnsi="Times New Roman" w:eastAsia="仿宋_GB2312" w:cs="Times New Roman"/>
          <w:sz w:val="30"/>
          <w:szCs w:val="30"/>
        </w:rPr>
        <w:t>的申请和办理。</w:t>
      </w:r>
    </w:p>
    <w:bookmarkEnd w:id="4"/>
    <w:p>
      <w:pPr>
        <w:widowControl w:val="0"/>
        <w:tabs>
          <w:tab w:val="left" w:pos="3718"/>
        </w:tabs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bookmarkStart w:id="5" w:name="_Toc1192412590"/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《国务院对确需保留的行政审批项目设定行政许可的决定》</w:t>
      </w:r>
      <w:bookmarkEnd w:id="5"/>
    </w:p>
    <w:p>
      <w:pPr>
        <w:widowControl w:val="0"/>
        <w:tabs>
          <w:tab w:val="left" w:pos="3718"/>
        </w:tabs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6" w:name="_Toc1882534944"/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四、办理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依据</w:t>
      </w:r>
      <w:bookmarkEnd w:id="6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eastAsia="仿宋_GB2312" w:cs="Times New Roman"/>
          <w:sz w:val="30"/>
          <w:szCs w:val="30"/>
          <w:lang w:val="en-US" w:eastAsia="zh-CN"/>
        </w:rPr>
      </w:pPr>
      <w:bookmarkStart w:id="7" w:name="_Toc925406537"/>
      <w:r>
        <w:rPr>
          <w:rFonts w:hint="default" w:eastAsia="仿宋_GB2312" w:cs="Times New Roman"/>
          <w:sz w:val="30"/>
          <w:szCs w:val="30"/>
          <w:lang w:val="en-US" w:eastAsia="zh-CN"/>
        </w:rPr>
        <w:t>（1）《经常项目外汇业务指引（2020年版）》（汇发〔2020〕14号文印发）第一百二十条、第一百二十一条、第一百二十二条、第一百二十四条、第一百二十五条、第一百二十六条、第一百二十七条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eastAsia="仿宋_GB2312" w:cs="Times New Roman"/>
          <w:sz w:val="30"/>
          <w:szCs w:val="30"/>
          <w:lang w:val="en-US" w:eastAsia="zh-CN"/>
        </w:rPr>
      </w:pPr>
      <w:r>
        <w:rPr>
          <w:rFonts w:hint="default" w:eastAsia="仿宋_GB2312" w:cs="Times New Roman"/>
          <w:sz w:val="30"/>
          <w:szCs w:val="30"/>
          <w:lang w:val="en-US" w:eastAsia="zh-CN"/>
        </w:rPr>
        <w:t>（2）《国家外汇管理局行政许可实施办法》（国家外汇管理局公告2021年第1号）</w:t>
      </w:r>
      <w:bookmarkEnd w:id="7"/>
      <w:r>
        <w:rPr>
          <w:rFonts w:hint="default" w:eastAsia="仿宋_GB2312" w:cs="Times New Roman"/>
          <w:sz w:val="30"/>
          <w:szCs w:val="30"/>
          <w:lang w:val="en-US" w:eastAsia="zh-CN"/>
        </w:rPr>
        <w:t>全文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</w:t>
      </w:r>
      <w:r>
        <w:rPr>
          <w:rFonts w:hint="eastAsia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</w:t>
      </w:r>
      <w:r>
        <w:rPr>
          <w:rFonts w:hint="eastAsia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bookmarkStart w:id="8" w:name="_Toc1971317738"/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bookmarkEnd w:id="8"/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jc w:val="both"/>
        <w:textAlignment w:val="auto"/>
        <w:outlineLvl w:val="9"/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</w:pPr>
      <w:bookmarkStart w:id="9" w:name="_Toc1748493208"/>
      <w:r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  <w:t>支付机构经常项目收支登记新办: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申请人为支付机构，且符合以下条件：</w:t>
      </w:r>
      <w:r>
        <w:rPr>
          <w:rFonts w:hint="default" w:eastAsia="仿宋_GB2312" w:cs="Times New Roman"/>
          <w:sz w:val="30"/>
          <w:szCs w:val="30"/>
          <w:lang w:val="en-US" w:eastAsia="zh-CN"/>
        </w:rPr>
        <w:t>具有相关支付业务合法资质；具有开展外汇业务的内部管理制度和相应技术条件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；</w:t>
      </w:r>
      <w:r>
        <w:rPr>
          <w:rFonts w:hint="default" w:eastAsia="仿宋_GB2312" w:cs="Times New Roman"/>
          <w:sz w:val="30"/>
          <w:szCs w:val="30"/>
          <w:lang w:val="en-US" w:eastAsia="zh-CN"/>
        </w:rPr>
        <w:t>具有申请外汇业务的必要性和可行性；具有交易真实性、合法性审核能力和风险控制能力；至少5名熟悉外汇业务的人员（其中1名为外汇业务负责人）；与符合要求的银行合作。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jc w:val="both"/>
        <w:textAlignment w:val="auto"/>
        <w:outlineLvl w:val="9"/>
        <w:rPr>
          <w:rFonts w:hint="default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eastAsia="仿宋_GB2312" w:cs="Times New Roman"/>
          <w:b/>
          <w:bCs/>
          <w:sz w:val="30"/>
          <w:szCs w:val="30"/>
          <w:lang w:val="en-US" w:eastAsia="zh-CN"/>
        </w:rPr>
        <w:t>支付机构经常项目收支登记变更: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申请人为</w:t>
      </w:r>
      <w:r>
        <w:rPr>
          <w:rFonts w:hint="default" w:eastAsia="仿宋_GB2312" w:cs="Times New Roman"/>
          <w:sz w:val="30"/>
          <w:szCs w:val="30"/>
          <w:lang w:val="en-US" w:eastAsia="zh-CN"/>
        </w:rPr>
        <w:t>支付机构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eastAsia="仿宋_GB2312" w:cs="Times New Roman"/>
          <w:sz w:val="30"/>
          <w:szCs w:val="30"/>
          <w:lang w:val="en-US" w:eastAsia="zh-CN"/>
        </w:rPr>
        <w:t xml:space="preserve">变更业务范围或业务子项、合作银行、业务流程、风控方案、单笔交易金额限额、交易信息采集及验证方案、公司外汇业务负责人。   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jc w:val="both"/>
        <w:textAlignment w:val="auto"/>
        <w:outlineLvl w:val="9"/>
        <w:rPr>
          <w:rFonts w:hint="default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eastAsia="仿宋_GB2312" w:cs="Times New Roman"/>
          <w:b/>
          <w:bCs/>
          <w:sz w:val="30"/>
          <w:szCs w:val="30"/>
          <w:lang w:val="en-US" w:eastAsia="zh-CN"/>
        </w:rPr>
        <w:t>支付机构经常项目收支登记注销: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申请人为</w:t>
      </w:r>
      <w:r>
        <w:rPr>
          <w:rFonts w:hint="default" w:eastAsia="仿宋_GB2312" w:cs="Times New Roman"/>
          <w:sz w:val="30"/>
          <w:szCs w:val="30"/>
          <w:lang w:val="en-US" w:eastAsia="zh-CN"/>
        </w:rPr>
        <w:t>支付机构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eastAsia="仿宋_GB2312" w:cs="Times New Roman"/>
          <w:sz w:val="30"/>
          <w:szCs w:val="30"/>
          <w:lang w:val="en-US" w:eastAsia="zh-CN"/>
        </w:rPr>
        <w:t>主动终止外汇业务，且业务处置完毕。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default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、申请材料</w:t>
      </w:r>
      <w:bookmarkEnd w:id="9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jc w:val="both"/>
        <w:textAlignment w:val="auto"/>
        <w:outlineLvl w:val="9"/>
        <w:rPr>
          <w:rFonts w:hint="default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  <w:t>支付机构经常项目收支登记新办: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150"/>
        <w:gridCol w:w="1950"/>
        <w:gridCol w:w="117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09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50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提交材料名称</w:t>
            </w:r>
          </w:p>
        </w:tc>
        <w:tc>
          <w:tcPr>
            <w:tcW w:w="1950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原件/复印件</w:t>
            </w:r>
          </w:p>
        </w:tc>
        <w:tc>
          <w:tcPr>
            <w:tcW w:w="1170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1343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纸质/电子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法定代表人签字并加盖公章的《贸易外汇收支企业名录登记申请表》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加盖公章的书面申请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内容包括但不限于：基本情况（如治理结构、机构设置等）、合作银行情况、申请外汇业务范围、可行性研究报告、与主要客户合作意向协议、业务流程、信息采集及真实性审核方案、抽查机制、风控模型及系统情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加盖公章的行业主管部门颁发的开展支付业务资质证明文件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营业执照（统一社会信用代码证）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原件或加盖公章的复印件（验原件，留存复印件）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加盖公章的法定代表人有效身份证件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加盖公章的与银行的合作协议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，内容包括但不限于双方责任与义务，汇率报价规则，服务费收取方式，利息计算方式与归属，纠纷处理流程，合作银行对支付机构外汇业务合规审核能力、风险管理能力以及相关技术条件的评估认可情况等。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加盖公章的外汇业务人员履历及其外汇业务能力核实情况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加盖公章的承诺函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jc w:val="both"/>
        <w:textAlignment w:val="auto"/>
        <w:outlineLvl w:val="9"/>
        <w:rPr>
          <w:rFonts w:hint="default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eastAsia="仿宋_GB2312" w:cs="Times New Roman"/>
          <w:b/>
          <w:bCs/>
          <w:sz w:val="30"/>
          <w:szCs w:val="30"/>
          <w:lang w:val="en-US" w:eastAsia="zh-CN"/>
        </w:rPr>
        <w:t>支付机构经常项目收支登记变更: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180"/>
        <w:gridCol w:w="1965"/>
        <w:gridCol w:w="117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79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80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提交材料名称</w:t>
            </w:r>
          </w:p>
        </w:tc>
        <w:tc>
          <w:tcPr>
            <w:tcW w:w="1965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原件/复印件</w:t>
            </w:r>
          </w:p>
        </w:tc>
        <w:tc>
          <w:tcPr>
            <w:tcW w:w="1170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1328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纸质/电子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变更书面申请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相应变更文件或证明，应可证明业务范围或业务子项、合作银行、业务流程、风控模型、单笔交易限额（特定交易限额变更理由及相应风险控制措施）、交易信息采集及验证方案、公司外汇业务负责人等发生变更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原件或复印件（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可验原件，留复印件，复印件需加盖公章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纸质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default" w:eastAsia="仿宋_GB2312" w:cs="Times New Roman"/>
          <w:b/>
          <w:bCs/>
          <w:sz w:val="30"/>
          <w:szCs w:val="30"/>
          <w:lang w:val="en-US" w:eastAsia="zh-CN"/>
        </w:rPr>
        <w:t>支付机构经常项目收支登记注销: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180"/>
        <w:gridCol w:w="1980"/>
        <w:gridCol w:w="115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4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80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提交材料名称</w:t>
            </w:r>
          </w:p>
        </w:tc>
        <w:tc>
          <w:tcPr>
            <w:tcW w:w="1980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原件/复印件</w:t>
            </w:r>
          </w:p>
        </w:tc>
        <w:tc>
          <w:tcPr>
            <w:tcW w:w="1155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1343" w:type="dxa"/>
            <w:vAlign w:val="bottom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纸质/电子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加盖公章的注销登记申请，内容包括但不限于注销理由，如被市场监管部门注销或吊销营业执照（统一社会信用代码证），被行业主管部门终止支付业务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原件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加盖公章的终止外汇业务方案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十、申请接受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申请人可通过窗口方式提交材料。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</w:t>
      </w:r>
      <w:r>
        <w:rPr>
          <w:rFonts w:hint="eastAsia" w:eastAsia="仿宋_GB2312" w:cs="Times New Roman"/>
          <w:sz w:val="30"/>
          <w:szCs w:val="30"/>
          <w:lang w:eastAsia="zh-CN"/>
        </w:rPr>
        <w:t>决定</w:t>
      </w:r>
      <w:r>
        <w:rPr>
          <w:rFonts w:ascii="Times New Roman" w:hAnsi="Times New Roman" w:eastAsia="仿宋_GB2312" w:cs="Times New Roman"/>
          <w:sz w:val="30"/>
          <w:szCs w:val="30"/>
        </w:rPr>
        <w:t>书。许可的，向申请人出具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eastAsia="仿宋_GB2312" w:cs="Times New Roman"/>
          <w:sz w:val="30"/>
          <w:szCs w:val="30"/>
          <w:lang w:eastAsia="zh-CN"/>
        </w:rPr>
        <w:t>行政许可决定书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eastAsia="仿宋_GB2312" w:cs="Times New Roman"/>
          <w:sz w:val="30"/>
          <w:szCs w:val="30"/>
          <w:lang w:eastAsia="zh-CN"/>
        </w:rPr>
        <w:t>行政许可决定书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eastAsia="仿宋_GB2312" w:cs="Times New Roman"/>
          <w:sz w:val="30"/>
          <w:szCs w:val="30"/>
          <w:lang w:eastAsia="zh-CN"/>
        </w:rPr>
        <w:t>行政许可决定书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eastAsia="仿宋_GB2312" w:cs="Times New Roman"/>
          <w:sz w:val="30"/>
          <w:szCs w:val="30"/>
          <w:lang w:eastAsia="zh-CN"/>
        </w:rPr>
        <w:t>省分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二十一、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二十二、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widowControl w:val="0"/>
        <w:wordWrap/>
        <w:adjustRightInd w:val="0"/>
        <w:snapToGrid w:val="0"/>
        <w:spacing w:after="0" w:line="360" w:lineRule="auto"/>
        <w:ind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营业执照</w:t>
      </w:r>
      <w:r>
        <w:rPr>
          <w:rFonts w:ascii="Times New Roman" w:hAnsi="Times New Roman" w:eastAsia="仿宋_GB2312" w:cs="Times New Roman"/>
          <w:sz w:val="30"/>
          <w:szCs w:val="30"/>
        </w:rPr>
        <w:t>复印件未加盖公章等。</w:t>
      </w:r>
    </w:p>
    <w:p>
      <w:pPr>
        <w:pStyle w:val="2"/>
      </w:pPr>
    </w:p>
    <w:p>
      <w:pPr>
        <w:ind w:left="0" w:leftChars="0" w:right="300" w:firstLine="0" w:firstLineChars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</w:t>
      </w:r>
      <w:r>
        <w:rPr>
          <w:rFonts w:hint="eastAsia" w:eastAsia="仿宋_GB2312" w:cs="Times New Roman"/>
          <w:sz w:val="30"/>
          <w:szCs w:val="30"/>
          <w:lang w:eastAsia="zh-CN"/>
        </w:rPr>
        <w:t>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21.85pt;height:47.2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left="0" w:leftChars="0"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申请人现场提出书面申请，并提交材料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both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61.45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行政许可决定书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》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104.2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内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）作出是否受理决定</w:t>
                  </w:r>
                </w:p>
                <w:p/>
              </w:txbxContent>
            </v:textbox>
          </v:shape>
        </w:pict>
      </w:r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9575CC"/>
    <w:rsid w:val="01FF1826"/>
    <w:rsid w:val="031F252E"/>
    <w:rsid w:val="0358398D"/>
    <w:rsid w:val="05526FCB"/>
    <w:rsid w:val="05EB5EC4"/>
    <w:rsid w:val="070D3A1D"/>
    <w:rsid w:val="080674B8"/>
    <w:rsid w:val="0A4E4DF4"/>
    <w:rsid w:val="0CB819EA"/>
    <w:rsid w:val="0DB066EA"/>
    <w:rsid w:val="0DB51C8D"/>
    <w:rsid w:val="0E4C5684"/>
    <w:rsid w:val="0EFA797C"/>
    <w:rsid w:val="109C6C0E"/>
    <w:rsid w:val="11301D61"/>
    <w:rsid w:val="135C37D3"/>
    <w:rsid w:val="14981ED6"/>
    <w:rsid w:val="170F3BE3"/>
    <w:rsid w:val="1884391E"/>
    <w:rsid w:val="18C96438"/>
    <w:rsid w:val="1AD66518"/>
    <w:rsid w:val="1CE738EC"/>
    <w:rsid w:val="1D436612"/>
    <w:rsid w:val="1FDA4FD1"/>
    <w:rsid w:val="21690F5F"/>
    <w:rsid w:val="22315125"/>
    <w:rsid w:val="22A43E16"/>
    <w:rsid w:val="234939F4"/>
    <w:rsid w:val="23E2706A"/>
    <w:rsid w:val="246D02D3"/>
    <w:rsid w:val="24EA5704"/>
    <w:rsid w:val="263C7249"/>
    <w:rsid w:val="26D519C6"/>
    <w:rsid w:val="27690BB5"/>
    <w:rsid w:val="28F57442"/>
    <w:rsid w:val="2AD71B56"/>
    <w:rsid w:val="2C0412C3"/>
    <w:rsid w:val="2F540736"/>
    <w:rsid w:val="324C0413"/>
    <w:rsid w:val="34C6745E"/>
    <w:rsid w:val="36916DF5"/>
    <w:rsid w:val="376A7A76"/>
    <w:rsid w:val="390D6328"/>
    <w:rsid w:val="3A9A78C4"/>
    <w:rsid w:val="3B0D7C49"/>
    <w:rsid w:val="3D5B6538"/>
    <w:rsid w:val="3D8C1180"/>
    <w:rsid w:val="3DA82DB4"/>
    <w:rsid w:val="3E5D41C3"/>
    <w:rsid w:val="401E7040"/>
    <w:rsid w:val="438B689C"/>
    <w:rsid w:val="44277918"/>
    <w:rsid w:val="443D0C00"/>
    <w:rsid w:val="44791DBC"/>
    <w:rsid w:val="472B71D3"/>
    <w:rsid w:val="474530FE"/>
    <w:rsid w:val="47BA01B1"/>
    <w:rsid w:val="495E25EB"/>
    <w:rsid w:val="4AE301E8"/>
    <w:rsid w:val="4B5C3D6F"/>
    <w:rsid w:val="4BB0793C"/>
    <w:rsid w:val="4EC66BCA"/>
    <w:rsid w:val="506B4CFC"/>
    <w:rsid w:val="50C23838"/>
    <w:rsid w:val="51122012"/>
    <w:rsid w:val="52270ADD"/>
    <w:rsid w:val="537517FC"/>
    <w:rsid w:val="5487463D"/>
    <w:rsid w:val="56162CC9"/>
    <w:rsid w:val="58E663BD"/>
    <w:rsid w:val="59B7793C"/>
    <w:rsid w:val="5B104F95"/>
    <w:rsid w:val="5C001E00"/>
    <w:rsid w:val="5DC529E5"/>
    <w:rsid w:val="5F141363"/>
    <w:rsid w:val="60C03647"/>
    <w:rsid w:val="627F5BA7"/>
    <w:rsid w:val="646A444D"/>
    <w:rsid w:val="64BA5A46"/>
    <w:rsid w:val="663649BE"/>
    <w:rsid w:val="673A67EA"/>
    <w:rsid w:val="67585D9A"/>
    <w:rsid w:val="683B7691"/>
    <w:rsid w:val="6EA9229D"/>
    <w:rsid w:val="6EAB66A1"/>
    <w:rsid w:val="6F31437C"/>
    <w:rsid w:val="707F35B3"/>
    <w:rsid w:val="71091A03"/>
    <w:rsid w:val="71172F17"/>
    <w:rsid w:val="72EF3E1B"/>
    <w:rsid w:val="73F73350"/>
    <w:rsid w:val="73FC5259"/>
    <w:rsid w:val="74597B71"/>
    <w:rsid w:val="7494120A"/>
    <w:rsid w:val="75C74785"/>
    <w:rsid w:val="7AE067A6"/>
    <w:rsid w:val="7F00357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4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2023-09-28T00:28:51Z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