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right"/>
        <w:rPr>
          <w:rFonts w:hint="eastAsia" w:eastAsia="方正小标宋_GBK" w:cs="Times New Roman"/>
          <w:color w:val="auto"/>
          <w:sz w:val="40"/>
          <w:szCs w:val="40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 w:right="300" w:firstLine="0" w:firstLineChars="0"/>
        <w:jc w:val="left"/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00017110100</w:t>
      </w:r>
      <w:r>
        <w:rPr>
          <w:rFonts w:hint="eastAsia" w:eastAsia="黑体" w:cs="Times New Roman"/>
          <w:sz w:val="48"/>
          <w:szCs w:val="48"/>
          <w:lang w:val="en-US" w:eastAsia="zh-CN"/>
        </w:rPr>
        <w:t>5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left="0" w:leftChars="0" w:right="300" w:firstLine="0" w:firstLineChars="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eastAsia" w:eastAsia="黑体" w:cs="Times New Roman"/>
          <w:sz w:val="52"/>
          <w:szCs w:val="52"/>
          <w:lang w:eastAsia="zh-CN"/>
        </w:rPr>
        <w:t>“银行经常项目收支登记”</w:t>
      </w: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  <w:bookmarkStart w:id="11" w:name="_GoBack"/>
      <w:bookmarkEnd w:id="11"/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bookmarkStart w:id="0" w:name="_Toc230209183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bookmarkEnd w:id="0"/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2089527096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经常项目收支企业核准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00017110100Y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52538092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银行经常项目收支登记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【000171101005】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2063580263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eastAsia" w:eastAsia="仿宋_GB2312" w:cs="Times New Roman"/>
          <w:sz w:val="30"/>
          <w:szCs w:val="30"/>
          <w:lang w:val="en-US" w:eastAsia="zh-CN"/>
        </w:rPr>
      </w:pPr>
      <w:bookmarkStart w:id="4" w:name="_Toc643850346"/>
      <w:r>
        <w:rPr>
          <w:rFonts w:hint="eastAsia" w:eastAsia="仿宋_GB2312" w:cs="Times New Roman"/>
          <w:sz w:val="30"/>
          <w:szCs w:val="30"/>
          <w:lang w:val="en-US" w:eastAsia="zh-CN"/>
        </w:rPr>
        <w:t>银行经常项目收支登记新办（00017110100501）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eastAsia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银行经常项目收支登记变更（00017110100502）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银行经常项目收支登记注销（00017110100503）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</w:t>
      </w:r>
      <w:r>
        <w:rPr>
          <w:rFonts w:hint="eastAsia" w:eastAsia="仿宋_GB2312" w:cs="Times New Roman"/>
          <w:sz w:val="30"/>
          <w:szCs w:val="30"/>
          <w:lang w:eastAsia="zh-CN"/>
        </w:rPr>
        <w:t>“银行经常项目收支登记”</w:t>
      </w:r>
      <w:r>
        <w:rPr>
          <w:rFonts w:ascii="Times New Roman" w:hAnsi="Times New Roman" w:eastAsia="仿宋_GB2312" w:cs="Times New Roman"/>
          <w:sz w:val="30"/>
          <w:szCs w:val="30"/>
        </w:rPr>
        <w:t>的申请和办理。</w:t>
      </w:r>
    </w:p>
    <w:bookmarkEnd w:id="4"/>
    <w:p>
      <w:pPr>
        <w:widowControl w:val="0"/>
        <w:tabs>
          <w:tab w:val="left" w:pos="3718"/>
        </w:tabs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5" w:name="_Toc1192412590"/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《国务院对确需保留的行政审批项目设定行政许可的决定》</w:t>
      </w:r>
      <w:bookmarkEnd w:id="5"/>
    </w:p>
    <w:p>
      <w:pPr>
        <w:widowControl w:val="0"/>
        <w:tabs>
          <w:tab w:val="left" w:pos="3718"/>
        </w:tabs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6" w:name="_Toc1882534944"/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四、办理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依据</w:t>
      </w:r>
      <w:bookmarkEnd w:id="6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7" w:name="_Toc54488669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</w:t>
      </w:r>
      <w:bookmarkEnd w:id="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《经常项目外汇业务指引（2020年版）》（汇发〔2020〕14号文印发）第一百二十一条、第一百二十二条、第一百二十四条、第一百二十五条、第一百二十六条、第一百二十七条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8" w:name="_Toc188261201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）《国家外汇管理局行政许可实施办法》（国家外汇管理局公告2021年第1号）</w:t>
      </w:r>
      <w:bookmarkEnd w:id="8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contextualSpacing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全国性银行业务落地分行所在地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eastAsia="zh-CN"/>
        </w:rPr>
        <w:t>国家外汇管理局省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分局；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地方性银行注册所在地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eastAsia="zh-CN"/>
        </w:rPr>
        <w:t>国家外汇管理局省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contextualSpacing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全国性银行业务落地分行所在地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eastAsia="zh-CN"/>
        </w:rPr>
        <w:t>国家外汇管理局省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分局；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地方性银行注册所在地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eastAsia="zh-CN"/>
        </w:rPr>
        <w:t>国家外汇管理局省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9" w:name="_Toc1971317738"/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bookmarkEnd w:id="9"/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</w:pPr>
      <w:bookmarkStart w:id="10" w:name="_Toc1748493208"/>
      <w:r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  <w:t>银行经常项目收支登记新办：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申请人为银行，且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满足交易信息采集、真实性审核等条件；具有结售汇及相关资金收付业务合法资质；具有开展外汇业务的内部管理制度和相应技术条件；申请外汇业务的必要性和可行性；具有交易真实性、合法性审核能力和风险控制能力；至少5名熟悉外汇业务的人员（其中1名为外汇业务负责人）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银行经常项目收支登记变更：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申请人为银行，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变更业务范围或业务子项、业务流程、风控方案、单笔交易金额限额、交易信息采集及验证方案。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银行经常项目收支登记注销：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申请人为银行，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主动终止外汇业务，且业务处置完毕。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 </w:t>
      </w:r>
      <w:r>
        <w:rPr>
          <w:rFonts w:hint="eastAsia" w:eastAsia="黑体" w:cs="Times New Roman"/>
          <w:sz w:val="30"/>
          <w:szCs w:val="30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、申请材料</w:t>
      </w:r>
      <w:bookmarkEnd w:id="10"/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eastAsia="仿宋_GB2312" w:cs="Times New Roman"/>
          <w:b/>
          <w:bCs/>
          <w:sz w:val="30"/>
          <w:szCs w:val="30"/>
          <w:lang w:val="en-US" w:eastAsia="zh-CN"/>
        </w:rPr>
        <w:t>银行经常项目收支登记新办：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03"/>
        <w:gridCol w:w="1628"/>
        <w:gridCol w:w="140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4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03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提交材料的名称</w:t>
            </w:r>
          </w:p>
        </w:tc>
        <w:tc>
          <w:tcPr>
            <w:tcW w:w="1628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404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33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法定代表人签字并加盖公章的《贸易外汇收支企业名录登记申请表》</w:t>
            </w: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加盖公章的书面申请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内容包括但不限于：基本情况（如治理结构、机构设置等）、申请外汇业务范围、可行性研究报告、与主要客户合作意向协议、业务流程、信息采集及真实性审核方案、抽查机制、风控模型及系统情况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营业执照（统一社会信用代码证）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原件或加盖公章的复印件1份（验原件，留存复印件）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加盖公章的法人有效身份证件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加盖公章的外汇业务人员履历及其外汇业务能力核实情况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03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Lines="0" w:after="0" w:afterLines="0" w:line="320" w:lineRule="exact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加盖公章的承诺函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40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 银行经常项目收支登记变更：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271"/>
        <w:gridCol w:w="1628"/>
        <w:gridCol w:w="142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70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71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提交材料的名称</w:t>
            </w:r>
          </w:p>
        </w:tc>
        <w:tc>
          <w:tcPr>
            <w:tcW w:w="1628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420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33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71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变更书面申请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71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相应变更文件或证明，应可证明业务范围或业务子项、业务流程、风控模型、单笔交易限额（特定交易限额变更理由及相应风险控制措施）、交易信息采集及验证方案、公司外汇业务负责人等发生变更</w:t>
            </w:r>
          </w:p>
        </w:tc>
        <w:tc>
          <w:tcPr>
            <w:tcW w:w="162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原件或复印件（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可验原件，留复印件，复印件需加盖公章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银行经常项目收支登记注销：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223"/>
        <w:gridCol w:w="1644"/>
        <w:gridCol w:w="142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23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提交材料的名称</w:t>
            </w:r>
          </w:p>
        </w:tc>
        <w:tc>
          <w:tcPr>
            <w:tcW w:w="1644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1420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1349" w:type="dxa"/>
            <w:vAlign w:val="bottom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纸质/电子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加盖公章的注销登记申请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，内容包括但不限于注销理由，如被市场监管部门注销或吊销营业执照（统一社会信用代码证），被行业主管部门终止支付业务</w:t>
            </w:r>
          </w:p>
        </w:tc>
        <w:tc>
          <w:tcPr>
            <w:tcW w:w="164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加盖公章的终止外汇业务方案</w:t>
            </w:r>
          </w:p>
        </w:tc>
        <w:tc>
          <w:tcPr>
            <w:tcW w:w="1644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after="0" w:line="360" w:lineRule="auto"/>
              <w:ind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申请人通过窗口方式提交材料。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eastAsia="仿宋_GB2312" w:cs="Times New Roman"/>
          <w:sz w:val="30"/>
          <w:szCs w:val="30"/>
          <w:lang w:eastAsia="zh-CN"/>
        </w:rPr>
        <w:t>行政许可决定书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before="0"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eastAsia="仿宋_GB2312" w:cs="Times New Roman"/>
          <w:sz w:val="30"/>
          <w:szCs w:val="30"/>
          <w:lang w:eastAsia="zh-CN"/>
        </w:rPr>
        <w:t>省分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1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widowControl w:val="0"/>
        <w:wordWrap/>
        <w:adjustRightInd w:val="0"/>
        <w:snapToGrid w:val="0"/>
        <w:spacing w:before="0" w:after="0" w:line="360" w:lineRule="auto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eastAsia="仿宋_GB2312" w:cs="Times New Roman"/>
          <w:sz w:val="30"/>
          <w:szCs w:val="30"/>
          <w:lang w:eastAsia="zh-CN"/>
        </w:rPr>
        <w:t>书面申请</w:t>
      </w:r>
      <w:r>
        <w:rPr>
          <w:rFonts w:ascii="Times New Roman" w:hAnsi="Times New Roman" w:eastAsia="仿宋_GB2312" w:cs="Times New Roman"/>
          <w:sz w:val="30"/>
          <w:szCs w:val="30"/>
        </w:rPr>
        <w:t>未加盖公章等。</w:t>
      </w:r>
    </w:p>
    <w:p>
      <w:pPr>
        <w:ind w:left="0" w:leftChars="0" w:right="300" w:firstLine="0" w:firstLineChars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eastAsia="仿宋_GB2312" w:cs="Times New Roman"/>
          <w:sz w:val="30"/>
          <w:szCs w:val="30"/>
          <w:lang w:eastAsia="zh-CN"/>
        </w:rPr>
        <w:t>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30.15pt;height:38.9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left="0" w:leftChars="0"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申请人现场提出书面申请，并提交材料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both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行政许可决定书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》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8.2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）作出是否受理决定</w:t>
                  </w:r>
                </w:p>
                <w:p/>
              </w:txbxContent>
            </v:textbox>
          </v:shape>
        </w:pict>
      </w: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2D5643"/>
    <w:rsid w:val="05852C9D"/>
    <w:rsid w:val="0A57600C"/>
    <w:rsid w:val="0EF86623"/>
    <w:rsid w:val="0F6E6A60"/>
    <w:rsid w:val="10BB7612"/>
    <w:rsid w:val="16DC468E"/>
    <w:rsid w:val="16FA74C1"/>
    <w:rsid w:val="17883D81"/>
    <w:rsid w:val="17A942EC"/>
    <w:rsid w:val="17DE2FB7"/>
    <w:rsid w:val="19CE2462"/>
    <w:rsid w:val="1CFC1759"/>
    <w:rsid w:val="1D1249FB"/>
    <w:rsid w:val="1D795467"/>
    <w:rsid w:val="1DAE6989"/>
    <w:rsid w:val="1EEE66B3"/>
    <w:rsid w:val="1F870387"/>
    <w:rsid w:val="1FE93F66"/>
    <w:rsid w:val="23DE3F11"/>
    <w:rsid w:val="25F5211D"/>
    <w:rsid w:val="273B136A"/>
    <w:rsid w:val="29100A09"/>
    <w:rsid w:val="29224146"/>
    <w:rsid w:val="2CCA1F71"/>
    <w:rsid w:val="306422D7"/>
    <w:rsid w:val="35103518"/>
    <w:rsid w:val="37BD6CE3"/>
    <w:rsid w:val="3A127D55"/>
    <w:rsid w:val="3B166F42"/>
    <w:rsid w:val="3B6E32C1"/>
    <w:rsid w:val="41470D02"/>
    <w:rsid w:val="43521521"/>
    <w:rsid w:val="45A055CA"/>
    <w:rsid w:val="46C73C2B"/>
    <w:rsid w:val="47691236"/>
    <w:rsid w:val="480E77C6"/>
    <w:rsid w:val="49605C09"/>
    <w:rsid w:val="4B8107E5"/>
    <w:rsid w:val="4C7E5C1B"/>
    <w:rsid w:val="4CA94414"/>
    <w:rsid w:val="4DD166B5"/>
    <w:rsid w:val="51765130"/>
    <w:rsid w:val="560C4938"/>
    <w:rsid w:val="59FD5EB2"/>
    <w:rsid w:val="5C2B3AFE"/>
    <w:rsid w:val="5DAB7941"/>
    <w:rsid w:val="5F4C5CE4"/>
    <w:rsid w:val="5F6771EE"/>
    <w:rsid w:val="5F731427"/>
    <w:rsid w:val="60F572CA"/>
    <w:rsid w:val="6278437C"/>
    <w:rsid w:val="68A24AB7"/>
    <w:rsid w:val="6C7F158F"/>
    <w:rsid w:val="6FEE1E33"/>
    <w:rsid w:val="74B64270"/>
    <w:rsid w:val="7BCD5337"/>
    <w:rsid w:val="7E2F4E12"/>
    <w:rsid w:val="7F0E775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4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2023-09-28T00:30:32Z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