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000171112008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</w:t>
      </w:r>
      <w:r>
        <w:rPr>
          <w:rFonts w:ascii="Times New Roman" w:hAnsi="Times New Roman" w:eastAsia="黑体" w:cs="Times New Roman"/>
          <w:sz w:val="48"/>
          <w:szCs w:val="48"/>
        </w:rPr>
        <w:drawing>
          <wp:inline distT="0" distB="0" distL="114300" distR="114300">
            <wp:extent cx="1104900" cy="885825"/>
            <wp:effectExtent l="0" t="0" r="0" b="952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-92" w:rightChars="-44"/>
        <w:jc w:val="center"/>
        <w:rPr>
          <w:rFonts w:hint="default" w:ascii="Times New Roman" w:hAnsi="Times New Roman" w:eastAsia="方正小标宋_GBK" w:cs="Times New Roman"/>
          <w:b w:val="0"/>
          <w:bCs w:val="0"/>
          <w:strike w:val="0"/>
          <w:dstrike w:val="0"/>
          <w:color w:val="auto"/>
          <w:sz w:val="40"/>
          <w:szCs w:val="40"/>
          <w:highlight w:val="none"/>
          <w:lang w:eastAsia="zh-CN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default" w:ascii="Times New Roman" w:hAnsi="Times New Roman" w:eastAsia="黑体" w:cs="Times New Roman"/>
          <w:sz w:val="52"/>
          <w:szCs w:val="52"/>
          <w:lang w:eastAsia="zh-CN"/>
        </w:rPr>
        <w:t>银行总行合作办理远期业务市场准入审批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ind w:right="-92" w:rightChars="-44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-92" w:rightChars="-44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2"/>
        <w:ind w:right="-92" w:rightChars="-44"/>
      </w:pP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-92" w:rightChars="-44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-92" w:rightChars="-44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-92" w:rightChars="-44"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  <w:bookmarkStart w:id="0" w:name="_Toc14337288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  <w:bookmarkStart w:id="1" w:name="_Toc116103932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经营或者终止结售汇业务审批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00017111200Y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  <w:bookmarkStart w:id="2" w:name="_Toc11004270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银行总行合作办理远期业务市场准入审批【000171112008】</w:t>
      </w:r>
      <w:bookmarkStart w:id="3" w:name="_Toc93915439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银行总行合作办理远期结售汇业务市场准入审批（00017111200802）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银行总行合作办理远期业务市场准入审批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”的申请和办理。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  <w:bookmarkStart w:id="4" w:name="_Toc3080870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银行办理结售汇业务管理办法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》（中国人民银行令2014年2号）第二条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、第三条</w:t>
      </w:r>
      <w:bookmarkEnd w:id="4"/>
      <w:bookmarkStart w:id="5" w:name="_Toc142641088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《银行办理结售汇业务管理办法实施细则》（汇发〔2014〕53号文印发）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《银行合作办理人民币对外汇衍生品业务细则》（汇发〔2022〕15号文印发）第一条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、第二条</w:t>
      </w:r>
      <w:bookmarkStart w:id="6" w:name="_Toc17851718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《国家外汇管理局行政许可实施办法》（国家外汇管理局公告2021年第1号）</w:t>
      </w:r>
      <w:bookmarkEnd w:id="6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/>
          <w:spacing w:val="-1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/>
          <w:spacing w:val="-1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r>
        <w:rPr>
          <w:rFonts w:ascii="Times New Roman" w:hAnsi="Times New Roman" w:eastAsia="仿宋_GB2312" w:cs="Times New Roman"/>
          <w:sz w:val="30"/>
          <w:szCs w:val="30"/>
        </w:rPr>
        <w:t>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具备即期结售汇业务资格，并已开办2年（含）以上。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上年度外汇资产季平均余额在等值2000万美元（含）以上。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近2年银行外汇业务合规与审慎经营评估等级为B级（含）以上。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具有完善的合作办理外汇衍生品业务管理制度。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九、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简要说明满足各项申请条件情况，并包括企业客户培育情况、业务计划等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合作办理外汇衍生品业务相关管理制度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业务操作规程、风险管理制度、统计报告制度、会计核算制度等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范本中应明确双方权利和义务</w:t>
            </w: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ind w:right="-92" w:rightChars="-44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十、申请接受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1.申请人提交申请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2.决定是否予以受理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《银行合作办理人民币对外汇衍生品业务准予许可通知书》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省</w:t>
      </w:r>
      <w:bookmarkStart w:id="7" w:name="_GoBack"/>
      <w:bookmarkEnd w:id="7"/>
      <w:r>
        <w:rPr>
          <w:rFonts w:hint="eastAsia" w:ascii="Times New Roman" w:hAnsi="Times New Roman" w:eastAsia="仿宋_GB2312" w:cs="Times New Roman"/>
          <w:sz w:val="30"/>
          <w:szCs w:val="30"/>
        </w:rPr>
        <w:t>分局“业务指南”栏目中公布的电话进行。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二十一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无固定格式。有关内容要求详见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二十二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二十三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-92" w:rightChars="-44" w:firstLine="600" w:firstLineChars="200"/>
        <w:jc w:val="left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申请材料不完全符合规定，例如合作办理远期结售汇业务相关管理制度包含内容不全等。</w:t>
      </w:r>
    </w:p>
    <w:p>
      <w:pPr>
        <w:ind w:right="-92" w:rightChars="-44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326390</wp:posOffset>
                </wp:positionV>
                <wp:extent cx="5838190" cy="5732145"/>
                <wp:effectExtent l="7620" t="4445" r="21590" b="16510"/>
                <wp:wrapNone/>
                <wp:docPr id="22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190" cy="5732145"/>
                          <a:chOff x="1007" y="3202"/>
                          <a:chExt cx="9194" cy="9027"/>
                        </a:xfrm>
                      </wpg:grpSpPr>
                      <wps:wsp>
                        <wps:cNvPr id="4" name="Straight Connector 493"/>
                        <wps:cNvCnPr/>
                        <wps:spPr>
                          <a:xfrm>
                            <a:off x="5392" y="8652"/>
                            <a:ext cx="0" cy="43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" name="Straight Connector 494"/>
                        <wps:cNvCnPr/>
                        <wps:spPr>
                          <a:xfrm>
                            <a:off x="6547" y="9623"/>
                            <a:ext cx="17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" name="Straight Connector 495"/>
                        <wps:cNvCnPr/>
                        <wps:spPr>
                          <a:xfrm>
                            <a:off x="4432" y="9623"/>
                            <a:ext cx="1" cy="9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Straight Connector 496"/>
                        <wps:cNvCnPr/>
                        <wps:spPr>
                          <a:xfrm>
                            <a:off x="2612" y="6826"/>
                            <a:ext cx="0" cy="139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Straight Connector 497"/>
                        <wps:cNvCnPr/>
                        <wps:spPr>
                          <a:xfrm>
                            <a:off x="2612" y="8217"/>
                            <a:ext cx="82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Rectangle 498"/>
                        <wps:cNvSpPr/>
                        <wps:spPr>
                          <a:xfrm>
                            <a:off x="4839" y="6389"/>
                            <a:ext cx="5362" cy="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依法不予受理的，作出不予受理决定，出具不予受理通知书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0" name="Rectangle 499"/>
                        <wps:cNvSpPr/>
                        <wps:spPr>
                          <a:xfrm>
                            <a:off x="3433" y="8049"/>
                            <a:ext cx="4104" cy="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依法应予受理，出具受理单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1" name="Rectangle 500"/>
                        <wps:cNvSpPr/>
                        <wps:spPr>
                          <a:xfrm>
                            <a:off x="3434" y="9089"/>
                            <a:ext cx="4252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审查报批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2" name="Rectangle 501"/>
                        <wps:cNvSpPr/>
                        <wps:spPr>
                          <a:xfrm>
                            <a:off x="3304" y="10528"/>
                            <a:ext cx="1975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ind w:right="-36" w:rightChars="0"/>
                                <w:jc w:val="left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sz w:val="30"/>
                                  <w:szCs w:val="3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</w:rPr>
                                <w:t>予以许可，向申请人出具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1"/>
                                  <w:szCs w:val="21"/>
                                  <w:lang w:val="en-US" w:eastAsia="zh-CN"/>
                                </w:rPr>
                                <w:t>《银行合作办理人民币对外汇衍生品业务准予许可通知书》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3" name="Rectangle 502"/>
                        <wps:cNvSpPr/>
                        <wps:spPr>
                          <a:xfrm>
                            <a:off x="5790" y="10528"/>
                            <a:ext cx="1747" cy="1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依法作出不予许可决定，并送达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4" name="Straight Connector 503"/>
                        <wps:cNvCnPr/>
                        <wps:spPr>
                          <a:xfrm>
                            <a:off x="2612" y="4693"/>
                            <a:ext cx="17" cy="146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Straight Connector 504"/>
                        <wps:cNvCnPr/>
                        <wps:spPr>
                          <a:xfrm>
                            <a:off x="3570" y="5789"/>
                            <a:ext cx="1269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Straight Connector 505"/>
                        <wps:cNvCnPr/>
                        <wps:spPr>
                          <a:xfrm>
                            <a:off x="3667" y="6593"/>
                            <a:ext cx="1172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Straight Connector 506"/>
                        <wps:cNvCnPr/>
                        <wps:spPr>
                          <a:xfrm flipV="1">
                            <a:off x="8191" y="5266"/>
                            <a:ext cx="0" cy="27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Connector 507"/>
                        <wps:cNvCnPr/>
                        <wps:spPr>
                          <a:xfrm flipH="1">
                            <a:off x="2629" y="4981"/>
                            <a:ext cx="4643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Flowchart: Decision 508"/>
                        <wps:cNvSpPr/>
                        <wps:spPr>
                          <a:xfrm>
                            <a:off x="1007" y="5068"/>
                            <a:ext cx="3274" cy="275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接件并当场（或5个工作日）作出是否受理决定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0" name="Rectangle 509"/>
                        <wps:cNvSpPr/>
                        <wps:spPr>
                          <a:xfrm>
                            <a:off x="4839" y="5537"/>
                            <a:ext cx="5362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材料不全或不符合法定形式的，一次性告知补正材料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1" name="Rectangle 510"/>
                        <wps:cNvSpPr/>
                        <wps:spPr>
                          <a:xfrm>
                            <a:off x="1771" y="3202"/>
                            <a:ext cx="2662" cy="1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rPr>
                                  <w:rFonts w:ascii="宋体" w:hAnsi="宋体" w:cs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Cs w:val="21"/>
                                </w:rPr>
                                <w:t>申请人以现场、邮寄、国家外汇管理局政务服务网上办理系统等提交材料提出书面申请，并提交材料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2" o:spid="_x0000_s1026" o:spt="203" style="position:absolute;left:0pt;margin-left:-39.65pt;margin-top:25.7pt;height:451.35pt;width:459.7pt;z-index:251661312;mso-width-relative:page;mso-height-relative:page;" coordorigin="1007,3202" coordsize="9194,9027" o:gfxdata="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C7x/ALbAAAACgEAAA8AAAAAAAAA&#10;AQAgAAAAIgAAAGRycy9kb3ducmV2LnhtbFBLAQIUABQAAAAIAIdO4kCrpYP+LAUAAEEqAAAOAAAA&#10;AAAAAAEAIAAAACoBAABkcnMvZTJvRG9jLnhtbFBLBQYAAAAABgAGAFkBAADICAAAAAA=&#10;">
                <o:lock v:ext="edit" aspectratio="f"/>
                <v:shape id="Straight Connector 493" o:spid="_x0000_s1026" o:spt="32" type="#_x0000_t32" style="position:absolute;left:5392;top:8652;height:437;width:0;" filled="f" stroked="t" coordsize="21600,21600" o:gfxdata="UEsDBAoAAAAAAIdO4kAAAAAAAAAAAAAAAAAEAAAAZHJzL1BLAwQUAAAACACHTuJAWHl+TbwAAADa&#10;AAAADwAAAGRycy9kb3ducmV2LnhtbEWPT2sCMRTE74V+h/AK3mrWI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5fk2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4" o:spid="_x0000_s1026" o:spt="32" type="#_x0000_t32" style="position:absolute;left:6547;top:9623;height:905;width:17;" filled="f" stroked="t" coordsize="21600,21600" o:gfxdata="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129a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5" o:spid="_x0000_s1026" o:spt="32" type="#_x0000_t32" style="position:absolute;left:4432;top:9623;height:905;width:1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496" o:spid="_x0000_s1026" o:spt="32" type="#_x0000_t32" style="position:absolute;left:2612;top:6826;height:1391;width:0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Straight Connector 497" o:spid="_x0000_s1026" o:spt="32" type="#_x0000_t32" style="position:absolute;left:2612;top:8217;height:0;width:822;" filled="f" stroked="t" coordsize="21600,21600" o:gfxdata="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k0dEi5AAAA2g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498" o:spid="_x0000_s1026" o:spt="1" style="position:absolute;left:4839;top:6389;height:721;width:5362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依法不予受理的，作出不予受理决定，出具不予受理通知书</w:t>
                        </w:r>
                      </w:p>
                      <w:p/>
                    </w:txbxContent>
                  </v:textbox>
                </v:rect>
                <v:rect id="Rectangle 499" o:spid="_x0000_s1026" o:spt="1" style="position:absolute;left:3433;top:8049;height:603;width:4104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依法应予受理，出具受理单</w:t>
                        </w:r>
                      </w:p>
                      <w:p/>
                    </w:txbxContent>
                  </v:textbox>
                </v:rect>
                <v:rect id="Rectangle 500" o:spid="_x0000_s1026" o:spt="1" style="position:absolute;left:3434;top:9089;height:534;width:4252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审查报批</w:t>
                        </w:r>
                      </w:p>
                      <w:p/>
                    </w:txbxContent>
                  </v:textbox>
                </v:rect>
                <v:rect id="Rectangle 501" o:spid="_x0000_s1026" o:spt="1" style="position:absolute;left:3304;top:10528;height:1701;width:1975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ind w:right="-36" w:rightChars="0"/>
                          <w:jc w:val="left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</w:rPr>
                          <w:t>予以许可，向申请人出具</w:t>
                        </w: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lang w:val="en-US" w:eastAsia="zh-CN"/>
                          </w:rPr>
                          <w:t>《银行合作办理人民币对外汇衍生品业务准予许可通知书》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rect>
                <v:rect id="Rectangle 502" o:spid="_x0000_s1026" o:spt="1" style="position:absolute;left:5790;top:10528;height:1172;width:1747;" fillcolor="#FFFFFF" filled="t" stroked="t" coordsize="21600,21600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依法作出不予许可决定，并送达</w:t>
                        </w:r>
                      </w:p>
                      <w:p/>
                    </w:txbxContent>
                  </v:textbox>
                </v:rect>
                <v:shape id="Straight Connector 503" o:spid="_x0000_s1026" o:spt="32" type="#_x0000_t32" style="position:absolute;left:2612;top:4693;height:1468;width:17;" filled="f" stroked="t" coordsize="21600,21600" o:gfxdata="UEsDBAoAAAAAAIdO4kAAAAAAAAAAAAAAAAAEAAAAZHJzL1BLAwQUAAAACACHTuJAYLfv+bsAAADb&#10;AAAADwAAAGRycy9kb3ducmV2LnhtbEVPS2sCMRC+F/ofwhS81axFFl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fv+b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4" o:spid="_x0000_s1026" o:spt="32" type="#_x0000_t32" style="position:absolute;left:3570;top:5789;height:1;width:1269;" filled="f" stroked="t" coordsize="21600,21600" o:gfxdata="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/tKY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5" o:spid="_x0000_s1026" o:spt="32" type="#_x0000_t32" style="position:absolute;left:3667;top:6593;height:0;width:1172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6" o:spid="_x0000_s1026" o:spt="32" type="#_x0000_t32" style="position:absolute;left:8191;top:5266;flip:y;height:271;width:0;" filled="f" stroked="t" coordsize="21600,21600" o:gfxdata="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UJC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Straight Connector 507" o:spid="_x0000_s1026" o:spt="32" type="#_x0000_t32" style="position:absolute;left:2629;top:4981;flip:x;height:1;width:4643;" filled="f" stroked="t" coordsize="21600,21600" o:gfxdata="UEsDBAoAAAAAAIdO4kAAAAAAAAAAAAAAAAAEAAAAZHJzL1BLAwQUAAAACACHTuJAdYuwUr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Y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YuwU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Flowchart: Decision 508" o:spid="_x0000_s1026" o:spt="110" type="#_x0000_t110" style="position:absolute;left:1007;top:5068;height:2759;width:3274;" fillcolor="#FFFFFF" filled="t" stroked="t" coordsize="21600,21600" o:gfxdata="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F9K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接件并当场（或5个工作日）作出是否受理决定</w:t>
                        </w:r>
                      </w:p>
                      <w:p/>
                    </w:txbxContent>
                  </v:textbox>
                </v:shape>
                <v:rect id="Rectangle 509" o:spid="_x0000_s1026" o:spt="1" style="position:absolute;left:4839;top:5537;height:500;width:5362;" fillcolor="#FFFFFF" filled="t" stroked="t" coordsize="21600,21600" o:gfxdata="UEsDBAoAAAAAAIdO4kAAAAAAAAAAAAAAAAAEAAAAZHJzL1BLAwQUAAAACACHTuJAS/DULL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3r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8NQ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材料不全或不符合法定形式的，一次性告知补正材料</w:t>
                        </w:r>
                      </w:p>
                      <w:p/>
                    </w:txbxContent>
                  </v:textbox>
                </v:rect>
                <v:rect id="Rectangle 510" o:spid="_x0000_s1026" o:spt="1" style="position:absolute;left:1771;top:3202;height:1491;width:2662;" fillcolor="#FFFFFF" filled="t" stroked="t" coordsize="21600,21600" o:gfxdata="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vHG3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="34"/>
                          <w:rPr>
                            <w:rFonts w:ascii="宋体" w:hAnsi="宋体" w:cs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Cs w:val="21"/>
                          </w:rPr>
                          <w:t>申请人以现场、邮寄、国家外汇管理局政务服务网上办理系统等提交材料提出书面申请，并提交材料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11430</wp:posOffset>
                </wp:positionV>
                <wp:extent cx="1690370" cy="865505"/>
                <wp:effectExtent l="4445" t="4445" r="19685" b="6350"/>
                <wp:wrapNone/>
                <wp:docPr id="2" name="Rectangle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34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申请人以现场、邮寄、国家外汇管理局政务服务网上办理系统等提交材料提出书面申请，并提交材料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90" o:spid="_x0000_s1026" o:spt="1" style="position:absolute;left:0pt;margin-left:-1.45pt;margin-top:0.9pt;height:68.15pt;width:133.1pt;z-index:251660288;mso-width-relative:page;mso-height-relative:page;" fillcolor="#FFFFFF" filled="t" stroked="t" coordsize="21600,21600" o:gfxdata="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VG0C1gAAAAgBAAAPAAAA&#10;AAAAAAEAIAAAACIAAABkcnMvZG93bnJldi54bWxQSwECFAAUAAAACACHTuJAES0be9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</w:rPr>
                        <w:t>申请人以现场、邮寄、国家外汇管理局政务服务网上办理系统等提交材料提出书面申请，并提交材料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6350</wp:posOffset>
                </wp:positionV>
                <wp:extent cx="1329690" cy="415290"/>
                <wp:effectExtent l="4445" t="4445" r="18415" b="18415"/>
                <wp:wrapNone/>
                <wp:docPr id="1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申请人补全材料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488" o:spid="_x0000_s1026" o:spt="1" style="position:absolute;left:0pt;margin-left:273.6pt;margin-top:0.5pt;height:32.7pt;width:104.7pt;z-index:251659264;mso-width-relative:page;mso-height-relative:page;" fillcolor="#FFFFFF" filled="t" stroked="t" coordsize="21600,21600" o:gfxdata="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hCTJ21gAAAAgBAAAPAAAA&#10;AAAAAAEAIAAAACIAAABkcnMvZG93bnJldi54bWxQSwECFAAUAAAACACHTuJAZUb4Ud4BAADgAwAA&#10;DgAAAAAAAAABACAAAAAlAQAAZHJzL2Uyb0RvYy54bWxQSwUGAAAAAAYABgBZAQAAd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申请人补全材料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0B4F37E2"/>
    <w:rsid w:val="0B5D31E5"/>
    <w:rsid w:val="0F177545"/>
    <w:rsid w:val="16B21388"/>
    <w:rsid w:val="16F465D9"/>
    <w:rsid w:val="1D5453E2"/>
    <w:rsid w:val="20FB0D70"/>
    <w:rsid w:val="23511881"/>
    <w:rsid w:val="2E177DCC"/>
    <w:rsid w:val="2FBA5F21"/>
    <w:rsid w:val="302B2E59"/>
    <w:rsid w:val="33DA7AC6"/>
    <w:rsid w:val="350D22AE"/>
    <w:rsid w:val="3543617D"/>
    <w:rsid w:val="356B68E6"/>
    <w:rsid w:val="35721D9F"/>
    <w:rsid w:val="37282F09"/>
    <w:rsid w:val="37B943A8"/>
    <w:rsid w:val="45F165F5"/>
    <w:rsid w:val="473164C4"/>
    <w:rsid w:val="483643A7"/>
    <w:rsid w:val="50FA3F06"/>
    <w:rsid w:val="57022A45"/>
    <w:rsid w:val="596F5CC8"/>
    <w:rsid w:val="5A9566C1"/>
    <w:rsid w:val="5C4F1FDE"/>
    <w:rsid w:val="640C6DE1"/>
    <w:rsid w:val="6478740D"/>
    <w:rsid w:val="678C3BA1"/>
    <w:rsid w:val="68812FC4"/>
    <w:rsid w:val="6F3E3662"/>
    <w:rsid w:val="6FFD0832"/>
    <w:rsid w:val="70B11708"/>
    <w:rsid w:val="778F60D8"/>
    <w:rsid w:val="77EC549A"/>
    <w:rsid w:val="7C1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5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33"/>
    <w:unhideWhenUsed/>
    <w:qFormat/>
    <w:uiPriority w:val="99"/>
    <w:pPr>
      <w:jc w:val="left"/>
    </w:pPr>
    <w:rPr>
      <w:rFonts w:cs="Times New Roman"/>
    </w:rPr>
  </w:style>
  <w:style w:type="paragraph" w:styleId="8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9">
    <w:name w:val="Balloon Text"/>
    <w:basedOn w:val="1"/>
    <w:link w:val="31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9">
    <w:name w:val="annotation reference"/>
    <w:basedOn w:val="17"/>
    <w:unhideWhenUsed/>
    <w:qFormat/>
    <w:uiPriority w:val="0"/>
    <w:rPr>
      <w:sz w:val="21"/>
      <w:szCs w:val="21"/>
    </w:rPr>
  </w:style>
  <w:style w:type="character" w:styleId="20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页脚 Char"/>
    <w:basedOn w:val="17"/>
    <w:link w:val="10"/>
    <w:qFormat/>
    <w:uiPriority w:val="99"/>
    <w:rPr>
      <w:sz w:val="18"/>
      <w:szCs w:val="18"/>
    </w:rPr>
  </w:style>
  <w:style w:type="character" w:customStyle="1" w:styleId="31">
    <w:name w:val="批注框文本 Char"/>
    <w:basedOn w:val="17"/>
    <w:link w:val="9"/>
    <w:semiHidden/>
    <w:qFormat/>
    <w:uiPriority w:val="0"/>
    <w:rPr>
      <w:sz w:val="18"/>
      <w:szCs w:val="18"/>
    </w:rPr>
  </w:style>
  <w:style w:type="character" w:customStyle="1" w:styleId="32">
    <w:name w:val="HTML 预设格式 Char"/>
    <w:basedOn w:val="17"/>
    <w:link w:val="13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7"/>
    <w:link w:val="7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7"/>
    <w:link w:val="3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7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7"/>
    <w:link w:val="5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7"/>
    <w:semiHidden/>
    <w:qFormat/>
    <w:uiPriority w:val="99"/>
    <w:rPr>
      <w:kern w:val="2"/>
      <w:sz w:val="18"/>
      <w:szCs w:val="18"/>
    </w:rPr>
  </w:style>
  <w:style w:type="character" w:customStyle="1" w:styleId="38">
    <w:name w:val="脚注文本 Char1"/>
    <w:basedOn w:val="17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7"/>
    <w:link w:val="6"/>
    <w:qFormat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7"/>
    <w:semiHidden/>
    <w:qFormat/>
    <w:uiPriority w:val="99"/>
    <w:rPr>
      <w:kern w:val="2"/>
      <w:sz w:val="21"/>
      <w:szCs w:val="22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7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7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7"/>
    <w:link w:val="8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TotalTime>85</TotalTime>
  <ScaleCrop>false</ScaleCrop>
  <LinksUpToDate>false</LinksUpToDate>
  <CharactersWithSpaces>2643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吴晓梅</cp:lastModifiedBy>
  <cp:lastPrinted>2020-05-08T01:02:00Z</cp:lastPrinted>
  <dcterms:modified xsi:type="dcterms:W3CDTF">2023-08-23T07:18:55Z</dcterms:modified>
  <dc:title>编号：57013            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