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default" w:ascii="Times New Roman" w:hAnsi="Times New Roman" w:eastAsia="黑体" w:cs="Times New Roman"/>
          <w:sz w:val="48"/>
          <w:szCs w:val="48"/>
          <w:lang w:val="en-US" w:eastAsia="zh-CN"/>
        </w:rPr>
        <w:t>000171106004</w:t>
      </w:r>
      <w:r>
        <w:rPr>
          <w:rFonts w:hint="eastAsia" w:ascii="Times New Roman" w:hAnsi="Times New Roman" w:eastAsia="黑体" w:cs="Times New Roman"/>
          <w:sz w:val="48"/>
          <w:szCs w:val="48"/>
          <w:lang w:val="en-US" w:eastAsia="zh-CN"/>
        </w:rPr>
        <w:t xml:space="preserve">  </w:t>
      </w:r>
      <w:r>
        <w:rPr>
          <w:rFonts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114300" distR="114300">
            <wp:extent cx="1104900" cy="885825"/>
            <wp:effectExtent l="0" t="0" r="0" b="952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7"/>
                    <a:stretch>
                      <a:fillRect/>
                    </a:stretch>
                  </pic:blipFill>
                  <pic:spPr>
                    <a:xfrm>
                      <a:off x="0" y="0"/>
                      <a:ext cx="1104900" cy="885825"/>
                    </a:xfrm>
                    <a:prstGeom prst="rect">
                      <a:avLst/>
                    </a:prstGeom>
                    <a:noFill/>
                    <a:ln>
                      <a:noFill/>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default" w:ascii="Times New Roman" w:hAnsi="Times New Roman" w:eastAsia="黑体" w:cs="Times New Roman"/>
          <w:sz w:val="52"/>
          <w:szCs w:val="52"/>
          <w:lang w:eastAsia="zh-CN"/>
        </w:rPr>
        <w:t>银行跨境调运外币现钞</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0" w:name="_Toc349079463"/>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rPr>
        <w:t>行政许可事项名称</w:t>
      </w:r>
      <w:r>
        <w:rPr>
          <w:rFonts w:hint="default" w:ascii="Times New Roman" w:hAnsi="Times New Roman" w:eastAsia="仿宋_GB2312" w:cs="Times New Roman"/>
          <w:sz w:val="30"/>
          <w:szCs w:val="30"/>
          <w:lang w:val="en-US" w:eastAsia="zh-CN"/>
        </w:rPr>
        <w:t>及编码</w:t>
      </w:r>
      <w:bookmarkEnd w:id="0"/>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1" w:name="_Toc443077040"/>
      <w:r>
        <w:rPr>
          <w:rFonts w:hint="default" w:ascii="Times New Roman" w:hAnsi="Times New Roman" w:eastAsia="仿宋_GB2312" w:cs="Times New Roman"/>
          <w:sz w:val="30"/>
          <w:szCs w:val="30"/>
          <w:lang w:val="en-US"/>
        </w:rPr>
        <w:t>外币现钞提取、出境携带、跨境调运核准</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rPr>
        <w:t>00017110600Y</w:t>
      </w:r>
      <w:r>
        <w:rPr>
          <w:rFonts w:hint="default" w:ascii="Times New Roman" w:hAnsi="Times New Roman" w:eastAsia="仿宋_GB2312" w:cs="Times New Roman"/>
          <w:sz w:val="30"/>
          <w:szCs w:val="30"/>
          <w:lang w:val="en-US" w:eastAsia="zh-CN"/>
        </w:rPr>
        <w:t>】</w:t>
      </w:r>
      <w:bookmarkEnd w:id="1"/>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2" w:name="_Toc1754290014"/>
      <w:r>
        <w:rPr>
          <w:rFonts w:hint="default" w:ascii="Times New Roman" w:hAnsi="Times New Roman" w:eastAsia="仿宋_GB2312" w:cs="Times New Roman"/>
          <w:sz w:val="30"/>
          <w:szCs w:val="30"/>
          <w:lang w:val="en-US" w:eastAsia="zh-CN"/>
        </w:rPr>
        <w:t>2.行政许可事项子项名称及编码</w:t>
      </w:r>
      <w:bookmarkEnd w:id="2"/>
    </w:p>
    <w:p>
      <w:pPr>
        <w:adjustRightInd w:val="0"/>
        <w:snapToGrid w:val="0"/>
        <w:spacing w:line="360" w:lineRule="auto"/>
        <w:ind w:firstLine="585"/>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rPr>
        <w:t>银行跨境调运外币现钞【000171106004】</w:t>
      </w:r>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3" w:name="_Toc1968156942"/>
      <w:r>
        <w:rPr>
          <w:rFonts w:hint="default" w:ascii="Times New Roman" w:hAnsi="Times New Roman" w:eastAsia="仿宋_GB2312" w:cs="Times New Roman"/>
          <w:sz w:val="30"/>
          <w:szCs w:val="30"/>
          <w:lang w:val="en-US" w:eastAsia="zh-CN"/>
        </w:rPr>
        <w:t>3.行政许可事项业务办理项名称及编码</w:t>
      </w:r>
      <w:bookmarkEnd w:id="3"/>
    </w:p>
    <w:p>
      <w:pPr>
        <w:adjustRightInd w:val="0"/>
        <w:snapToGrid w:val="0"/>
        <w:spacing w:line="360" w:lineRule="auto"/>
        <w:ind w:firstLine="585"/>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val="en-US" w:eastAsia="zh-CN"/>
        </w:rPr>
        <w:t>银行跨境调运外币现钞核准新办</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00017110600401</w:t>
      </w:r>
      <w:r>
        <w:rPr>
          <w:rFonts w:hint="default" w:ascii="Times New Roman" w:hAnsi="Times New Roman" w:eastAsia="仿宋_GB2312" w:cs="Times New Roman"/>
          <w:sz w:val="30"/>
          <w:szCs w:val="30"/>
          <w:lang w:eastAsia="zh-CN"/>
        </w:rPr>
        <w:t>）</w:t>
      </w:r>
    </w:p>
    <w:p>
      <w:pPr>
        <w:adjustRightInd w:val="0"/>
        <w:snapToGrid w:val="0"/>
        <w:spacing w:line="360" w:lineRule="auto"/>
        <w:ind w:firstLine="585"/>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银行跨境调运外币现钞核准停办</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00017110600402</w:t>
      </w:r>
      <w:r>
        <w:rPr>
          <w:rFonts w:hint="default"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default" w:ascii="Times New Roman" w:hAnsi="Times New Roman" w:eastAsia="仿宋_GB2312" w:cs="Times New Roman"/>
          <w:sz w:val="30"/>
          <w:szCs w:val="30"/>
          <w:lang w:val="en-US"/>
        </w:rPr>
        <w:t>银行跨境调运外币现钞</w:t>
      </w:r>
      <w:r>
        <w:rPr>
          <w:rFonts w:ascii="Times New Roman" w:hAnsi="Times New Roman" w:eastAsia="仿宋_GB2312" w:cs="Times New Roman"/>
          <w:sz w:val="30"/>
          <w:szCs w:val="30"/>
        </w:rPr>
        <w:t>”的申请和办理。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《国务院对确需保留的行政审批项目设定行政许可的决定》（国务院令第412号）附件第495项“机构单笔提取超过规定金额外币现钞审批”。</w:t>
      </w:r>
    </w:p>
    <w:p>
      <w:pPr>
        <w:adjustRightInd w:val="0"/>
        <w:snapToGrid w:val="0"/>
        <w:spacing w:line="360" w:lineRule="auto"/>
        <w:ind w:firstLine="585"/>
      </w:pPr>
      <w:bookmarkStart w:id="4" w:name="_Toc1563623373"/>
      <w:bookmarkStart w:id="5" w:name="_Toc385264726"/>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《中华人民共和国外汇管理条例》</w:t>
      </w:r>
      <w:r>
        <w:rPr>
          <w:rFonts w:ascii="Times New Roman" w:hAnsi="Times New Roman" w:eastAsia="仿宋_GB2312" w:cs="Times New Roman"/>
          <w:sz w:val="30"/>
          <w:szCs w:val="30"/>
        </w:rPr>
        <w:t>（国务院令第532号）</w:t>
      </w:r>
      <w:r>
        <w:rPr>
          <w:rFonts w:hint="default" w:ascii="Times New Roman" w:hAnsi="Times New Roman" w:eastAsia="仿宋_GB2312" w:cs="Times New Roman"/>
          <w:sz w:val="30"/>
          <w:szCs w:val="30"/>
          <w:lang w:val="en-US" w:eastAsia="zh-CN"/>
        </w:rPr>
        <w:t>第十五条</w:t>
      </w:r>
      <w:bookmarkEnd w:id="4"/>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eastAsia="zh-CN"/>
        </w:rPr>
        <w:t>携带、申报外币现钞出入境的限额，由国务院外汇管理部门规定”。</w:t>
      </w:r>
      <w:bookmarkEnd w:id="5"/>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585"/>
        <w:rPr>
          <w:rFonts w:hint="default" w:ascii="Times New Roman" w:hAnsi="Times New Roman" w:eastAsia="仿宋_GB2312" w:cs="Times New Roman"/>
          <w:sz w:val="30"/>
          <w:szCs w:val="30"/>
          <w:lang w:eastAsia="zh-CN"/>
        </w:rPr>
      </w:pPr>
      <w:bookmarkStart w:id="6" w:name="_Toc1655635690"/>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《调运外币现钞进出境管理规定》（汇发〔2019〕16号文）</w:t>
      </w:r>
      <w:bookmarkEnd w:id="6"/>
      <w:r>
        <w:rPr>
          <w:rFonts w:hint="default" w:ascii="Times New Roman" w:hAnsi="Times New Roman" w:eastAsia="仿宋_GB2312" w:cs="Times New Roman"/>
          <w:sz w:val="30"/>
          <w:szCs w:val="30"/>
          <w:lang w:eastAsia="zh-CN"/>
        </w:rPr>
        <w:t>第三条、第四条、第七条</w:t>
      </w:r>
    </w:p>
    <w:p>
      <w:pPr>
        <w:adjustRightInd w:val="0"/>
        <w:snapToGrid w:val="0"/>
        <w:spacing w:line="360" w:lineRule="auto"/>
        <w:ind w:firstLine="585"/>
        <w:rPr>
          <w:rFonts w:hint="default" w:ascii="Times New Roman" w:hAnsi="Times New Roman" w:eastAsia="仿宋_GB2312" w:cs="Times New Roman"/>
          <w:sz w:val="30"/>
          <w:szCs w:val="30"/>
          <w:lang w:eastAsia="zh-CN"/>
        </w:rPr>
      </w:pPr>
      <w:bookmarkStart w:id="7" w:name="_Toc1306554825"/>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《国家外汇管理局行政许可实施办法》（国家外汇管理局公告2021年第1号）</w:t>
      </w:r>
      <w:bookmarkEnd w:id="7"/>
      <w:r>
        <w:rPr>
          <w:rFonts w:hint="default" w:ascii="Times New Roman" w:hAnsi="Times New Roman" w:eastAsia="仿宋_GB2312" w:cs="Times New Roman"/>
          <w:sz w:val="30"/>
          <w:szCs w:val="30"/>
          <w:lang w:eastAsia="zh-CN"/>
        </w:rPr>
        <w:t>全文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受理机构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ascii="Times New Roman" w:hAnsi="Times New Roman" w:eastAsia="仿宋_GB2312" w:cs="Times New Roman"/>
          <w:spacing w:val="-1"/>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ascii="Times New Roman" w:hAnsi="Times New Roman" w:eastAsia="仿宋_GB2312" w:cs="Times New Roman"/>
          <w:spacing w:val="-1"/>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银行跨境调运外币现钞核准新办</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申请人是银行总行（外国银行分行视同总行）。</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有调运外币现钞进出境的实际需求。</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银行跨境调运外币现钞核准停办</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已获得调运外币现钞进出境业务资格的境内商业银行（外国银行分行视同总行）。</w:t>
      </w:r>
    </w:p>
    <w:p>
      <w:pPr>
        <w:adjustRightInd w:val="0"/>
        <w:snapToGrid w:val="0"/>
        <w:spacing w:line="360" w:lineRule="auto"/>
        <w:ind w:firstLine="600" w:firstLineChars="200"/>
      </w:pP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有停办调运外币现钞进出境的需求。</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申请材料</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lang w:val="en-US" w:eastAsia="zh-CN"/>
        </w:rPr>
        <w:t>银行跨境调运外币现钞核准新办</w:t>
      </w: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3739" w:type="dxa"/>
            <w:vAlign w:val="center"/>
          </w:tcPr>
          <w:p>
            <w:pPr>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营业执照（统一社会信用代码证）</w:t>
            </w:r>
          </w:p>
        </w:tc>
        <w:tc>
          <w:tcPr>
            <w:tcW w:w="1006" w:type="dxa"/>
            <w:vAlign w:val="center"/>
          </w:tcPr>
          <w:p>
            <w:pPr>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原件或加盖公章的复印件</w:t>
            </w:r>
          </w:p>
        </w:tc>
        <w:tc>
          <w:tcPr>
            <w:tcW w:w="719" w:type="dxa"/>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2</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业务备案表</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Merge w:val="restar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3</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业务管理制度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lang w:val="en-US" w:eastAsia="zh-CN"/>
        </w:rPr>
        <w:t>2.银行跨境调运外币现钞核准停办</w:t>
      </w: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739" w:type="dxa"/>
            <w:vAlign w:val="center"/>
          </w:tcPr>
          <w:p>
            <w:pPr>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银行停办调运外币现钞进出境业务备案表</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1.新办流程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（1）申请人持《银行办理调运外币现钞进出境业务备案表》（一式两份）及有关材料，向所在地国家外汇管理局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bookmarkStart w:id="8" w:name="_GoBack"/>
      <w:bookmarkEnd w:id="8"/>
      <w:r>
        <w:rPr>
          <w:rFonts w:ascii="Times New Roman" w:hAnsi="Times New Roman" w:eastAsia="仿宋_GB2312" w:cs="Times New Roman"/>
          <w:sz w:val="30"/>
          <w:szCs w:val="30"/>
        </w:rPr>
        <w:t>进行备案。</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分局收到申请人内容齐全的备案材料后，在其提交的《银行办理调运外币现钞进出境业务备案表》上加盖签章予以确认，并将其中一份备案表退还申请人留存。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分局应自申请人备案之日起10个工作日内将备案银行情况书面通知当地直属海关，同时抄送国家外汇管理局及辖内</w:t>
      </w:r>
      <w:r>
        <w:rPr>
          <w:rFonts w:hint="eastAsia" w:ascii="Times New Roman" w:hAnsi="Times New Roman" w:eastAsia="仿宋_GB2312" w:cs="Times New Roman"/>
          <w:sz w:val="30"/>
          <w:szCs w:val="30"/>
          <w:lang w:eastAsia="zh-CN"/>
        </w:rPr>
        <w:t>市分局</w:t>
      </w:r>
      <w:r>
        <w:rPr>
          <w:rFonts w:ascii="Times New Roman" w:hAnsi="Times New Roman" w:eastAsia="仿宋_GB2312" w:cs="Times New Roman"/>
          <w:sz w:val="30"/>
          <w:szCs w:val="30"/>
        </w:rPr>
        <w:t>；当地直属海关收到当地</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分局通知后，应在10个工作日内转报海关总署。</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2.停办流程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已获得调运外币现钞进出境业务资格的申请人停办调运外币现钞进出境业务，应当自停办业务之日前30个工作日由其总行向所在地</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分局提交《银行停办调运外币现钞进出境业务备案表》履行停办备案手续。</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分局按照新办流程中第三条程序分别通知有关部门。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一般程序：申请、受理、初审、作出审批决定、出具《银行办理调运外币现钞进出境业务备案表》。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审批结果</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《银行办理调运外币现钞进出境业务备案表》</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十八</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hint="eastAsia" w:ascii="Times New Roman" w:hAnsi="Times New Roman" w:eastAsia="黑体" w:cs="Times New Roman"/>
          <w:sz w:val="30"/>
          <w:szCs w:val="30"/>
        </w:rPr>
      </w:pPr>
      <w:r>
        <w:rPr>
          <w:rFonts w:ascii="Times New Roman" w:hAnsi="Times New Roman" w:eastAsia="黑体" w:cs="Times New Roman"/>
          <w:sz w:val="30"/>
          <w:szCs w:val="30"/>
        </w:rPr>
        <w:t>十九</w:t>
      </w:r>
      <w:r>
        <w:rPr>
          <w:rFonts w:hint="eastAsia" w:ascii="Times New Roman" w:hAnsi="Times New Roman" w:eastAsia="黑体" w:cs="Times New Roman"/>
          <w:sz w:val="30"/>
          <w:szCs w:val="30"/>
          <w:lang w:eastAsia="zh-CN"/>
        </w:rPr>
        <w:t>、</w:t>
      </w:r>
      <w:r>
        <w:rPr>
          <w:rFonts w:hint="eastAsia" w:ascii="Times New Roman" w:hAnsi="Times New Roman" w:eastAsia="黑体" w:cs="Times New Roman"/>
          <w:sz w:val="30"/>
          <w:szCs w:val="30"/>
        </w:rPr>
        <w:t>咨询途径、监督和投诉、办公地址和时间、公开查询方式等</w:t>
      </w:r>
    </w:p>
    <w:p>
      <w:pPr>
        <w:widowControl w:val="0"/>
        <w:wordWrap/>
        <w:autoSpaceDE w:val="0"/>
        <w:autoSpaceDN w:val="0"/>
        <w:adjustRightInd/>
        <w:snapToGrid/>
        <w:spacing w:before="0" w:after="0" w:line="360" w:lineRule="auto"/>
        <w:ind w:left="0" w:leftChars="0" w:right="0" w:firstLine="600" w:firstLineChars="0"/>
        <w:jc w:val="left"/>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hint="eastAsia" w:ascii="Times New Roman" w:hAnsi="Times New Roman" w:eastAsia="仿宋_GB2312" w:cs="Times New Roman"/>
          <w:sz w:val="30"/>
          <w:szCs w:val="30"/>
        </w:rPr>
        <w:t>“业务指南”栏目中公布的电话进行。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见附表1、附表2。</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个工作日以内。</w:t>
      </w:r>
    </w:p>
    <w:p>
      <w:pPr>
        <w:tabs>
          <w:tab w:val="left" w:pos="630"/>
        </w:tabs>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r>
        <w:rPr>
          <w:rFonts w:ascii="Times New Roman" w:hAnsi="Times New Roman" w:eastAsia="仿宋_GB2312" w:cs="Times New Roman"/>
          <w:sz w:val="30"/>
          <w:szCs w:val="30"/>
        </w:rPr>
        <w:t>申请材料要件不全。</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column">
                  <wp:posOffset>-525145</wp:posOffset>
                </wp:positionH>
                <wp:positionV relativeFrom="paragraph">
                  <wp:posOffset>203835</wp:posOffset>
                </wp:positionV>
                <wp:extent cx="6021705" cy="5575935"/>
                <wp:effectExtent l="9525" t="4445" r="7620" b="20320"/>
                <wp:wrapNone/>
                <wp:docPr id="20" name="Group 67"/>
                <wp:cNvGraphicFramePr/>
                <a:graphic xmlns:a="http://schemas.openxmlformats.org/drawingml/2006/main">
                  <a:graphicData uri="http://schemas.microsoft.com/office/word/2010/wordprocessingGroup">
                    <wpg:wgp>
                      <wpg:cNvGrpSpPr/>
                      <wpg:grpSpPr>
                        <a:xfrm>
                          <a:off x="0" y="0"/>
                          <a:ext cx="6021705" cy="5575935"/>
                          <a:chOff x="718" y="3009"/>
                          <a:chExt cx="9483" cy="8781"/>
                        </a:xfrm>
                      </wpg:grpSpPr>
                      <wps:wsp>
                        <wps:cNvPr id="1" name="圆角矩形 20"/>
                        <wps:cNvSpPr/>
                        <wps:spPr>
                          <a:xfrm>
                            <a:off x="1298" y="3009"/>
                            <a:ext cx="2979" cy="168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wps:txbx>
                        <wps:bodyPr upright="1"/>
                      </wps:wsp>
                      <wps:wsp>
                        <wps:cNvPr id="2" name="圆角矩形 17"/>
                        <wps:cNvSpPr/>
                        <wps:spPr>
                          <a:xfrm>
                            <a:off x="7272" y="4592"/>
                            <a:ext cx="2929" cy="67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firstLine="420" w:firstLineChars="200"/>
                              </w:pPr>
                              <w:r>
                                <w:rPr>
                                  <w:rFonts w:hint="eastAsia"/>
                                </w:rPr>
                                <w:t>申请人补全材料</w:t>
                              </w:r>
                            </w:p>
                          </w:txbxContent>
                        </wps:txbx>
                        <wps:bodyPr upright="1"/>
                      </wps:wsp>
                      <wps:wsp>
                        <wps:cNvPr id="3" name="圆角矩形 10"/>
                        <wps:cNvSpPr/>
                        <wps:spPr>
                          <a:xfrm>
                            <a:off x="4730" y="5541"/>
                            <a:ext cx="5362" cy="5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材料不全或不符合法定形式的，一次性告知补正材料</w:t>
                              </w:r>
                            </w:p>
                          </w:txbxContent>
                        </wps:txbx>
                        <wps:bodyPr upright="1"/>
                      </wps:wsp>
                      <wps:wsp>
                        <wps:cNvPr id="4" name="圆角矩形 8"/>
                        <wps:cNvSpPr/>
                        <wps:spPr>
                          <a:xfrm>
                            <a:off x="4699" y="6297"/>
                            <a:ext cx="5362" cy="90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依法不予受理的，作出不予受理决定，出具不予受理通知书</w:t>
                              </w:r>
                            </w:p>
                          </w:txbxContent>
                        </wps:txbx>
                        <wps:bodyPr upright="1"/>
                      </wps:wsp>
                      <wps:wsp>
                        <wps:cNvPr id="5" name="圆角矩形 14"/>
                        <wps:cNvSpPr/>
                        <wps:spPr>
                          <a:xfrm>
                            <a:off x="3434" y="7971"/>
                            <a:ext cx="4218" cy="60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firstLine="525" w:firstLineChars="250"/>
                              </w:pPr>
                              <w:r>
                                <w:rPr>
                                  <w:rFonts w:hint="eastAsia"/>
                                </w:rPr>
                                <w:t>依法应予受理，出具受理单</w:t>
                              </w:r>
                            </w:p>
                          </w:txbxContent>
                        </wps:txbx>
                        <wps:bodyPr upright="1"/>
                      </wps:wsp>
                      <wps:wsp>
                        <wps:cNvPr id="6" name="圆角矩形 1"/>
                        <wps:cNvSpPr/>
                        <wps:spPr>
                          <a:xfrm>
                            <a:off x="3434" y="9011"/>
                            <a:ext cx="4219" cy="70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审查报批</w:t>
                              </w:r>
                            </w:p>
                          </w:txbxContent>
                        </wps:txbx>
                        <wps:bodyPr upright="1"/>
                      </wps:wsp>
                      <wps:wsp>
                        <wps:cNvPr id="7" name="圆角矩形 5"/>
                        <wps:cNvSpPr/>
                        <wps:spPr>
                          <a:xfrm>
                            <a:off x="6174" y="10618"/>
                            <a:ext cx="3617" cy="117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依法作出不予许可决定，并送达</w:t>
                              </w:r>
                            </w:p>
                          </w:txbxContent>
                        </wps:txbx>
                        <wps:bodyPr upright="1"/>
                      </wps:wsp>
                      <wps:wsp>
                        <wps:cNvPr id="8" name="圆角矩形 4"/>
                        <wps:cNvSpPr/>
                        <wps:spPr>
                          <a:xfrm>
                            <a:off x="1848" y="10618"/>
                            <a:ext cx="3952" cy="117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ascii="宋体" w:hAnsi="宋体" w:eastAsia="宋体" w:cs="宋体"/>
                                </w:rPr>
                              </w:pPr>
                              <w:r>
                                <w:rPr>
                                  <w:rFonts w:hint="eastAsia" w:ascii="宋体" w:hAnsi="宋体" w:eastAsia="宋体" w:cs="宋体"/>
                                  <w:sz w:val="21"/>
                                  <w:szCs w:val="21"/>
                                </w:rPr>
                                <w:t>予以许可，向申请人出具加盖签章的《银行办理调运外币现钞进出境业务备案表》</w:t>
                              </w:r>
                            </w:p>
                          </w:txbxContent>
                        </wps:txbx>
                        <wps:bodyPr upright="1"/>
                      </wps:wsp>
                      <wps:wsp>
                        <wps:cNvPr id="9" name="直接箭头连接符 18"/>
                        <wps:cNvCnPr/>
                        <wps:spPr>
                          <a:xfrm rot="5400000">
                            <a:off x="2360" y="4941"/>
                            <a:ext cx="499" cy="0"/>
                          </a:xfrm>
                          <a:prstGeom prst="straightConnector1">
                            <a:avLst/>
                          </a:prstGeom>
                          <a:ln w="9525" cap="flat" cmpd="sng">
                            <a:solidFill>
                              <a:srgbClr val="000000"/>
                            </a:solidFill>
                            <a:prstDash val="solid"/>
                            <a:headEnd type="none" w="med" len="med"/>
                            <a:tailEnd type="triangle" w="med" len="med"/>
                          </a:ln>
                        </wps:spPr>
                        <wps:bodyPr/>
                      </wps:wsp>
                      <wps:wsp>
                        <wps:cNvPr id="10" name="直接箭头连接符 11"/>
                        <wps:cNvCnPr/>
                        <wps:spPr>
                          <a:xfrm>
                            <a:off x="3540" y="5784"/>
                            <a:ext cx="1172" cy="1"/>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11" name="直接箭头连接符 7"/>
                        <wps:cNvCnPr/>
                        <wps:spPr>
                          <a:xfrm>
                            <a:off x="3525" y="6735"/>
                            <a:ext cx="1172" cy="1"/>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12" name="直接箭头连接符 19"/>
                        <wps:cNvCnPr/>
                        <wps:spPr>
                          <a:xfrm flipH="1">
                            <a:off x="2629" y="4981"/>
                            <a:ext cx="4643" cy="1"/>
                          </a:xfrm>
                          <a:prstGeom prst="straightConnector1">
                            <a:avLst/>
                          </a:prstGeom>
                          <a:ln w="9525" cap="flat" cmpd="sng">
                            <a:solidFill>
                              <a:srgbClr val="000000"/>
                            </a:solidFill>
                            <a:prstDash val="solid"/>
                            <a:headEnd type="none" w="med" len="med"/>
                            <a:tailEnd type="triangle" w="med" len="med"/>
                          </a:ln>
                        </wps:spPr>
                        <wps:bodyPr/>
                      </wps:wsp>
                      <wps:wsp>
                        <wps:cNvPr id="13" name="直接箭头连接符 13"/>
                        <wps:cNvCnPr/>
                        <wps:spPr>
                          <a:xfrm>
                            <a:off x="5490" y="8574"/>
                            <a:ext cx="0" cy="437"/>
                          </a:xfrm>
                          <a:prstGeom prst="straightConnector1">
                            <a:avLst/>
                          </a:prstGeom>
                          <a:ln w="9525" cap="flat" cmpd="sng">
                            <a:solidFill>
                              <a:srgbClr val="000000"/>
                            </a:solidFill>
                            <a:prstDash val="solid"/>
                            <a:headEnd type="none" w="med" len="med"/>
                            <a:tailEnd type="triangle" w="med" len="med"/>
                          </a:ln>
                        </wps:spPr>
                        <wps:bodyPr/>
                      </wps:wsp>
                      <wps:wsp>
                        <wps:cNvPr id="14" name="直接箭头连接符 3"/>
                        <wps:cNvCnPr/>
                        <wps:spPr>
                          <a:xfrm>
                            <a:off x="6771" y="9713"/>
                            <a:ext cx="17" cy="905"/>
                          </a:xfrm>
                          <a:prstGeom prst="straightConnector1">
                            <a:avLst/>
                          </a:prstGeom>
                          <a:ln w="9525" cap="flat" cmpd="sng">
                            <a:solidFill>
                              <a:srgbClr val="000000"/>
                            </a:solidFill>
                            <a:prstDash val="solid"/>
                            <a:headEnd type="none" w="med" len="med"/>
                            <a:tailEnd type="triangle" w="med" len="med"/>
                          </a:ln>
                        </wps:spPr>
                        <wps:bodyPr/>
                      </wps:wsp>
                      <wps:wsp>
                        <wps:cNvPr id="15" name="直接箭头连接符 2"/>
                        <wps:cNvCnPr/>
                        <wps:spPr>
                          <a:xfrm>
                            <a:off x="4289" y="9713"/>
                            <a:ext cx="1" cy="905"/>
                          </a:xfrm>
                          <a:prstGeom prst="straightConnector1">
                            <a:avLst/>
                          </a:prstGeom>
                          <a:ln w="9525" cap="flat" cmpd="sng">
                            <a:solidFill>
                              <a:srgbClr val="000000"/>
                            </a:solidFill>
                            <a:prstDash val="solid"/>
                            <a:headEnd type="none" w="med" len="med"/>
                            <a:tailEnd type="triangle" w="med" len="med"/>
                          </a:ln>
                        </wps:spPr>
                        <wps:bodyPr/>
                      </wps:wsp>
                      <wps:wsp>
                        <wps:cNvPr id="16" name="直接箭头连接符 15"/>
                        <wps:cNvCnPr/>
                        <wps:spPr>
                          <a:xfrm>
                            <a:off x="2612" y="6826"/>
                            <a:ext cx="0" cy="1391"/>
                          </a:xfrm>
                          <a:prstGeom prst="straightConnector1">
                            <a:avLst/>
                          </a:prstGeom>
                          <a:ln w="9525" cap="flat" cmpd="sng">
                            <a:solidFill>
                              <a:srgbClr val="000000"/>
                            </a:solidFill>
                            <a:prstDash val="solid"/>
                            <a:headEnd type="none" w="med" len="med"/>
                            <a:tailEnd type="none" w="med" len="med"/>
                          </a:ln>
                        </wps:spPr>
                        <wps:bodyPr/>
                      </wps:wsp>
                      <wps:wsp>
                        <wps:cNvPr id="17" name="直接箭头连接符 16"/>
                        <wps:cNvCnPr/>
                        <wps:spPr>
                          <a:xfrm>
                            <a:off x="2612" y="8217"/>
                            <a:ext cx="822" cy="0"/>
                          </a:xfrm>
                          <a:prstGeom prst="straightConnector1">
                            <a:avLst/>
                          </a:prstGeom>
                          <a:ln w="9525" cap="flat" cmpd="sng">
                            <a:solidFill>
                              <a:srgbClr val="000000"/>
                            </a:solidFill>
                            <a:prstDash val="solid"/>
                            <a:headEnd type="none" w="med" len="med"/>
                            <a:tailEnd type="triangle" w="med" len="med"/>
                          </a:ln>
                        </wps:spPr>
                        <wps:bodyPr/>
                      </wps:wsp>
                      <wps:wsp>
                        <wps:cNvPr id="18" name="流程图: 决策 6"/>
                        <wps:cNvSpPr/>
                        <wps:spPr>
                          <a:xfrm>
                            <a:off x="718" y="5192"/>
                            <a:ext cx="3796" cy="222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接件并当场（或5个工作日）作出是否受理决定</w:t>
                              </w:r>
                            </w:p>
                            <w:p/>
                          </w:txbxContent>
                        </wps:txbx>
                        <wps:bodyPr upright="1"/>
                      </wps:wsp>
                      <wps:wsp>
                        <wps:cNvPr id="19" name="Straight Connector 86"/>
                        <wps:cNvCnPr/>
                        <wps:spPr>
                          <a:xfrm flipV="1">
                            <a:off x="8910" y="5266"/>
                            <a:ext cx="1" cy="27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Group 67" o:spid="_x0000_s1026" o:spt="203" style="position:absolute;left:0pt;margin-left:-41.35pt;margin-top:16.05pt;height:439.05pt;width:474.15pt;z-index:251659264;mso-width-relative:page;mso-height-relative:page;" coordorigin="718,3009" coordsize="9483,8781" o:gfxdata="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">
                <o:lock v:ext="edit" aspectratio="f"/>
                <v:roundrect id="圆角矩形 20" o:spid="_x0000_s1026" o:spt="2" style="position:absolute;left:1298;top:3009;height:1684;width:2979;" fillcolor="#FFFFFF" filled="t" stroked="t" coordsize="21600,21600" arcsize="0.166666666666667" o:gfxdata="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531qa5AAAA2g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26" o:spt="2" style="position:absolute;left:7272;top:4592;height:674;width:2929;"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ind w:firstLine="420" w:firstLineChars="200"/>
                        </w:pPr>
                        <w:r>
                          <w:rPr>
                            <w:rFonts w:hint="eastAsia"/>
                          </w:rPr>
                          <w:t>申请人补全材料</w:t>
                        </w:r>
                      </w:p>
                    </w:txbxContent>
                  </v:textbox>
                </v:roundrect>
                <v:roundrect id="圆角矩形 10" o:spid="_x0000_s1026" o:spt="2" style="position:absolute;left:4730;top:5541;height:500;width:5362;"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r>
                          <w:rPr>
                            <w:rFonts w:hint="eastAsia"/>
                          </w:rPr>
                          <w:t>材料不全或不符合法定形式的，一次性告知补正材料</w:t>
                        </w:r>
                      </w:p>
                    </w:txbxContent>
                  </v:textbox>
                </v:roundrect>
                <v:roundrect id="圆角矩形 8" o:spid="_x0000_s1026" o:spt="2" style="position:absolute;left:4699;top:6297;height:906;width:5362;"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r>
                          <w:rPr>
                            <w:rFonts w:hint="eastAsia"/>
                          </w:rPr>
                          <w:t>依法不予受理的，作出不予受理决定，出具不予受理通知书</w:t>
                        </w:r>
                      </w:p>
                    </w:txbxContent>
                  </v:textbox>
                </v:roundrect>
                <v:roundrect id="圆角矩形 14" o:spid="_x0000_s1026" o:spt="2" style="position:absolute;left:3434;top:7971;height:603;width:4218;" fillcolor="#FFFFFF" filled="t" stroked="t" coordsize="21600,21600" arcsize="0.166666666666667" o:gfxdata="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M0KW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ind w:firstLine="525" w:firstLineChars="250"/>
                        </w:pPr>
                        <w:r>
                          <w:rPr>
                            <w:rFonts w:hint="eastAsia"/>
                          </w:rPr>
                          <w:t>依法应予受理，出具受理单</w:t>
                        </w:r>
                      </w:p>
                    </w:txbxContent>
                  </v:textbox>
                </v:roundrect>
                <v:roundrect id="圆角矩形 1" o:spid="_x0000_s1026" o:spt="2" style="position:absolute;left:3434;top:9011;height:702;width:4219;" fillcolor="#FFFFFF" filled="t" stroked="t" coordsize="21600,21600" arcsize="0.166666666666667" o:gfxdata="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eTtK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pPr>
                        <w:r>
                          <w:rPr>
                            <w:rFonts w:hint="eastAsia"/>
                          </w:rPr>
                          <w:t>审查报批</w:t>
                        </w:r>
                      </w:p>
                    </w:txbxContent>
                  </v:textbox>
                </v:roundrect>
                <v:roundrect id="圆角矩形 5" o:spid="_x0000_s1026" o:spt="2" style="position:absolute;left:6174;top:10618;height:1172;width:3617;" fillcolor="#FFFFFF" filled="t" stroked="t" coordsize="21600,21600" arcsize="0.166666666666667" o:gfxdata="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7S60m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r>
                          <w:rPr>
                            <w:rFonts w:hint="eastAsia"/>
                          </w:rPr>
                          <w:t>依法作出不予许可决定，并送达</w:t>
                        </w:r>
                      </w:p>
                    </w:txbxContent>
                  </v:textbox>
                </v:roundrect>
                <v:roundrect id="圆角矩形 4" o:spid="_x0000_s1026" o:spt="2" style="position:absolute;left:1848;top:10618;height:1172;width:3952;" fillcolor="#FFFFFF" filled="t" stroked="t" coordsize="21600,21600" arcsize="0.166666666666667" o:gfxdata="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01/O7gAAADa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pPr>
                          <w:rPr>
                            <w:rFonts w:hint="eastAsia" w:ascii="宋体" w:hAnsi="宋体" w:eastAsia="宋体" w:cs="宋体"/>
                          </w:rPr>
                        </w:pPr>
                        <w:r>
                          <w:rPr>
                            <w:rFonts w:hint="eastAsia" w:ascii="宋体" w:hAnsi="宋体" w:eastAsia="宋体" w:cs="宋体"/>
                            <w:sz w:val="21"/>
                            <w:szCs w:val="21"/>
                          </w:rPr>
                          <w:t>予以许可，向申请人出具加盖签章的《银行办理调运外币现钞进出境业务备案表》</w:t>
                        </w:r>
                      </w:p>
                    </w:txbxContent>
                  </v:textbox>
                </v:roundrect>
                <v:shape id="直接箭头连接符 18" o:spid="_x0000_s1026" o:spt="32" type="#_x0000_t32" style="position:absolute;left:2360;top:4941;height:0;width:499;rotation:5898240f;" filled="f" stroked="t" coordsize="21600,21600" o:gfxdata="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aoOG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直接箭头连接符 11" o:spid="_x0000_s1026" o:spt="34" type="#_x0000_t34" style="position:absolute;left:3540;top:5784;height:1;width:1172;" filled="f" stroked="t" coordsize="21600,21600" o:gfxdata="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0FD74A&#10;AADbAAAADwAAAAAAAAABACAAAAAiAAAAZHJzL2Rvd25yZXYueG1sUEsBAhQAFAAAAAgAh07iQDMv&#10;BZ47AAAAOQAAABAAAAAAAAAAAQAgAAAADQEAAGRycy9zaGFwZXhtbC54bWxQSwUGAAAAAAYABgBb&#10;AQAAtwMAAAAA&#10;" adj="10800">
                  <v:fill on="f" focussize="0,0"/>
                  <v:stroke color="#000000" joinstyle="miter" endarrow="block"/>
                  <v:imagedata o:title=""/>
                  <o:lock v:ext="edit" aspectratio="f"/>
                </v:shape>
                <v:shape id="直接箭头连接符 7" o:spid="_x0000_s1026" o:spt="34" type="#_x0000_t34" style="position:absolute;left:3525;top:6735;height:1;width:1172;" filled="f" stroked="t" coordsize="21600,21600" o:gfxdata="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oaCUugAAANsA&#10;AAAPAAAAAAAAAAEAIAAAACIAAABkcnMvZG93bnJldi54bWxQSwECFAAUAAAACACHTuJAMy8FnjsA&#10;AAA5AAAAEAAAAAAAAAABACAAAAAJAQAAZHJzL3NoYXBleG1sLnhtbFBLBQYAAAAABgAGAFsBAACz&#10;AwAAAAA=&#10;" adj="10800">
                  <v:fill on="f" focussize="0,0"/>
                  <v:stroke color="#000000" joinstyle="miter" endarrow="block"/>
                  <v:imagedata o:title=""/>
                  <o:lock v:ext="edit" aspectratio="f"/>
                </v:shape>
                <v:shape id="直接箭头连接符 19" o:spid="_x0000_s1026" o:spt="32" type="#_x0000_t32" style="position:absolute;left:2629;top:4981;flip:x;height:1;width:4643;" filled="f" stroked="t" coordsize="21600,21600" o:gfxdata="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jh7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5490;top:8574;height:437;width:0;" filled="f" stroked="t" coordsize="21600,21600" o:gfxdata="UEsDBAoAAAAAAIdO4kAAAAAAAAAAAAAAAAAEAAAAZHJzL1BLAwQUAAAACACHTuJA7153jbsAAADb&#10;AAAADwAAAGRycy9kb3ducmV2LnhtbEVPS2sCMRC+F/ofwhS81awV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153j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直接箭头连接符 3" o:spid="_x0000_s1026" o:spt="32" type="#_x0000_t32" style="position:absolute;left:6771;top:9713;height:905;width:17;"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直接箭头连接符 2" o:spid="_x0000_s1026" o:spt="32" type="#_x0000_t32" style="position:absolute;left:4289;top:9713;height:905;width:1;" filled="f" stroked="t" coordsize="21600,21600" o:gfxdata="UEsDBAoAAAAAAIdO4kAAAAAAAAAAAAAAAAAEAAAAZHJzL1BLAwQUAAAACACHTuJAD/tKYrsAAADb&#10;AAAADwAAAGRycy9kb3ducmV2LnhtbEVPS2sCMRC+F/ofwhS81awFF1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直接箭头连接符 15" o:spid="_x0000_s1026" o:spt="32" type="#_x0000_t32" style="position:absolute;left:2612;top:6826;height:1391;width:0;" filled="f" stroked="t" coordsize="21600,21600" o:gfxdata="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7euP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直接箭头连接符 16" o:spid="_x0000_s1026" o:spt="32" type="#_x0000_t32" style="position:absolute;left:2612;top:8217;height:0;width:822;" filled="f" stroked="t" coordsize="21600,21600" o:gfxdata="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lcY6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流程图: 决策 6" o:spid="_x0000_s1026" o:spt="110" type="#_x0000_t110" style="position:absolute;left:718;top:5192;height:2225;width:3796;" fillcolor="#FFFFFF" filled="t" stroked="t" coordsize="21600,21600" o:gfxdata="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I3Ys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接件并当场（或5个工作日）作出是否受理决定</w:t>
                        </w:r>
                      </w:p>
                      <w:p/>
                    </w:txbxContent>
                  </v:textbox>
                </v:shape>
                <v:shape id="Straight Connector 86" o:spid="_x0000_s1026" o:spt="32" type="#_x0000_t32" style="position:absolute;left:8910;top:5266;flip:y;height:275;width:1;" filled="f" stroked="t" coordsize="21600,21600" o:gfxdata="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HFcm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p>
      <w:pPr>
        <w:widowControl/>
        <w:jc w:val="left"/>
        <w:rPr>
          <w:rFonts w:ascii="Times New Roman" w:hAnsi="Times New Roman" w:eastAsia="仿宋_GB2312" w:cs="Times New Roman"/>
          <w:sz w:val="34"/>
          <w:szCs w:val="34"/>
        </w:rPr>
      </w:pPr>
    </w:p>
    <w:p>
      <w:pPr>
        <w:widowControl/>
        <w:jc w:val="left"/>
        <w:rPr>
          <w:rFonts w:ascii="Times New Roman" w:hAnsi="Times New Roman" w:eastAsia="仿宋_GB2312" w:cs="Times New Roman"/>
          <w:sz w:val="34"/>
          <w:szCs w:val="34"/>
        </w:rPr>
      </w:pPr>
      <w:r>
        <w:rPr>
          <w:rFonts w:ascii="Times New Roman" w:hAnsi="Times New Roman" w:eastAsia="仿宋_GB2312" w:cs="Times New Roman"/>
          <w:sz w:val="34"/>
          <w:szCs w:val="34"/>
        </w:rPr>
        <w:br w:type="page"/>
      </w: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附表1</w:t>
      </w:r>
    </w:p>
    <w:p>
      <w:pPr>
        <w:spacing w:line="360" w:lineRule="auto"/>
        <w:rPr>
          <w:rFonts w:ascii="Times New Roman" w:hAnsi="Times New Roman" w:eastAsia="仿宋_GB2312" w:cs="Times New Roman"/>
          <w:sz w:val="34"/>
          <w:szCs w:val="34"/>
        </w:rPr>
      </w:pPr>
    </w:p>
    <w:p>
      <w:pPr>
        <w:spacing w:after="312"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银行办理调运外币现钞进出境业务备案表（示范文本）</w:t>
      </w:r>
    </w:p>
    <w:tbl>
      <w:tblPr>
        <w:tblStyle w:val="15"/>
        <w:tblW w:w="83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139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tcPr>
          <w:p>
            <w:pPr>
              <w:spacing w:before="93"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tcPr>
          <w:p>
            <w:pPr>
              <w:rPr>
                <w:rFonts w:ascii="Times New Roman" w:hAnsi="Times New Roman" w:eastAsia="仿宋_GB2312" w:cs="Times New Roman"/>
                <w:sz w:val="24"/>
                <w:szCs w:val="24"/>
              </w:rPr>
            </w:pPr>
          </w:p>
        </w:tc>
        <w:tc>
          <w:tcPr>
            <w:tcW w:w="1392"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tcPr>
          <w:p>
            <w:pPr>
              <w:rPr>
                <w:rFonts w:ascii="Times New Roman" w:hAnsi="Times New Roman" w:eastAsia="仿宋_GB2312" w:cs="Times New Roman"/>
                <w:sz w:val="24"/>
                <w:szCs w:val="24"/>
              </w:rPr>
            </w:pPr>
          </w:p>
        </w:tc>
        <w:tc>
          <w:tcPr>
            <w:tcW w:w="1392"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tcPr>
          <w:p>
            <w:pPr>
              <w:rPr>
                <w:rFonts w:ascii="Times New Roman" w:hAnsi="Times New Roman" w:eastAsia="仿宋_GB2312" w:cs="Times New Roman"/>
                <w:sz w:val="24"/>
                <w:szCs w:val="24"/>
              </w:rPr>
            </w:pPr>
          </w:p>
        </w:tc>
        <w:tc>
          <w:tcPr>
            <w:tcW w:w="1392"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4" w:hRule="atLeast"/>
        </w:trPr>
        <w:tc>
          <w:tcPr>
            <w:tcW w:w="8352" w:type="dxa"/>
            <w:gridSpan w:val="6"/>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52" w:type="dxa"/>
            <w:gridSpan w:val="6"/>
            <w:tcBorders>
              <w:bottom w:val="single" w:color="000000"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你行办理调运外币现钞进出境业务，应遵照《调运外币现钞进出境管理规定》（汇发〔2019〕16号）等有关规定执行。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XX分局签章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w:t>
            </w:r>
            <w:r>
              <w:rPr>
                <w:rFonts w:hint="eastAsia" w:ascii="Times New Roman" w:hAnsi="Times New Roman" w:eastAsia="仿宋_GB2312" w:cs="Times New Roman"/>
                <w:sz w:val="24"/>
                <w:szCs w:val="24"/>
                <w:lang w:eastAsia="zh-CN"/>
              </w:rPr>
              <w:t>国家外汇管理局省</w:t>
            </w:r>
            <w:r>
              <w:rPr>
                <w:rFonts w:ascii="Times New Roman" w:hAnsi="Times New Roman" w:eastAsia="仿宋_GB2312" w:cs="Times New Roman"/>
                <w:sz w:val="24"/>
                <w:szCs w:val="24"/>
              </w:rPr>
              <w:t>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附表2</w:t>
      </w:r>
    </w:p>
    <w:p>
      <w:pPr>
        <w:spacing w:line="360" w:lineRule="auto"/>
        <w:rPr>
          <w:rFonts w:ascii="Times New Roman" w:hAnsi="Times New Roman" w:eastAsia="仿宋_GB2312" w:cs="Times New Roman"/>
          <w:sz w:val="34"/>
          <w:szCs w:val="34"/>
        </w:rPr>
      </w:pPr>
    </w:p>
    <w:p>
      <w:pPr>
        <w:spacing w:after="312"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银行停办调运外币现钞进出境业务备案表（示范文本）</w:t>
      </w: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1420"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7102" w:type="dxa"/>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7102"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7102" w:type="dxa"/>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20xx年x月xx日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1"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7102" w:type="dxa"/>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4" w:hRule="atLeast"/>
        </w:trPr>
        <w:tc>
          <w:tcPr>
            <w:tcW w:w="8522" w:type="dxa"/>
            <w:gridSpan w:val="2"/>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cs="Times New Roman"/>
        </w:rPr>
      </w:pPr>
      <w:r>
        <w:rPr>
          <w:rFonts w:ascii="Times New Roman" w:hAnsi="Times New Roman" w:eastAsia="仿宋_GB2312" w:cs="Times New Roman"/>
          <w:sz w:val="24"/>
          <w:szCs w:val="24"/>
        </w:rPr>
        <w:t>3.“停办时间”是指正式停止办理调运外币现钞进出境业务的日期。</w:t>
      </w: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5</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8</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1E"/>
    <w:rsid w:val="00003372"/>
    <w:rsid w:val="00022191"/>
    <w:rsid w:val="00023783"/>
    <w:rsid w:val="00041960"/>
    <w:rsid w:val="00042B58"/>
    <w:rsid w:val="00054B00"/>
    <w:rsid w:val="00055270"/>
    <w:rsid w:val="00057F76"/>
    <w:rsid w:val="0006200B"/>
    <w:rsid w:val="0006560A"/>
    <w:rsid w:val="00072F8A"/>
    <w:rsid w:val="000750C8"/>
    <w:rsid w:val="00080630"/>
    <w:rsid w:val="00091661"/>
    <w:rsid w:val="00092D53"/>
    <w:rsid w:val="00096CBB"/>
    <w:rsid w:val="00097F7B"/>
    <w:rsid w:val="000B1B41"/>
    <w:rsid w:val="000B6901"/>
    <w:rsid w:val="000B728B"/>
    <w:rsid w:val="000C15B3"/>
    <w:rsid w:val="000C2B33"/>
    <w:rsid w:val="000D1995"/>
    <w:rsid w:val="000D58AA"/>
    <w:rsid w:val="000D7478"/>
    <w:rsid w:val="000F4F5C"/>
    <w:rsid w:val="00120DFD"/>
    <w:rsid w:val="00121179"/>
    <w:rsid w:val="0012271F"/>
    <w:rsid w:val="00130519"/>
    <w:rsid w:val="00135BEE"/>
    <w:rsid w:val="0014667A"/>
    <w:rsid w:val="00154B58"/>
    <w:rsid w:val="00157C64"/>
    <w:rsid w:val="00157E81"/>
    <w:rsid w:val="00170126"/>
    <w:rsid w:val="00177059"/>
    <w:rsid w:val="00181D3E"/>
    <w:rsid w:val="00185A51"/>
    <w:rsid w:val="00186BC2"/>
    <w:rsid w:val="00196FAE"/>
    <w:rsid w:val="001A3E49"/>
    <w:rsid w:val="001A72AA"/>
    <w:rsid w:val="001B09C8"/>
    <w:rsid w:val="001B1E2C"/>
    <w:rsid w:val="001C44C7"/>
    <w:rsid w:val="001D65A2"/>
    <w:rsid w:val="001E1407"/>
    <w:rsid w:val="001F08A9"/>
    <w:rsid w:val="001F4BD4"/>
    <w:rsid w:val="001F7297"/>
    <w:rsid w:val="00205D07"/>
    <w:rsid w:val="00212F39"/>
    <w:rsid w:val="00217116"/>
    <w:rsid w:val="00226CDF"/>
    <w:rsid w:val="00231EED"/>
    <w:rsid w:val="00233841"/>
    <w:rsid w:val="002343C8"/>
    <w:rsid w:val="00235736"/>
    <w:rsid w:val="00235F24"/>
    <w:rsid w:val="002417D2"/>
    <w:rsid w:val="00241FE8"/>
    <w:rsid w:val="0024527E"/>
    <w:rsid w:val="00253F7B"/>
    <w:rsid w:val="00263773"/>
    <w:rsid w:val="00263B1F"/>
    <w:rsid w:val="00271A6A"/>
    <w:rsid w:val="00281976"/>
    <w:rsid w:val="00291C17"/>
    <w:rsid w:val="0029313A"/>
    <w:rsid w:val="002A668C"/>
    <w:rsid w:val="002B0B1C"/>
    <w:rsid w:val="002B598D"/>
    <w:rsid w:val="002B61C1"/>
    <w:rsid w:val="002C38CF"/>
    <w:rsid w:val="002D5B1D"/>
    <w:rsid w:val="002E1323"/>
    <w:rsid w:val="002F2D2F"/>
    <w:rsid w:val="002F3868"/>
    <w:rsid w:val="002F633D"/>
    <w:rsid w:val="00300EF5"/>
    <w:rsid w:val="00302119"/>
    <w:rsid w:val="00302E87"/>
    <w:rsid w:val="00307F23"/>
    <w:rsid w:val="00310261"/>
    <w:rsid w:val="00317654"/>
    <w:rsid w:val="0031779B"/>
    <w:rsid w:val="003425E6"/>
    <w:rsid w:val="00343044"/>
    <w:rsid w:val="00344B01"/>
    <w:rsid w:val="00353AC4"/>
    <w:rsid w:val="003616B4"/>
    <w:rsid w:val="00373EC0"/>
    <w:rsid w:val="00382911"/>
    <w:rsid w:val="003A090F"/>
    <w:rsid w:val="003A57B2"/>
    <w:rsid w:val="003A7229"/>
    <w:rsid w:val="003B755F"/>
    <w:rsid w:val="003C0E26"/>
    <w:rsid w:val="003C7132"/>
    <w:rsid w:val="003D5E28"/>
    <w:rsid w:val="003D607A"/>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26B7"/>
    <w:rsid w:val="0046792D"/>
    <w:rsid w:val="00475E80"/>
    <w:rsid w:val="004767DF"/>
    <w:rsid w:val="00493CCC"/>
    <w:rsid w:val="004A0218"/>
    <w:rsid w:val="004A7840"/>
    <w:rsid w:val="004B545A"/>
    <w:rsid w:val="004B7E80"/>
    <w:rsid w:val="004C457E"/>
    <w:rsid w:val="004C48D5"/>
    <w:rsid w:val="004D03B7"/>
    <w:rsid w:val="004D1436"/>
    <w:rsid w:val="004D2003"/>
    <w:rsid w:val="004D4EF1"/>
    <w:rsid w:val="004D57AE"/>
    <w:rsid w:val="004E6A8C"/>
    <w:rsid w:val="004E6C83"/>
    <w:rsid w:val="005056D4"/>
    <w:rsid w:val="0051145B"/>
    <w:rsid w:val="0052193E"/>
    <w:rsid w:val="00526B2B"/>
    <w:rsid w:val="00530798"/>
    <w:rsid w:val="005362B0"/>
    <w:rsid w:val="00542447"/>
    <w:rsid w:val="00564312"/>
    <w:rsid w:val="0056467D"/>
    <w:rsid w:val="005A2981"/>
    <w:rsid w:val="005C3FAA"/>
    <w:rsid w:val="005C6937"/>
    <w:rsid w:val="005C7F02"/>
    <w:rsid w:val="005E1B5C"/>
    <w:rsid w:val="005F0A86"/>
    <w:rsid w:val="005F144A"/>
    <w:rsid w:val="005F1C00"/>
    <w:rsid w:val="0061621E"/>
    <w:rsid w:val="006245C1"/>
    <w:rsid w:val="00624687"/>
    <w:rsid w:val="00630AA8"/>
    <w:rsid w:val="00630B2E"/>
    <w:rsid w:val="00630E72"/>
    <w:rsid w:val="00643911"/>
    <w:rsid w:val="00643D2A"/>
    <w:rsid w:val="0066041A"/>
    <w:rsid w:val="00660FD7"/>
    <w:rsid w:val="00664E11"/>
    <w:rsid w:val="00673B30"/>
    <w:rsid w:val="00696E5D"/>
    <w:rsid w:val="006A1005"/>
    <w:rsid w:val="006A1A06"/>
    <w:rsid w:val="006B49E8"/>
    <w:rsid w:val="006B5B86"/>
    <w:rsid w:val="006C5908"/>
    <w:rsid w:val="006C633E"/>
    <w:rsid w:val="006D56AB"/>
    <w:rsid w:val="006D734F"/>
    <w:rsid w:val="006D74BC"/>
    <w:rsid w:val="006E043F"/>
    <w:rsid w:val="006E4695"/>
    <w:rsid w:val="006E4B8B"/>
    <w:rsid w:val="006E5901"/>
    <w:rsid w:val="006F6D10"/>
    <w:rsid w:val="0071091C"/>
    <w:rsid w:val="00714961"/>
    <w:rsid w:val="00732E0D"/>
    <w:rsid w:val="00744BD5"/>
    <w:rsid w:val="00745748"/>
    <w:rsid w:val="00747B03"/>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0D52"/>
    <w:rsid w:val="00802307"/>
    <w:rsid w:val="00807197"/>
    <w:rsid w:val="0082168E"/>
    <w:rsid w:val="00821968"/>
    <w:rsid w:val="0084639E"/>
    <w:rsid w:val="008471B6"/>
    <w:rsid w:val="00851521"/>
    <w:rsid w:val="0085686A"/>
    <w:rsid w:val="00860878"/>
    <w:rsid w:val="008731FF"/>
    <w:rsid w:val="0088294A"/>
    <w:rsid w:val="00884A76"/>
    <w:rsid w:val="0089282A"/>
    <w:rsid w:val="00892D2C"/>
    <w:rsid w:val="008A4538"/>
    <w:rsid w:val="008A704B"/>
    <w:rsid w:val="008B08D2"/>
    <w:rsid w:val="008B3B99"/>
    <w:rsid w:val="008B4EE5"/>
    <w:rsid w:val="008B5807"/>
    <w:rsid w:val="008C4A01"/>
    <w:rsid w:val="008D5FA0"/>
    <w:rsid w:val="008E2D38"/>
    <w:rsid w:val="008E6FDE"/>
    <w:rsid w:val="008F5724"/>
    <w:rsid w:val="008F5900"/>
    <w:rsid w:val="00902633"/>
    <w:rsid w:val="009027D8"/>
    <w:rsid w:val="0090372F"/>
    <w:rsid w:val="00911E27"/>
    <w:rsid w:val="00911E9A"/>
    <w:rsid w:val="0092129A"/>
    <w:rsid w:val="00925BB2"/>
    <w:rsid w:val="00930C8C"/>
    <w:rsid w:val="009341A0"/>
    <w:rsid w:val="009360EA"/>
    <w:rsid w:val="00947C57"/>
    <w:rsid w:val="00951149"/>
    <w:rsid w:val="00960EDB"/>
    <w:rsid w:val="009622DB"/>
    <w:rsid w:val="009664BC"/>
    <w:rsid w:val="00977A4B"/>
    <w:rsid w:val="00980F02"/>
    <w:rsid w:val="00991B77"/>
    <w:rsid w:val="00997523"/>
    <w:rsid w:val="009A0C5D"/>
    <w:rsid w:val="009A58EB"/>
    <w:rsid w:val="009A759D"/>
    <w:rsid w:val="009C4672"/>
    <w:rsid w:val="009C491B"/>
    <w:rsid w:val="009D0911"/>
    <w:rsid w:val="009D24F8"/>
    <w:rsid w:val="009D688C"/>
    <w:rsid w:val="009F7A36"/>
    <w:rsid w:val="00A05404"/>
    <w:rsid w:val="00A1258B"/>
    <w:rsid w:val="00A249C2"/>
    <w:rsid w:val="00A24FAB"/>
    <w:rsid w:val="00A27E4F"/>
    <w:rsid w:val="00A301E7"/>
    <w:rsid w:val="00A3068F"/>
    <w:rsid w:val="00A42E69"/>
    <w:rsid w:val="00A45CA7"/>
    <w:rsid w:val="00A51415"/>
    <w:rsid w:val="00A6014E"/>
    <w:rsid w:val="00A60356"/>
    <w:rsid w:val="00A66F2C"/>
    <w:rsid w:val="00A81DF1"/>
    <w:rsid w:val="00A90EF3"/>
    <w:rsid w:val="00AA7717"/>
    <w:rsid w:val="00AB131E"/>
    <w:rsid w:val="00AB60F8"/>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AF8"/>
    <w:rsid w:val="00BB2650"/>
    <w:rsid w:val="00BB5B14"/>
    <w:rsid w:val="00BB5BDC"/>
    <w:rsid w:val="00BB7683"/>
    <w:rsid w:val="00BB7B76"/>
    <w:rsid w:val="00BC7E04"/>
    <w:rsid w:val="00BD233D"/>
    <w:rsid w:val="00BD6698"/>
    <w:rsid w:val="00BF05C0"/>
    <w:rsid w:val="00BF4EF0"/>
    <w:rsid w:val="00C01775"/>
    <w:rsid w:val="00C02E44"/>
    <w:rsid w:val="00C147D2"/>
    <w:rsid w:val="00C2075F"/>
    <w:rsid w:val="00C2377A"/>
    <w:rsid w:val="00C23799"/>
    <w:rsid w:val="00C274C9"/>
    <w:rsid w:val="00C31E02"/>
    <w:rsid w:val="00C405CF"/>
    <w:rsid w:val="00C45BC1"/>
    <w:rsid w:val="00C54291"/>
    <w:rsid w:val="00C55166"/>
    <w:rsid w:val="00C672C3"/>
    <w:rsid w:val="00C712B2"/>
    <w:rsid w:val="00C94325"/>
    <w:rsid w:val="00C946F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93E78"/>
    <w:rsid w:val="00DA7D86"/>
    <w:rsid w:val="00DC6E91"/>
    <w:rsid w:val="00DC7514"/>
    <w:rsid w:val="00DD3845"/>
    <w:rsid w:val="00DD3C89"/>
    <w:rsid w:val="00E1687A"/>
    <w:rsid w:val="00E20A2E"/>
    <w:rsid w:val="00E277DE"/>
    <w:rsid w:val="00E27EE9"/>
    <w:rsid w:val="00E3239D"/>
    <w:rsid w:val="00E3254B"/>
    <w:rsid w:val="00E3439B"/>
    <w:rsid w:val="00E42C5F"/>
    <w:rsid w:val="00E56379"/>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620FB"/>
    <w:rsid w:val="00F64129"/>
    <w:rsid w:val="00F6571F"/>
    <w:rsid w:val="00F755CD"/>
    <w:rsid w:val="00F82E7A"/>
    <w:rsid w:val="00F8687E"/>
    <w:rsid w:val="00F8707A"/>
    <w:rsid w:val="00F91E34"/>
    <w:rsid w:val="00F93331"/>
    <w:rsid w:val="00F95549"/>
    <w:rsid w:val="00FA1E24"/>
    <w:rsid w:val="00FA2450"/>
    <w:rsid w:val="00FA24FB"/>
    <w:rsid w:val="00FA632B"/>
    <w:rsid w:val="00FB38EA"/>
    <w:rsid w:val="00FB5E0F"/>
    <w:rsid w:val="00FB6AFF"/>
    <w:rsid w:val="00FC4D8F"/>
    <w:rsid w:val="00FD06D3"/>
    <w:rsid w:val="00FD10C1"/>
    <w:rsid w:val="00FD5574"/>
    <w:rsid w:val="00FD7A1B"/>
    <w:rsid w:val="00FE3157"/>
    <w:rsid w:val="00FE6865"/>
    <w:rsid w:val="00FE6993"/>
    <w:rsid w:val="00FE766F"/>
    <w:rsid w:val="05FA0F59"/>
    <w:rsid w:val="0D3746D2"/>
    <w:rsid w:val="11104562"/>
    <w:rsid w:val="11505CDD"/>
    <w:rsid w:val="14774247"/>
    <w:rsid w:val="20876CE7"/>
    <w:rsid w:val="226F0EB2"/>
    <w:rsid w:val="27457B5B"/>
    <w:rsid w:val="2C8A7331"/>
    <w:rsid w:val="2F7E633F"/>
    <w:rsid w:val="311919AA"/>
    <w:rsid w:val="36317442"/>
    <w:rsid w:val="373A13CC"/>
    <w:rsid w:val="394834FB"/>
    <w:rsid w:val="404A3E69"/>
    <w:rsid w:val="408B605E"/>
    <w:rsid w:val="52162770"/>
    <w:rsid w:val="54D805D6"/>
    <w:rsid w:val="59904467"/>
    <w:rsid w:val="5ABF35BD"/>
    <w:rsid w:val="5DD07C52"/>
    <w:rsid w:val="5E6A31A6"/>
    <w:rsid w:val="5F8B4304"/>
    <w:rsid w:val="6B165013"/>
    <w:rsid w:val="6D2862AF"/>
    <w:rsid w:val="7090654C"/>
    <w:rsid w:val="73F946EC"/>
    <w:rsid w:val="75B75A3D"/>
    <w:rsid w:val="78DC0B71"/>
    <w:rsid w:val="7B432A90"/>
    <w:rsid w:val="7BAF0DAD"/>
    <w:rsid w:val="7DE90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4">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5">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6">
    <w:name w:val="Document Map"/>
    <w:basedOn w:val="1"/>
    <w:link w:val="39"/>
    <w:unhideWhenUsed/>
    <w:qFormat/>
    <w:uiPriority w:val="0"/>
    <w:rPr>
      <w:rFonts w:ascii="宋体"/>
      <w:sz w:val="18"/>
      <w:szCs w:val="18"/>
    </w:rPr>
  </w:style>
  <w:style w:type="paragraph" w:styleId="7">
    <w:name w:val="annotation text"/>
    <w:basedOn w:val="1"/>
    <w:link w:val="32"/>
    <w:unhideWhenUsed/>
    <w:qFormat/>
    <w:uiPriority w:val="99"/>
    <w:pPr>
      <w:jc w:val="left"/>
    </w:pPr>
    <w:rPr>
      <w:rFonts w:cs="Times New Roman"/>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7"/>
    <w:semiHidden/>
    <w:qFormat/>
    <w:uiPriority w:val="0"/>
    <w:rPr>
      <w:rFonts w:ascii="Calibri" w:hAnsi="Calibri" w:eastAsia="宋体" w:cs="Times New Roman"/>
    </w:rPr>
  </w:style>
  <w:style w:type="character" w:customStyle="1" w:styleId="33">
    <w:name w:val="标题 1 Char"/>
    <w:basedOn w:val="16"/>
    <w:link w:val="3"/>
    <w:qFormat/>
    <w:uiPriority w:val="9"/>
    <w:rPr>
      <w:rFonts w:ascii="黑体" w:hAnsi="黑体" w:eastAsia="黑体" w:cs="宋体"/>
      <w:color w:val="000000"/>
      <w:kern w:val="0"/>
      <w:sz w:val="30"/>
      <w:szCs w:val="30"/>
    </w:rPr>
  </w:style>
  <w:style w:type="character" w:customStyle="1" w:styleId="34">
    <w:name w:val="标题 2 Char"/>
    <w:basedOn w:val="16"/>
    <w:link w:val="4"/>
    <w:qFormat/>
    <w:uiPriority w:val="0"/>
    <w:rPr>
      <w:rFonts w:ascii="Cambria" w:hAnsi="Cambria" w:eastAsia="宋体" w:cs="Times New Roman"/>
      <w:b/>
      <w:bCs/>
      <w:sz w:val="32"/>
      <w:szCs w:val="32"/>
    </w:rPr>
  </w:style>
  <w:style w:type="character" w:customStyle="1" w:styleId="35">
    <w:name w:val="标题 3 Char"/>
    <w:basedOn w:val="16"/>
    <w:link w:val="5"/>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6"/>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442</Words>
  <Characters>2522</Characters>
  <Lines>21</Lines>
  <Paragraphs>5</Paragraphs>
  <TotalTime>3</TotalTime>
  <ScaleCrop>false</ScaleCrop>
  <LinksUpToDate>false</LinksUpToDate>
  <CharactersWithSpaces>2959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2020-02-27T03:28:00Z</dcterms:created>
  <dc:creator>裴建君2</dc:creator>
  <cp:lastModifiedBy>吴晓梅</cp:lastModifiedBy>
  <cp:lastPrinted>2019-06-11T06:57:00Z</cp:lastPrinted>
  <dcterms:modified xsi:type="dcterms:W3CDTF">2023-08-23T07:25:23Z</dcterms:modified>
  <dc:title>编号：57016               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