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5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adjustRightInd/>
        <w:snapToGrid/>
        <w:spacing w:line="240" w:lineRule="auto"/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_x0000_s1073" o:spid="_x0000_s1048" type="#_x0000_t32" style="position:absolute;left:4177;top:6405;height:0;width:98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12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仿宋">
    <w:altName w:val="方正舒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theme" Target="theme/theme1.xml"/><Relationship Id="rId14" Type="http://schemas.openxmlformats.org/officeDocument/2006/relationships/image" Target="media/image1.jpeg"/><Relationship Id="rId15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280</Words>
  <Characters>1598</Characters>
  <Lines>13</Lines>
  <Paragraphs>3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姜冰/国际收支处/武汉/PBC</cp:lastModifiedBy>
  <cp:lastPrinted>2019-06-11T06:57:00Z</cp:lastPrinted>
  <dcterms:modified xsi:type="dcterms:W3CDTF">2020-12-15T02:49:40Z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