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省级分局和计划单列市分局办理的内保外贷担保履约形成对外债权登记</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【000171109002】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境内机构（不含银行业金融机构）对外债权核准【00017110900Y】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省级分局和计划单列市分局办理的内保外贷担保履约形成对外债权登记【000171109002】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1.省级分局和计划单列市分局办理的内保外贷担保履约形成对外债权登记(00017110900201)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2.省级分局和计划单列市分局办理的内保外贷担保履约形成对外债权变更登记(00017110900202)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3.省级分局和计划单列市分局办理的内保外贷担保履约形成对外债权注销登记(00017110900203)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（1）《中华人民共和国外汇管理条例》第二十条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（1）《国家外汇管理局关于发布〈跨境担保外汇管理规定〉的通知》（汇发〔2014〕29号）第十五条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（2）《国家外汇管理局行政许可实施办法》（国家外汇管理局公告2021年第1号）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（3）《资本项目外汇业务指引（2024版）》（汇发[2024]12号）3.6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（1）《中华人民共和国外汇管理条例》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国家外汇局省级分局和计划单列市分局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省级/直属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内保外贷担保履约对外债权登记</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（1）省级分局和计划单列市分局办理的内保外贷担保履约形成对外债权登记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内保外贷发生担保履约的，境内担保人或境内反担保人成为对外债权人。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（2）省级分局和计划单列市分局办理的内保外贷担保履约形成对外债权变更登记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对外债权额度、变更或原协议发生变化（如利率调整、期限变更等）的。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（3）省级分局和计划单列市分局办理的内保外贷担保履约形成对外债权注销登记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对外债权到期（含展期到期）收回本息，或未到期但本息已回收完毕的。</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关于发布〈跨境担保外汇管理规定〉的通知》（汇发〔2014〕29号）第十五条债权人为非银行机构的，应在担保履约后15个工作日内到所在地外汇局办理对外债权登记，并按规定办理与对外债权相关的变更、注销手续。</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1.开展“双随机、一公开”监管，依法查处违规行为，适时公开相关案例。2.依法及时处理投诉举报。3.开展数据统计与监测，掌握外汇业务情况。</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（1）省级分局和计划单列市分局办理的内保外贷担保履约形成对外债权登记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营业执照（统一社会信用代码证）原件或加盖公章的复印件1份。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加盖公章的书面申请（包括内保外贷签约登记办理情况、担保履约的原因、履约资金来源、境外债务人还款计划及未来还款资金来源等）原件1份。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担保履约证明材料原件及加盖公章的复印件各1份（验原件，留存复印件）。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（2）省级分局和计划单列市分局办理的内保外贷担保履约形成对外债权变更登记。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变更后的内保外贷担保履约对外债权协议。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（3）省级分局和计划单列市分局办理的内保外贷担保履约形成对外债权注销登记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到期收回对外债权本息相关证明材料。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因客观原因无法按期收回担保履约款本息（或有关债务豁免、债转股、债券转让等交易）的证明材料（如有）。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（1）《国家外汇管理局行政许可实施办法》（国家外汇管理局公告2021年第1号）第八条……申请人为机构的，应出示统一社会信用代码证或营业执照原件，或加盖公章的上述证件复印件……。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（2）《资本项目外汇业务指引（2024版）》（汇发[2024]12号）3.6审核材料：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（1）内保外贷担保履约形成对外债权登记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①书面申请，包括内保外贷签约登记办理情况、担保履约的原因、履约资金来源、境外债务人还款计划及未来还款资金来源等。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②担保履约证明材料。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③营业执照。</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（2）内保外贷担保履约形成对外债权变更登记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②变更后的内保外贷担保履约对外债权协议。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（3）内保外贷担保履约形成对外债权注销登记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②到期收回对外债权本息相关证明材料。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③因客观原因无法按期收回担保履约款本息（或有关债务豁免、债转股、债权转让等交易）的证明材料（如有）。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（3）《国家外汇管理局关于发布〈跨境担保外汇管理规定〉的通知》（汇发〔2014〕29号）第十五条内保外贷业务发生担保履约的，成为对外债权人的境内担保人或反担保人应当按规定办理对外债权登记手续。</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（4）决定作出许可决定书/不予许可决定书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bookmarkStart w:id="0" w:name="_GoBack"/>
      <w:r>
        <w:rPr>
          <w:rFonts w:ascii="方正仿宋_GBK" w:hAnsi="方正仿宋_GBK" w:eastAsia="方正仿宋_GBK" w:cs="方正仿宋_GBK"/>
          <w:sz w:val="28"/>
          <w:szCs w:val="28"/>
        </w:rPr>
        <w:t>（1）《国家外汇管理局行政许可实施办法》第十条外汇局收到行政许可申请后，应区分下列情况分别作出处理：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一</w:t>
      </w:r>
      <w:r>
        <w:rPr>
          <w:rFonts w:ascii="方正仿宋_GBK" w:hAnsi="方正仿宋_GBK" w:eastAsia="方正仿宋_GBK" w:cs="方正仿宋_GBK"/>
          <w:sz w:val="28"/>
          <w:szCs w:val="28"/>
        </w:rPr>
        <w:t>）申请事项属于本局职责范围，但依法不需要取得行政许可的，应即时告知申请人不受理，出具不予受理行政许可通知书；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二</w:t>
      </w:r>
      <w:r>
        <w:rPr>
          <w:rFonts w:ascii="方正仿宋_GBK" w:hAnsi="方正仿宋_GBK" w:eastAsia="方正仿宋_GBK" w:cs="方正仿宋_GBK"/>
          <w:sz w:val="28"/>
          <w:szCs w:val="28"/>
        </w:rPr>
        <w:t>）申请事项不属于本局职责范围，应即时作出不予受理的决定，出具不予受理行政许可通知书，并告知申请人向有关行政机关申请；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申请事项属于本局职责范围，但申请材料不齐全或不符合法定形式的，应当场或在收到申请材料之日起5个工作日内作出要求申请人补正材料的决定，出具补正告知书，一次性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申请人拒不补正，或者自补正告知书送达之日起30日内未能提交全部且符合法定形式的补正材料的，应不予受理，出具不予受理行政许可通知书；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申请材料存在文字笔误等可当场更正的错误的，应允许申请人当场更正，并告知其在修改处签字或盖章确认；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四</w:t>
      </w:r>
      <w:r>
        <w:rPr>
          <w:rFonts w:ascii="方正仿宋_GBK" w:hAnsi="方正仿宋_GBK" w:eastAsia="方正仿宋_GBK" w:cs="方正仿宋_GBK"/>
          <w:sz w:val="28"/>
          <w:szCs w:val="28"/>
        </w:rPr>
        <w:t>）申请事项属于本局职责范围，申请材料齐全、符合法定形式，或者申请人按照要求提交全部补正申请材料的，应受理行政许可申请，出具行政许可受理通知书。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（2）《国家外汇管理局行政许可实施办法》第十四条外汇局对行政许可申请审查后，应区分下列情况分别作出处理：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一</w:t>
      </w:r>
      <w:r>
        <w:rPr>
          <w:rFonts w:ascii="方正仿宋_GBK" w:hAnsi="方正仿宋_GBK" w:eastAsia="方正仿宋_GBK" w:cs="方正仿宋_GBK"/>
          <w:sz w:val="28"/>
          <w:szCs w:val="28"/>
        </w:rPr>
        <w:t>）申请符合法定条件、拟准予行政许可的，应出具准予行政许可的书面决定。准予行政许可的书面决定应载明名称、出具单位、被许可人姓名或名称、行政许可事项、颁发日期、有效期（如有）等；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二</w:t>
      </w:r>
      <w:r>
        <w:rPr>
          <w:rFonts w:ascii="方正仿宋_GBK" w:hAnsi="方正仿宋_GBK" w:eastAsia="方正仿宋_GBK" w:cs="方正仿宋_GBK"/>
          <w:sz w:val="28"/>
          <w:szCs w:val="28"/>
        </w:rPr>
        <w:t>）申请不符合法定条件、拟不予行政许可的，应出具不予行政许可决定书，并说明不予行政许可的理由，告知申请人享有依法申请行政复议的权利</w:t>
      </w:r>
      <w:bookmarkEnd w:id="0"/>
      <w:r>
        <w:rPr>
          <w:rFonts w:ascii="方正仿宋_GBK" w:hAnsi="方正仿宋_GBK" w:eastAsia="方正仿宋_GBK" w:cs="方正仿宋_GBK"/>
          <w:sz w:val="28"/>
          <w:szCs w:val="28"/>
        </w:rPr>
        <w:t>。</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3.规定法定审批时限依据：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《业务登记凭证》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国家外汇局及其分局</w:t>
      </w:r>
    </w:p>
    <w:p>
      <w:r>
        <w:rPr>
          <w:rFonts w:hint="eastAsia" w:ascii="Times New Roman" w:hAnsi="Times New Roman" w:eastAsia="黑体"/>
          <w:sz w:val="28"/>
          <w:szCs w:val="28"/>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1B38"/>
    <w:rsid w:val="007F4042"/>
    <w:rsid w:val="00AE1B38"/>
    <w:rsid w:val="47A0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555</Words>
  <Characters>3170</Characters>
  <Lines>26</Lines>
  <Paragraphs>7</Paragraphs>
  <TotalTime>5</TotalTime>
  <ScaleCrop>false</ScaleCrop>
  <LinksUpToDate>false</LinksUpToDate>
  <CharactersWithSpaces>3718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2024-05-16T11:30:00Z</dcterms:created>
  <dc:creator>kylin</dc:creator>
  <cp:lastModifiedBy>lenovo</cp:lastModifiedBy>
  <dcterms:modified xsi:type="dcterms:W3CDTF">2024-05-18T05:32:16Z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DE16348B0DC948159694F8155BC0E828</vt:lpwstr>
  </property>
</Properties>
</file>