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ind w:right="300"/>
        <w:jc w:val="left"/>
        <w:rPr>
          <w:rFonts w:hint="eastAsia" w:ascii="黑体" w:hAnsi="黑体" w:eastAsia="黑体" w:cs="黑体"/>
          <w:color w:val="auto"/>
          <w:sz w:val="30"/>
          <w:szCs w:val="30"/>
        </w:rPr>
      </w:pPr>
      <w:r>
        <w:rPr>
          <w:rFonts w:hint="eastAsia" w:ascii="黑体" w:hAnsi="黑体" w:eastAsia="黑体" w:cs="黑体"/>
          <w:color w:val="auto"/>
          <w:sz w:val="30"/>
          <w:szCs w:val="30"/>
        </w:rPr>
        <w:t>编号：0001711020</w:t>
      </w:r>
      <w:r>
        <w:rPr>
          <w:rFonts w:hint="eastAsia" w:ascii="黑体" w:hAnsi="黑体" w:eastAsia="黑体" w:cs="黑体"/>
          <w:color w:val="auto"/>
          <w:sz w:val="30"/>
          <w:szCs w:val="30"/>
          <w:lang w:val="en-US" w:eastAsia="zh-CN"/>
        </w:rPr>
        <w:t>10</w:t>
      </w:r>
      <w:r>
        <w:rPr>
          <w:rFonts w:hint="eastAsia" w:ascii="黑体" w:hAnsi="黑体" w:eastAsia="黑体" w:cs="黑体"/>
          <w:color w:val="auto"/>
          <w:sz w:val="30"/>
          <w:szCs w:val="30"/>
        </w:rPr>
        <w:t xml:space="preserve">              </w:t>
      </w:r>
    </w:p>
    <w:p>
      <w:pPr>
        <w:ind w:right="300"/>
        <w:jc w:val="center"/>
        <w:rPr>
          <w:rFonts w:ascii="Times New Roman" w:hAnsi="Times New Roman" w:eastAsia="黑体" w:cs="Times New Roman"/>
          <w:color w:val="auto"/>
          <w:sz w:val="30"/>
          <w:szCs w:val="30"/>
        </w:rPr>
      </w:pPr>
    </w:p>
    <w:p>
      <w:pPr>
        <w:ind w:right="300"/>
        <w:jc w:val="center"/>
        <w:rPr>
          <w:rFonts w:ascii="Times New Roman" w:hAnsi="Times New Roman" w:eastAsia="黑体" w:cs="Times New Roman"/>
          <w:color w:val="auto"/>
          <w:sz w:val="30"/>
          <w:szCs w:val="30"/>
        </w:rPr>
      </w:pPr>
    </w:p>
    <w:p>
      <w:pPr>
        <w:ind w:right="300"/>
        <w:jc w:val="center"/>
        <w:rPr>
          <w:rFonts w:ascii="Times New Roman" w:hAnsi="Times New Roman" w:eastAsia="黑体" w:cs="Times New Roman"/>
          <w:color w:val="auto"/>
          <w:sz w:val="30"/>
          <w:szCs w:val="30"/>
        </w:rPr>
      </w:pPr>
    </w:p>
    <w:p>
      <w:pPr>
        <w:ind w:right="300"/>
        <w:jc w:val="center"/>
        <w:rPr>
          <w:rFonts w:ascii="Times New Roman" w:hAnsi="Times New Roman" w:eastAsia="黑体" w:cs="Times New Roman"/>
          <w:color w:val="auto"/>
          <w:sz w:val="52"/>
          <w:szCs w:val="52"/>
        </w:rPr>
      </w:pPr>
    </w:p>
    <w:p>
      <w:pPr>
        <w:ind w:right="300"/>
        <w:jc w:val="center"/>
        <w:rPr>
          <w:rFonts w:ascii="Times New Roman" w:hAnsi="Times New Roman" w:eastAsia="黑体" w:cs="Times New Roman"/>
          <w:color w:val="auto"/>
          <w:sz w:val="52"/>
          <w:szCs w:val="52"/>
        </w:rPr>
      </w:pPr>
      <w:r>
        <w:rPr>
          <w:rFonts w:ascii="Times New Roman" w:hAnsi="Times New Roman" w:eastAsia="黑体" w:cs="Times New Roman"/>
          <w:color w:val="auto"/>
          <w:sz w:val="52"/>
          <w:szCs w:val="52"/>
        </w:rPr>
        <w:t>“</w:t>
      </w:r>
      <w:r>
        <w:rPr>
          <w:rFonts w:hint="eastAsia" w:ascii="Times New Roman" w:hAnsi="Times New Roman" w:eastAsia="黑体" w:cs="Times New Roman"/>
          <w:color w:val="auto"/>
          <w:sz w:val="52"/>
          <w:szCs w:val="52"/>
        </w:rPr>
        <w:t>省级分局和计划单列市</w:t>
      </w:r>
      <w:r>
        <w:rPr>
          <w:rFonts w:hint="default" w:ascii="Times New Roman" w:hAnsi="Times New Roman" w:eastAsia="黑体" w:cs="Times New Roman"/>
          <w:color w:val="auto"/>
          <w:sz w:val="52"/>
          <w:szCs w:val="52"/>
          <w:lang w:val="en-US" w:eastAsia="zh-CN"/>
        </w:rPr>
        <w:t>分局办理的发生90天以上（不含）延期收、付款的B类企业经常项目收支登记</w:t>
      </w:r>
      <w:r>
        <w:rPr>
          <w:rFonts w:ascii="Times New Roman" w:hAnsi="Times New Roman" w:eastAsia="黑体" w:cs="Times New Roman"/>
          <w:color w:val="auto"/>
          <w:sz w:val="52"/>
          <w:szCs w:val="52"/>
        </w:rPr>
        <w:t xml:space="preserve">” </w:t>
      </w:r>
    </w:p>
    <w:p>
      <w:pPr>
        <w:ind w:right="300"/>
        <w:jc w:val="center"/>
        <w:rPr>
          <w:rFonts w:ascii="Times New Roman" w:hAnsi="Times New Roman" w:eastAsia="黑体" w:cs="Times New Roman"/>
          <w:color w:val="auto"/>
          <w:sz w:val="52"/>
          <w:szCs w:val="52"/>
        </w:rPr>
      </w:pPr>
      <w:r>
        <w:rPr>
          <w:rFonts w:ascii="Times New Roman" w:hAnsi="Times New Roman" w:eastAsia="黑体" w:cs="Times New Roman"/>
          <w:color w:val="auto"/>
          <w:sz w:val="52"/>
          <w:szCs w:val="52"/>
        </w:rPr>
        <w:t>行政审批服务指南</w:t>
      </w:r>
    </w:p>
    <w:p>
      <w:pPr>
        <w:ind w:right="300"/>
        <w:jc w:val="center"/>
        <w:rPr>
          <w:rFonts w:ascii="Times New Roman" w:hAnsi="Times New Roman" w:eastAsia="仿宋_GB2312" w:cs="Times New Roman"/>
          <w:color w:val="auto"/>
          <w:sz w:val="30"/>
          <w:szCs w:val="30"/>
        </w:rPr>
      </w:pPr>
    </w:p>
    <w:p>
      <w:pPr>
        <w:ind w:right="300"/>
        <w:jc w:val="center"/>
        <w:rPr>
          <w:rFonts w:ascii="Times New Roman" w:hAnsi="Times New Roman" w:eastAsia="仿宋_GB2312" w:cs="Times New Roman"/>
          <w:color w:val="auto"/>
          <w:sz w:val="30"/>
          <w:szCs w:val="30"/>
        </w:rPr>
      </w:pPr>
    </w:p>
    <w:p>
      <w:pPr>
        <w:ind w:right="300"/>
        <w:jc w:val="center"/>
        <w:rPr>
          <w:rFonts w:ascii="Times New Roman" w:hAnsi="Times New Roman" w:eastAsia="仿宋_GB2312" w:cs="Times New Roman"/>
          <w:color w:val="auto"/>
          <w:sz w:val="30"/>
          <w:szCs w:val="30"/>
        </w:rPr>
      </w:pPr>
    </w:p>
    <w:p>
      <w:pPr>
        <w:ind w:right="300"/>
        <w:jc w:val="center"/>
        <w:rPr>
          <w:rFonts w:ascii="Times New Roman" w:hAnsi="Times New Roman" w:eastAsia="仿宋_GB2312" w:cs="Times New Roman"/>
          <w:color w:val="auto"/>
          <w:sz w:val="30"/>
          <w:szCs w:val="30"/>
        </w:rPr>
      </w:pPr>
    </w:p>
    <w:p>
      <w:pPr>
        <w:ind w:right="300"/>
        <w:jc w:val="center"/>
        <w:rPr>
          <w:rFonts w:ascii="Times New Roman" w:hAnsi="Times New Roman" w:eastAsia="仿宋_GB2312" w:cs="Times New Roman"/>
          <w:color w:val="auto"/>
          <w:sz w:val="30"/>
          <w:szCs w:val="30"/>
        </w:rPr>
      </w:pPr>
    </w:p>
    <w:p>
      <w:pPr>
        <w:ind w:right="300"/>
        <w:jc w:val="center"/>
        <w:rPr>
          <w:rFonts w:ascii="Times New Roman" w:hAnsi="Times New Roman" w:eastAsia="仿宋_GB2312" w:cs="Times New Roman"/>
          <w:color w:val="auto"/>
          <w:sz w:val="30"/>
          <w:szCs w:val="30"/>
        </w:rPr>
      </w:pPr>
    </w:p>
    <w:p>
      <w:pPr>
        <w:ind w:right="300"/>
        <w:jc w:val="center"/>
        <w:rPr>
          <w:rFonts w:ascii="Times New Roman" w:hAnsi="Times New Roman" w:eastAsia="仿宋_GB2312" w:cs="Times New Roman"/>
          <w:color w:val="auto"/>
          <w:sz w:val="30"/>
          <w:szCs w:val="30"/>
        </w:rPr>
      </w:pPr>
    </w:p>
    <w:p>
      <w:pPr>
        <w:ind w:right="300"/>
        <w:jc w:val="center"/>
        <w:rPr>
          <w:rFonts w:ascii="Times New Roman" w:hAnsi="Times New Roman" w:eastAsia="仿宋_GB2312" w:cs="Times New Roman"/>
          <w:color w:val="auto"/>
          <w:sz w:val="30"/>
          <w:szCs w:val="30"/>
        </w:rPr>
      </w:pPr>
    </w:p>
    <w:p>
      <w:pPr>
        <w:ind w:right="300"/>
        <w:jc w:val="center"/>
        <w:rPr>
          <w:rFonts w:hint="eastAsia" w:ascii="宋体" w:hAnsi="宋体" w:eastAsia="宋体" w:cs="宋体"/>
          <w:b w:val="0"/>
          <w:bCs w:val="0"/>
          <w:color w:val="auto"/>
          <w:sz w:val="40"/>
          <w:szCs w:val="4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40"/>
          <w:szCs w:val="40"/>
          <w:lang w:val="en-US" w:eastAsia="zh-CN"/>
        </w:rPr>
        <w:t>国家外汇管理局广西壮族自治区分局</w:t>
      </w:r>
    </w:p>
    <w:p>
      <w:pPr>
        <w:pStyle w:val="12"/>
        <w:widowControl w:val="0"/>
        <w:wordWrap/>
        <w:autoSpaceDE w:val="0"/>
        <w:autoSpaceDN w:val="0"/>
        <w:adjustRightInd/>
        <w:snapToGrid/>
        <w:spacing w:before="0" w:after="0" w:line="560" w:lineRule="exact"/>
        <w:ind w:left="0" w:leftChars="0" w:right="0" w:firstLine="0" w:firstLineChars="0"/>
        <w:jc w:val="center"/>
        <w:textAlignment w:val="auto"/>
        <w:outlineLvl w:val="1"/>
        <w:rPr>
          <w:rFonts w:hint="eastAsia" w:ascii="宋体" w:hAnsi="宋体" w:eastAsia="宋体" w:cs="宋体"/>
          <w:b w:val="0"/>
          <w:bCs w:val="0"/>
          <w:color w:val="auto"/>
          <w:sz w:val="40"/>
          <w:szCs w:val="40"/>
          <w:lang w:val="en-US" w:eastAsia="zh-CN"/>
        </w:rPr>
      </w:pPr>
    </w:p>
    <w:p>
      <w:pPr>
        <w:ind w:right="300"/>
        <w:rPr>
          <w:rFonts w:ascii="Times New Roman" w:hAnsi="Times New Roman" w:eastAsia="仿宋_GB2312" w:cs="Times New Roman"/>
          <w:color w:val="auto"/>
          <w:sz w:val="30"/>
          <w:szCs w:val="30"/>
        </w:rPr>
        <w:sectPr>
          <w:footerReference r:id="rId4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 w:eastAsia="黑体" w:cs="Times New Roman"/>
          <w:color w:val="auto"/>
          <w:sz w:val="30"/>
          <w:szCs w:val="30"/>
        </w:rPr>
        <w:t xml:space="preserve">    </w:t>
      </w:r>
      <w:r>
        <w:rPr>
          <w:rFonts w:hint="eastAsia" w:ascii="Times New Roman" w:hAnsi="Times New Roman" w:eastAsia="黑体"/>
          <w:sz w:val="28"/>
          <w:szCs w:val="28"/>
        </w:rPr>
        <w:t>一、基本要素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1.</w:t>
      </w:r>
      <w:r>
        <w:rPr>
          <w:rFonts w:ascii="Times New Roman" w:hAnsi="Times New Roman" w:eastAsia="仿宋GB2312"/>
          <w:b/>
          <w:bCs/>
          <w:sz w:val="28"/>
          <w:szCs w:val="28"/>
        </w:rPr>
        <w:t>行政许可事项名称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及编码</w:t>
      </w:r>
    </w:p>
    <w:p>
      <w:pPr>
        <w:spacing w:line="540" w:lineRule="exact"/>
        <w:ind w:firstLine="560" w:firstLineChars="200"/>
        <w:outlineLvl w:val="2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经常项目特定收支业务核准【00017110200Y】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2.</w:t>
      </w:r>
      <w:r>
        <w:rPr>
          <w:rFonts w:ascii="Times New Roman" w:hAnsi="Times New Roman" w:eastAsia="仿宋GB2312"/>
          <w:b/>
          <w:bCs/>
          <w:sz w:val="28"/>
          <w:szCs w:val="28"/>
        </w:rPr>
        <w:t>行政许可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事项子项名称及编码</w:t>
      </w:r>
    </w:p>
    <w:p>
      <w:pPr>
        <w:spacing w:line="360" w:lineRule="auto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省级分局和计划单列市分局办理的发生90天以上（不含）延期收、付款的B类企业经常项目收支登记【000171102010】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3.行政许可事项业务办理项名称及编码</w:t>
      </w:r>
    </w:p>
    <w:p>
      <w:pPr>
        <w:spacing w:line="360" w:lineRule="auto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1.省级分局和计划单列市分局办理的发生90天以上（不含）延期收、付款的B类企业经常项目收支登记(00017110201001)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4.设定依据</w:t>
      </w:r>
    </w:p>
    <w:p>
      <w:pPr>
        <w:spacing w:line="540" w:lineRule="exact"/>
        <w:ind w:firstLine="560" w:firstLineChars="200"/>
        <w:outlineLvl w:val="2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（1）《国务院对确需保留的行政审批项目设定行政许可的决定》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5.实施依据</w:t>
      </w:r>
    </w:p>
    <w:p>
      <w:pPr>
        <w:spacing w:line="540" w:lineRule="exact"/>
        <w:ind w:firstLine="560" w:firstLineChars="200"/>
        <w:outlineLvl w:val="2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（1）《经常项目外汇业务指引（2020年版）》（汇发〔2020〕14号文印发）第三十四条</w:t>
      </w:r>
    </w:p>
    <w:p>
      <w:pPr>
        <w:spacing w:line="540" w:lineRule="exact"/>
        <w:ind w:firstLine="560" w:firstLineChars="200"/>
        <w:outlineLvl w:val="2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（2）《国家外汇管理局行政许可实施办法》（国家外汇管理局公告2021年第1号）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6.监管依据</w:t>
      </w:r>
    </w:p>
    <w:p>
      <w:pPr>
        <w:spacing w:line="540" w:lineRule="exact"/>
        <w:ind w:firstLine="560" w:firstLineChars="200"/>
        <w:outlineLvl w:val="2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（1）《中华人民共和国外汇管理条例》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7.</w:t>
      </w:r>
      <w:r>
        <w:rPr>
          <w:rFonts w:ascii="Times New Roman" w:hAnsi="Times New Roman" w:eastAsia="仿宋GB2312"/>
          <w:b/>
          <w:bCs/>
          <w:sz w:val="28"/>
          <w:szCs w:val="28"/>
        </w:rPr>
        <w:t>实施机关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国家外汇局省级分局和计划单列市分局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8.</w:t>
      </w:r>
      <w:r>
        <w:rPr>
          <w:rFonts w:ascii="Times New Roman" w:hAnsi="Times New Roman" w:eastAsia="仿宋GB2312"/>
          <w:b/>
          <w:bCs/>
          <w:sz w:val="28"/>
          <w:szCs w:val="28"/>
        </w:rPr>
        <w:t>审批层级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国家级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9.行使</w:t>
      </w:r>
      <w:r>
        <w:rPr>
          <w:rFonts w:ascii="Times New Roman" w:hAnsi="Times New Roman" w:eastAsia="仿宋GB2312"/>
          <w:b/>
          <w:bCs/>
          <w:sz w:val="28"/>
          <w:szCs w:val="28"/>
        </w:rPr>
        <w:t>层级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省级/直属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10.</w:t>
      </w:r>
      <w:r>
        <w:rPr>
          <w:rFonts w:ascii="Times New Roman" w:hAnsi="Times New Roman" w:eastAsia="仿宋GB2312"/>
          <w:b/>
          <w:bCs/>
          <w:sz w:val="28"/>
          <w:szCs w:val="28"/>
        </w:rPr>
        <w:t>是否由审批机关受理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是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11.</w:t>
      </w:r>
      <w:r>
        <w:rPr>
          <w:rFonts w:ascii="Times New Roman" w:hAnsi="Times New Roman" w:eastAsia="仿宋GB2312"/>
          <w:b/>
          <w:bCs/>
          <w:sz w:val="28"/>
          <w:szCs w:val="28"/>
        </w:rPr>
        <w:t>受理层级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省级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12.</w:t>
      </w:r>
      <w:r>
        <w:rPr>
          <w:rFonts w:ascii="Times New Roman" w:hAnsi="Times New Roman" w:eastAsia="仿宋GB2312"/>
          <w:b/>
          <w:bCs/>
          <w:sz w:val="28"/>
          <w:szCs w:val="28"/>
        </w:rPr>
        <w:t>是否存在初审环节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否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  <w:highlight w:val="yellow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13.</w:t>
      </w:r>
      <w:r>
        <w:rPr>
          <w:rFonts w:ascii="Times New Roman" w:hAnsi="Times New Roman" w:eastAsia="仿宋GB2312"/>
          <w:b/>
          <w:bCs/>
          <w:sz w:val="28"/>
          <w:szCs w:val="28"/>
        </w:rPr>
        <w:t>初审层级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jc w:val="left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14.</w:t>
      </w:r>
      <w:r>
        <w:rPr>
          <w:rFonts w:ascii="Times New Roman" w:hAnsi="Times New Roman" w:eastAsia="仿宋GB2312"/>
          <w:b/>
          <w:bCs/>
          <w:sz w:val="28"/>
          <w:szCs w:val="28"/>
        </w:rPr>
        <w:t>对应政务服务事项国家级基本目录名称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进口付汇事前审核,出口收汇事前审核</w:t>
      </w:r>
    </w:p>
    <w:p>
      <w:pPr>
        <w:spacing w:line="600" w:lineRule="exact"/>
        <w:ind w:firstLine="562" w:firstLineChars="200"/>
        <w:jc w:val="left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15.要素统一情况：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全部要素全国统一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二、行政许可事项类型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条件型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三、行政许可条件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1.准予行政许可的条件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基于真实合规的交易背景，且在分类监管有效期内，此前导致降级的情况已改善或纠正,且没有发生应被列入B类或C类企业情形的，需要办理发生90天以上（不含）延期收、付款的被列入6个月后的B类企业。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2.</w:t>
      </w:r>
      <w:r>
        <w:rPr>
          <w:rFonts w:ascii="Times New Roman" w:hAnsi="Times New Roman" w:eastAsia="仿宋GB2312"/>
          <w:b/>
          <w:bCs/>
          <w:sz w:val="28"/>
          <w:szCs w:val="28"/>
        </w:rPr>
        <w:t>规定行政许可条件的依据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（1）《经常项目外汇业务指引（2020年版）》（汇发〔2020〕14号文印发）第三十四条B类企业在分类监管有效期内的货物贸易外汇收支业务应按照……下列要求办理：……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四）企业原则上不得办理90天以上（不含）的延期付款业务、不得签订包含90天以上(不含)收汇条款的出口合同;在分类监管有效期内,此前导致降级的情况已改善或纠正,且没有发生应被列入B类或C类企业情形的B类企业,自列入B类之日起6个月后,可经外汇局登记办理该业务……。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四、</w:t>
      </w:r>
      <w:r>
        <w:rPr>
          <w:rFonts w:ascii="Times New Roman" w:hAnsi="Times New Roman" w:eastAsia="黑体"/>
          <w:sz w:val="28"/>
          <w:szCs w:val="28"/>
        </w:rPr>
        <w:t>行政许可服务对象类型</w:t>
      </w:r>
      <w:r>
        <w:rPr>
          <w:rFonts w:hint="eastAsia" w:ascii="Times New Roman" w:hAnsi="Times New Roman" w:eastAsia="黑体"/>
          <w:sz w:val="28"/>
          <w:szCs w:val="28"/>
        </w:rPr>
        <w:t>与改革举措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1.服务对象类型：</w:t>
      </w:r>
      <w:r>
        <w:rPr>
          <w:rFonts w:ascii="方正仿宋_GBK" w:hAnsi="方正仿宋_GBK" w:eastAsia="方正仿宋_GBK" w:cs="方正仿宋_GBK"/>
          <w:sz w:val="28"/>
          <w:szCs w:val="28"/>
        </w:rPr>
        <w:t>企业法人,事业单位法人,社会组织法人,非法人企业,行政机关,其他组织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2.是否为涉企许可事项：</w:t>
      </w:r>
      <w:r>
        <w:rPr>
          <w:rFonts w:ascii="方正仿宋_GBK" w:hAnsi="方正仿宋_GBK" w:eastAsia="方正仿宋_GBK" w:cs="方正仿宋_GBK"/>
          <w:sz w:val="28"/>
          <w:szCs w:val="28"/>
        </w:rPr>
        <w:t>否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3.涉企经营许可事项名称：</w:t>
      </w:r>
      <w:r>
        <w:rPr>
          <w:rFonts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4.许可证件名称：</w:t>
      </w:r>
      <w:r>
        <w:rPr>
          <w:rFonts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5.改革方式：</w:t>
      </w:r>
      <w:r>
        <w:rPr>
          <w:rFonts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ind w:firstLine="562" w:firstLineChars="200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 xml:space="preserve">6.具体改革举措: </w:t>
      </w:r>
      <w:r>
        <w:rPr>
          <w:rFonts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ind w:firstLine="562" w:firstLineChars="200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7.加强事中事后监管措施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（1）开展“双随机、一公开”监管，依法查处违规行为，适时公开相关案例。（2）依法及时处理投诉举报。（3）开展数据统计与监测，掌握外汇业务情况。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五、申请材料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1.申请材料名称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(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  <w:t>1)加盖公章的书面申请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</w:rPr>
        <w:t>原件1份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  <w:t>(内容包括但不限于说明需登记的事项、具体内容和原因);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  <w:t>(2)以信用证、托收方式结算的,提交合同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</w:rPr>
        <w:t>原件或加盖公章的复印件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  <w:t>;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  <w:t>(3)以预付、预收贷款方式结算的,提交合同和发票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</w:rPr>
        <w:t>原件或加盖公章的复印件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  <w:t>;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  <w:t>(4)以其他方式结算的、提交报关单和合同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</w:rPr>
        <w:t>原件或加盖公章的复印件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  <w:t>。货物不报关的可提供运输单据等其他证明材料代替报关单;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  <w:t>(5)收付汇与进出口主体不一致业务，还应区分情况提交捐赠协议、相关部门出具的分立，合并证明文件或其他相关材料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</w:rPr>
        <w:t>原件或加盖公章的复印件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  <w:t>；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  <w:t>(6)发生90天以上延期收款、付款的,还应提交需延期的证明材料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</w:rPr>
        <w:t>原件或加盖公章的复印件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  <w:t>；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  <w:t>(7)出口贸易融资放款还应提交与金融机构签订的协议和发票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</w:rPr>
        <w:t>原件或加盖公章的复印件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  <w:t>;</w:t>
      </w:r>
    </w:p>
    <w:p>
      <w:pPr>
        <w:spacing w:line="600" w:lineRule="exact"/>
        <w:ind w:firstLine="560" w:firstLineChars="200"/>
        <w:outlineLvl w:val="9"/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  <w:t>(8)外币现钞结汇金额达到规定入境申报金额的，还应提交经海关签章的《中华人民共和国海关进境旅客行李物品申报单》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</w:rPr>
        <w:t>原件或加盖公章的复印件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  <w:t>。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sz w:val="28"/>
          <w:szCs w:val="28"/>
        </w:rPr>
      </w:pP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2.</w:t>
      </w:r>
      <w:r>
        <w:rPr>
          <w:rFonts w:ascii="Times New Roman" w:hAnsi="Times New Roman" w:eastAsia="仿宋GB2312"/>
          <w:b/>
          <w:bCs/>
          <w:sz w:val="28"/>
          <w:szCs w:val="28"/>
        </w:rPr>
        <w:t>规定申请材料的依据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（1）《经常项目外汇业务指引（2020年版）》（汇发〔2020〕14号文印发）第三十四条B类企业在分类监管有效期内的货物贸易外汇收支业务应按照……下列要求办理：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（一）以信用证、托收方式结算的，除按国际惯例审核有关商业单证外，还应审核合同；以预付货款、预收货款结算的，应审核合同和发票；以其他方式结算的，应审核相应的报关单和合同，货物不报关的，企业可提供运输单据等其他证明材料代替报关单……。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color w:val="auto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  <w:t>（2）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</w:rPr>
        <w:t>《国家外汇管理局关于进一步优化贸易外汇业务管理的通知》（汇发〔2024〕11号文印发）附件3《货物贸易外汇登记有关业务办理材料》:“....企业到所在地外汇局办理B类企业超可收/付汇额度或90天以上(不含)延期收/付款的贸易外汇收支登记，以及C类企业贸易外汇收支登记时,需提交以下材料: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color w:val="auto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</w:rPr>
        <w:t>1.加盖公章的书面申请(内容包括但不限于说明需登记的事项、具体内容和原因);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color w:val="auto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</w:rPr>
        <w:t>2.以信用证、托收方式结算的,提交合同: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color w:val="auto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</w:rPr>
        <w:t>3.以预付、预收贷款方式结算的,提交合同和发票;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color w:val="auto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</w:rPr>
        <w:t>4.以其他方式结算的,提交报关单和合同。货物不报关的可提供运输单据等其他证明材料代替报关单;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color w:val="auto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</w:rPr>
        <w:t>5.收付汇与进出口主体不一致业务，还应区分情况提交捐赠协议、相关部门出具的分立、合并证明文件或其他相关材料；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color w:val="auto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</w:rPr>
        <w:t>6.发生90天以上延期收款、付款的，还应提交需延期的证明材料；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color w:val="auto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</w:rPr>
        <w:t>7.出口贸易融资放款还应提交与金融机构签订的协议和发票;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</w:rPr>
        <w:t>8.外币现钞结汇金额达到规定入境申报金额的，还应提交经海关签章的《中华人民共和国海关进境旅客行李物品申报单》。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六、中介服务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1.有无法定中介服务事项：</w:t>
      </w:r>
      <w:r>
        <w:rPr>
          <w:rFonts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2.</w:t>
      </w:r>
      <w:r>
        <w:rPr>
          <w:rFonts w:ascii="Times New Roman" w:hAnsi="Times New Roman" w:eastAsia="仿宋GB2312"/>
          <w:b/>
          <w:bCs/>
          <w:sz w:val="28"/>
          <w:szCs w:val="28"/>
        </w:rPr>
        <w:t>中介服务事项名称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3.</w:t>
      </w:r>
      <w:r>
        <w:rPr>
          <w:rFonts w:ascii="Times New Roman" w:hAnsi="Times New Roman" w:eastAsia="仿宋GB2312"/>
          <w:b/>
          <w:bCs/>
          <w:sz w:val="28"/>
          <w:szCs w:val="28"/>
        </w:rPr>
        <w:t>设定中介服务事项的依据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 xml:space="preserve">: </w:t>
      </w:r>
      <w:r>
        <w:rPr>
          <w:rFonts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4.</w:t>
      </w:r>
      <w:r>
        <w:rPr>
          <w:rFonts w:ascii="Times New Roman" w:hAnsi="Times New Roman" w:eastAsia="仿宋GB2312"/>
          <w:b/>
          <w:bCs/>
          <w:sz w:val="28"/>
          <w:szCs w:val="28"/>
        </w:rPr>
        <w:t>提供中介服务的机构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5.</w:t>
      </w:r>
      <w:r>
        <w:rPr>
          <w:rFonts w:ascii="Times New Roman" w:hAnsi="Times New Roman" w:eastAsia="仿宋GB2312"/>
          <w:b/>
          <w:bCs/>
          <w:sz w:val="28"/>
          <w:szCs w:val="28"/>
        </w:rPr>
        <w:t>中介服务事项的收费性质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七、审批程序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1.办理行政许可的程序环节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申请人申请；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审批机构受理/不予受理；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审批机构审查；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决定作出许可决定书/不予许可决定书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2.规定行政许可程序的依据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（1）《国家外汇管理局行政许可实施办法》（国家外汇管理局公告2021年第1号）第十条外汇局收到行政许可申请后，应区分下列情况分别作出处理：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（一）申请事项属于本局职责范围，但依法不需要取得行政许可的，应即时告知申请人不受理，出具不予受理行政许可通知书；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（二）申请事项不属于本局职责范围，应即时作出不予受理的决定，出具不予受理行政许可通知书，并告知申请人向有关行政机关申请；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三）申请事项属于本局职责范围，但申请材料不齐全或不符合法定形式的，应当场或在收到申请材料之日起5个工作日内作出要求申请人补正材料的决定，出具补正告知书，一次性告知申请人需要补正的全部内容；逾期不告知的，自收到申请材料之日起即为受理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申请人拒不补正，或者自补正告知书送达之日起30日内未能提交全部且符合法定形式的补正材料的，应不予受理，出具不予受理行政许可通知书；申请材料存在文字笔误等可当场更正的错误的，应允许申请人当场更正，并告知其在修改处签字或盖章确认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（四）申请事项属于本局职责范围，申请材料齐全、符合法定形式，或者申请人按照要求提交全部补正申请材料的，应受理行政许可申请，出具行政许可受理通知书。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（2）《国家外汇管理局行政许可实施办法》（国家外汇管理局公告2021年第1号）第十四条外汇局对行政许可申请审查后，应区分下列情况分别作出处理：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（一）申请符合法定条件、拟准予行政许可的，应出具准予行政许可的书面决定。准予行政许可的书面决定应载明名称、出具单位、被许可人姓名或名称、行政许可事项、颁发日期、有效期（如有）等；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（二）申请不符合法定条件、拟不予行政许可的，应出具不予行政许可决定书，并说明不予行政许可的理由，告知申请人享有依法申请行政复议的权利。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3.</w:t>
      </w:r>
      <w:r>
        <w:rPr>
          <w:rFonts w:ascii="Times New Roman" w:hAnsi="Times New Roman" w:eastAsia="仿宋GB2312"/>
          <w:b/>
          <w:bCs/>
          <w:sz w:val="28"/>
          <w:szCs w:val="28"/>
        </w:rPr>
        <w:t>是否需要现场勘验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否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4.</w:t>
      </w:r>
      <w:r>
        <w:rPr>
          <w:rFonts w:ascii="Times New Roman" w:hAnsi="Times New Roman" w:eastAsia="仿宋GB2312"/>
          <w:b/>
          <w:bCs/>
          <w:sz w:val="28"/>
          <w:szCs w:val="28"/>
        </w:rPr>
        <w:t>是否需要组织听证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否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5.</w:t>
      </w:r>
      <w:r>
        <w:rPr>
          <w:rFonts w:ascii="Times New Roman" w:hAnsi="Times New Roman" w:eastAsia="仿宋GB2312"/>
          <w:b/>
          <w:bCs/>
          <w:sz w:val="28"/>
          <w:szCs w:val="28"/>
        </w:rPr>
        <w:t>是否需要招标、拍卖、挂牌交易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否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6.</w:t>
      </w:r>
      <w:r>
        <w:rPr>
          <w:rFonts w:ascii="Times New Roman" w:hAnsi="Times New Roman" w:eastAsia="仿宋GB2312"/>
          <w:b/>
          <w:bCs/>
          <w:sz w:val="28"/>
          <w:szCs w:val="28"/>
        </w:rPr>
        <w:t>是否需要检验、检测、检疫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否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7.</w:t>
      </w:r>
      <w:r>
        <w:rPr>
          <w:rFonts w:ascii="Times New Roman" w:hAnsi="Times New Roman" w:eastAsia="仿宋GB2312"/>
          <w:b/>
          <w:bCs/>
          <w:sz w:val="28"/>
          <w:szCs w:val="28"/>
        </w:rPr>
        <w:t>是否需要鉴定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否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8.</w:t>
      </w:r>
      <w:r>
        <w:rPr>
          <w:rFonts w:ascii="Times New Roman" w:hAnsi="Times New Roman" w:eastAsia="仿宋GB2312"/>
          <w:b/>
          <w:bCs/>
          <w:sz w:val="28"/>
          <w:szCs w:val="28"/>
        </w:rPr>
        <w:t>是否需要专家评审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否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9.</w:t>
      </w:r>
      <w:r>
        <w:rPr>
          <w:rFonts w:ascii="Times New Roman" w:hAnsi="Times New Roman" w:eastAsia="仿宋GB2312"/>
          <w:b/>
          <w:bCs/>
          <w:sz w:val="28"/>
          <w:szCs w:val="28"/>
        </w:rPr>
        <w:t>是否需要向社会公示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否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10.</w:t>
      </w:r>
      <w:r>
        <w:rPr>
          <w:rFonts w:ascii="Times New Roman" w:hAnsi="Times New Roman" w:eastAsia="仿宋GB2312"/>
          <w:b/>
          <w:bCs/>
          <w:sz w:val="28"/>
          <w:szCs w:val="28"/>
        </w:rPr>
        <w:t>是否实行告知承诺办理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否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11.审批机关是否委托服务机构开展技术性服务：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否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八、受理和审批时限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1.承诺受理时限：</w:t>
      </w:r>
      <w:r>
        <w:rPr>
          <w:rFonts w:ascii="方正仿宋_GBK" w:hAnsi="方正仿宋_GBK" w:eastAsia="方正仿宋_GBK" w:cs="方正仿宋_GBK"/>
          <w:sz w:val="28"/>
          <w:szCs w:val="28"/>
        </w:rPr>
        <w:t>5个工作日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2.法定审批时限：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20个工作日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3.规定法定审批时限依据</w:t>
      </w:r>
    </w:p>
    <w:p>
      <w:pPr>
        <w:spacing w:line="600" w:lineRule="exact"/>
        <w:ind w:firstLine="560" w:firstLineChars="200"/>
        <w:rPr>
          <w:rFonts w:ascii="Times New Roman" w:hAnsi="Times New Roman" w:eastAsia="仿宋GB2312"/>
          <w:sz w:val="32"/>
          <w:szCs w:val="32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（1）《国家外汇管理局行政许可实施办法》（国家外汇管理局公告2021年第1号）第十五条外汇局应根据以下要求确保行政许可依法按时完成：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（一）能当场作出决定的，应当场作出行政许可决定。当场作出行政许可决定的，可不出具行政许可受理通知书；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二）不能当场作出决定的，应自受理之日起20个工作日内作出决定；20个工作日内不能作出决定的，经本级外汇局局长或者主管副局长批准，可延长10个工作日，并向申请人出具延长行政许可办理期限通知书，说明延长期限的理由。行政许可办理期限只能延长一次。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外汇局征求其他部门意见的时间计算在以上办理时限内；依法需要听证、检验、检测、鉴定、专家评审等的时间，不计算在上述办理时限内。</w:t>
      </w:r>
    </w:p>
    <w:p>
      <w:pPr>
        <w:spacing w:line="600" w:lineRule="exact"/>
        <w:ind w:firstLine="560" w:firstLineChars="200"/>
        <w:rPr>
          <w:rFonts w:ascii="Times New Roman" w:hAnsi="Times New Roman" w:eastAsia="仿宋GB2312"/>
          <w:sz w:val="32"/>
          <w:szCs w:val="32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各级外汇局对行政许可办理时限具有对外承诺的，应按照其承诺的时限完成；对外承诺的时限应短于20个工作日。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4.承诺审批时限：</w:t>
      </w:r>
      <w:r>
        <w:rPr>
          <w:rFonts w:ascii="方正仿宋_GBK" w:hAnsi="方正仿宋_GBK" w:eastAsia="方正仿宋_GBK" w:cs="方正仿宋_GBK"/>
          <w:sz w:val="28"/>
          <w:szCs w:val="28"/>
        </w:rPr>
        <w:t>20个工作日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九、收费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1.办理行政许可是否收费：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否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 xml:space="preserve">2.收费项目的名称、收费项目的标准、设定收费项目的依据、规定收费标准的依据: 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十、行政许可证件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1.审批结果类型：</w:t>
      </w:r>
      <w:r>
        <w:rPr>
          <w:rFonts w:ascii="方正仿宋_GBK" w:hAnsi="方正仿宋_GBK" w:eastAsia="方正仿宋_GBK" w:cs="方正仿宋_GBK"/>
          <w:sz w:val="28"/>
          <w:szCs w:val="28"/>
        </w:rPr>
        <w:t>批文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2.审批结果名称：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《贸易外汇业务登记表》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3.审批结果的有效期限：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原则上不超过1个月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4.规定审批结果有效期限的依据</w:t>
      </w:r>
    </w:p>
    <w:p>
      <w:pPr>
        <w:spacing w:line="600" w:lineRule="exact"/>
        <w:ind w:firstLine="560" w:firstLineChars="200"/>
        <w:rPr>
          <w:rFonts w:ascii="Times New Roman" w:hAnsi="Times New Roman" w:eastAsia="仿宋GB2312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（1）国家外汇管理局关于</w:t>
      </w:r>
      <w:r>
        <w:rPr>
          <w:rFonts w:hint="eastAsia" w:ascii="方正仿宋_GBK" w:hAnsi="方正仿宋_GBK" w:eastAsia="方正仿宋_GBK" w:cs="方正仿宋_GBK"/>
          <w:sz w:val="28"/>
          <w:szCs w:val="28"/>
          <w:lang w:eastAsia="zh-CN"/>
        </w:rPr>
        <w:t>进一步优化贸易外汇业务管理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的通知》（汇发〔20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24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〕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11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号）附件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《</w:t>
      </w:r>
      <w:r>
        <w:rPr>
          <w:rFonts w:hint="eastAsia" w:ascii="方正仿宋_GBK" w:hAnsi="方正仿宋_GBK" w:eastAsia="方正仿宋_GBK" w:cs="方正仿宋_GBK"/>
          <w:sz w:val="28"/>
          <w:szCs w:val="28"/>
          <w:lang w:eastAsia="zh-CN"/>
        </w:rPr>
        <w:t>贸易外汇业务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登记表》的有效期原则上不超过1个月。</w:t>
      </w:r>
      <w:bookmarkStart w:id="6" w:name="_GoBack"/>
      <w:bookmarkEnd w:id="6"/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5.是否需要办理审批结果变更手续：</w:t>
      </w:r>
      <w:r>
        <w:rPr>
          <w:rFonts w:ascii="方正仿宋_GBK" w:hAnsi="方正仿宋_GBK" w:eastAsia="方正仿宋_GBK" w:cs="方正仿宋_GBK"/>
          <w:sz w:val="28"/>
          <w:szCs w:val="28"/>
        </w:rPr>
        <w:t>否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 xml:space="preserve">6.办理审批结果变更手续的要求: 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7.是否需要办理审批结果延续手续：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否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 xml:space="preserve">8.办理审批结果延续手续的要求: 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 xml:space="preserve">9.审批结果的有效地域范围: 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全国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 xml:space="preserve">10.规定审批结果有效地域范围的依据: 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十一、行政许可数量限制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1.有无行政许可数量限制：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2.公布数量限制的方式：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3.公布数量限制的周期：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4.在数量限制条件下实施行政许可的方式：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jc w:val="left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 xml:space="preserve">5.规定在数量限制条件下实施行政许可方式的依据: 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十二、行政许可后年检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1.有无年检要求：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 xml:space="preserve">2.设定年检要求的依据: 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3.年检周期：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4.年检是否要求报送材料：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5.年检报送材料名称：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6.年检是否收费：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 xml:space="preserve">7.年检收费项目的名称、年检收费项目的标准、设定年检收费项目的依据、规定年检项目收费标准的依据: 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8.通过年检的证明或者标志：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十三、行政许可后年报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1.</w:t>
      </w:r>
      <w:r>
        <w:rPr>
          <w:rFonts w:ascii="Times New Roman" w:hAnsi="Times New Roman" w:eastAsia="仿宋GB2312"/>
          <w:b/>
          <w:bCs/>
          <w:sz w:val="28"/>
          <w:szCs w:val="28"/>
        </w:rPr>
        <w:t>有无年报要求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2.</w:t>
      </w:r>
      <w:r>
        <w:rPr>
          <w:rFonts w:ascii="Times New Roman" w:hAnsi="Times New Roman" w:eastAsia="仿宋GB2312"/>
          <w:b/>
          <w:bCs/>
          <w:sz w:val="28"/>
          <w:szCs w:val="28"/>
        </w:rPr>
        <w:t>年报报送材料名称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3.</w:t>
      </w:r>
      <w:r>
        <w:rPr>
          <w:rFonts w:ascii="Times New Roman" w:hAnsi="Times New Roman" w:eastAsia="仿宋GB2312"/>
          <w:b/>
          <w:bCs/>
          <w:sz w:val="28"/>
          <w:szCs w:val="28"/>
        </w:rPr>
        <w:t>设定年报要求的依据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 xml:space="preserve">: 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4.</w:t>
      </w:r>
      <w:r>
        <w:rPr>
          <w:rFonts w:ascii="Times New Roman" w:hAnsi="Times New Roman" w:eastAsia="仿宋GB2312"/>
          <w:b/>
          <w:bCs/>
          <w:sz w:val="28"/>
          <w:szCs w:val="28"/>
        </w:rPr>
        <w:t>年报周期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十四、监管主体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国家外汇局及其分局</w:t>
      </w:r>
    </w:p>
    <w:p>
      <w:pPr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eastAsia="黑体"/>
          <w:sz w:val="28"/>
          <w:szCs w:val="28"/>
        </w:rPr>
        <w:t>十五、</w:t>
      </w:r>
      <w:r>
        <w:rPr>
          <w:rFonts w:eastAsia="黑体"/>
          <w:sz w:val="28"/>
          <w:szCs w:val="28"/>
        </w:rPr>
        <w:t>行政许可办理地址和时间</w:t>
      </w:r>
    </w:p>
    <w:p>
      <w:pPr>
        <w:spacing w:line="540" w:lineRule="exact"/>
        <w:ind w:firstLine="562" w:firstLineChars="200"/>
        <w:outlineLvl w:val="2"/>
        <w:rPr>
          <w:rFonts w:hint="eastAsia" w:ascii="方正仿宋_GBK" w:hAnsi="方正仿宋_GBK" w:eastAsia="方正仿宋_GBK" w:cs="方正仿宋_GBK"/>
          <w:sz w:val="28"/>
          <w:szCs w:val="28"/>
          <w:lang w:eastAsia="zh-CN"/>
        </w:rPr>
      </w:pPr>
      <w:r>
        <w:rPr>
          <w:rFonts w:hint="eastAsia" w:eastAsia="仿宋GB2312"/>
          <w:b/>
          <w:bCs/>
          <w:color w:val="auto"/>
          <w:sz w:val="28"/>
          <w:szCs w:val="28"/>
        </w:rPr>
        <w:t>1.</w:t>
      </w:r>
      <w:r>
        <w:rPr>
          <w:rFonts w:hint="eastAsia" w:eastAsia="仿宋GB2312"/>
          <w:b/>
          <w:bCs/>
          <w:color w:val="auto"/>
          <w:sz w:val="28"/>
          <w:szCs w:val="28"/>
          <w:lang w:eastAsia="zh-CN"/>
        </w:rPr>
        <w:t>办理地址：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eastAsia="zh-CN"/>
        </w:rPr>
        <w:t>广西南宁市青秀区滨湖路58号中国人民银行广西壮族自治区分行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8楼811号办公室</w:t>
      </w:r>
    </w:p>
    <w:p>
      <w:pPr>
        <w:spacing w:line="540" w:lineRule="exact"/>
        <w:ind w:firstLine="562" w:firstLineChars="200"/>
        <w:outlineLvl w:val="2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eastAsia="仿宋GB2312"/>
          <w:b/>
          <w:bCs/>
          <w:sz w:val="28"/>
          <w:szCs w:val="28"/>
        </w:rPr>
        <w:t>2.办理时间：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工作日，上午：08:30-12:00，下午：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14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:30-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17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 xml:space="preserve">:30 </w:t>
      </w:r>
    </w:p>
    <w:p>
      <w:pPr>
        <w:rPr>
          <w:rFonts w:eastAsia="黑体"/>
          <w:sz w:val="28"/>
          <w:szCs w:val="28"/>
        </w:rPr>
      </w:pPr>
      <w:bookmarkStart w:id="0" w:name="_Toc32164"/>
      <w:bookmarkStart w:id="1" w:name="_Toc27624"/>
      <w:bookmarkStart w:id="2" w:name="_Toc22902"/>
      <w:bookmarkStart w:id="3" w:name="_Toc12947"/>
      <w:bookmarkStart w:id="4" w:name="_Toc26066"/>
      <w:bookmarkStart w:id="5" w:name="_Toc29697"/>
      <w:r>
        <w:rPr>
          <w:rFonts w:hint="eastAsia" w:eastAsia="黑体"/>
          <w:sz w:val="28"/>
          <w:szCs w:val="28"/>
        </w:rPr>
        <w:t>十六、</w:t>
      </w:r>
      <w:r>
        <w:rPr>
          <w:rFonts w:eastAsia="黑体"/>
          <w:sz w:val="28"/>
          <w:szCs w:val="28"/>
        </w:rPr>
        <w:t>咨询途径</w:t>
      </w:r>
      <w:bookmarkEnd w:id="0"/>
      <w:bookmarkEnd w:id="1"/>
      <w:bookmarkEnd w:id="2"/>
      <w:bookmarkEnd w:id="3"/>
      <w:bookmarkEnd w:id="4"/>
      <w:bookmarkEnd w:id="5"/>
    </w:p>
    <w:p>
      <w:pPr>
        <w:spacing w:line="540" w:lineRule="exact"/>
        <w:ind w:firstLine="562" w:firstLineChars="200"/>
        <w:outlineLvl w:val="2"/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eastAsia="zh-CN"/>
        </w:rPr>
      </w:pPr>
      <w:r>
        <w:rPr>
          <w:rFonts w:hint="eastAsia" w:eastAsia="仿宋GB2312"/>
          <w:b/>
          <w:bCs/>
          <w:color w:val="auto"/>
          <w:sz w:val="28"/>
          <w:szCs w:val="28"/>
          <w:lang w:eastAsia="zh-CN"/>
        </w:rPr>
        <w:t>1.窗口咨询地址：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eastAsia="zh-CN"/>
        </w:rPr>
        <w:t>广西南宁市青秀区滨湖路58号中国人民银行广西壮族自治区分行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8楼811号办公室</w:t>
      </w:r>
    </w:p>
    <w:p>
      <w:pPr>
        <w:spacing w:line="540" w:lineRule="exact"/>
        <w:ind w:firstLine="562" w:firstLineChars="200"/>
        <w:outlineLvl w:val="2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eastAsia="仿宋GB2312"/>
          <w:b/>
          <w:bCs/>
          <w:sz w:val="28"/>
          <w:szCs w:val="28"/>
        </w:rPr>
        <w:t>2.电话咨询号码：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0771-6111201</w:t>
      </w:r>
    </w:p>
    <w:p>
      <w:pPr>
        <w:spacing w:line="540" w:lineRule="exact"/>
        <w:ind w:firstLine="562" w:firstLineChars="200"/>
        <w:outlineLvl w:val="2"/>
        <w:rPr>
          <w:rFonts w:eastAsia="仿宋GB2312"/>
          <w:b/>
          <w:bCs/>
          <w:sz w:val="28"/>
          <w:szCs w:val="28"/>
        </w:rPr>
      </w:pPr>
      <w:r>
        <w:rPr>
          <w:rFonts w:hint="eastAsia" w:eastAsia="仿宋GB2312"/>
          <w:b/>
          <w:bCs/>
          <w:sz w:val="28"/>
          <w:szCs w:val="28"/>
        </w:rPr>
        <w:t>3.咨询网址：</w:t>
      </w:r>
      <w:r>
        <w:rPr>
          <w:rFonts w:hint="eastAsia" w:ascii="方正仿宋_GBK" w:hAnsi="方正仿宋_GBK" w:eastAsia="方正仿宋_GBK" w:cs="方正仿宋_GBK"/>
          <w:sz w:val="28"/>
          <w:szCs w:val="28"/>
          <w:lang w:eastAsia="zh-CN"/>
        </w:rPr>
        <w:t>国家外汇管理局广西壮族自治区分局官方网站（www.safe.gov.cn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/guangxi/）</w:t>
      </w:r>
      <w:r>
        <w:rPr>
          <w:rFonts w:hint="eastAsia" w:ascii="方正仿宋_GBK" w:hAnsi="方正仿宋_GBK" w:eastAsia="方正仿宋_GBK" w:cs="方正仿宋_GBK"/>
          <w:sz w:val="28"/>
          <w:szCs w:val="28"/>
          <w:lang w:eastAsia="zh-CN"/>
        </w:rPr>
        <w:t>咨询反馈栏目</w:t>
      </w:r>
    </w:p>
    <w:p>
      <w:pPr>
        <w:rPr>
          <w:rFonts w:eastAsia="仿宋GB2312"/>
          <w:b/>
          <w:bCs/>
          <w:sz w:val="28"/>
          <w:szCs w:val="28"/>
        </w:rPr>
      </w:pPr>
      <w:r>
        <w:rPr>
          <w:rFonts w:hint="eastAsia" w:eastAsia="黑体"/>
          <w:sz w:val="28"/>
          <w:szCs w:val="28"/>
        </w:rPr>
        <w:t>十七、监督投诉渠道</w:t>
      </w:r>
    </w:p>
    <w:p>
      <w:pPr>
        <w:spacing w:line="540" w:lineRule="exact"/>
        <w:ind w:firstLine="562" w:firstLineChars="200"/>
        <w:outlineLvl w:val="2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eastAsia="仿宋GB2312"/>
          <w:b/>
          <w:bCs/>
          <w:sz w:val="28"/>
          <w:szCs w:val="28"/>
        </w:rPr>
        <w:t>1.电话监督投诉：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0771-6111357</w:t>
      </w:r>
    </w:p>
    <w:p>
      <w:pPr>
        <w:spacing w:line="540" w:lineRule="exact"/>
        <w:ind w:firstLine="562" w:firstLineChars="200"/>
        <w:outlineLvl w:val="2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eastAsia="仿宋GB2312"/>
          <w:b/>
          <w:bCs/>
          <w:sz w:val="28"/>
          <w:szCs w:val="28"/>
          <w:lang w:val="en-US" w:eastAsia="zh-CN"/>
        </w:rPr>
        <w:t>2</w:t>
      </w:r>
      <w:r>
        <w:rPr>
          <w:rFonts w:hint="eastAsia" w:eastAsia="仿宋GB2312"/>
          <w:b/>
          <w:bCs/>
          <w:sz w:val="28"/>
          <w:szCs w:val="28"/>
        </w:rPr>
        <w:t>.网络监督投诉网址：</w:t>
      </w:r>
      <w:r>
        <w:rPr>
          <w:rFonts w:hint="eastAsia" w:ascii="方正仿宋_GBK" w:hAnsi="方正仿宋_GBK" w:eastAsia="方正仿宋_GBK" w:cs="方正仿宋_GBK"/>
          <w:sz w:val="28"/>
          <w:szCs w:val="28"/>
          <w:lang w:eastAsia="zh-CN"/>
        </w:rPr>
        <w:t>国家外汇管理局广西壮族自治区分局官方网站（www.safe.gov.cn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/guangxi/）</w:t>
      </w:r>
      <w:r>
        <w:rPr>
          <w:rFonts w:hint="eastAsia" w:ascii="方正仿宋_GBK" w:hAnsi="方正仿宋_GBK" w:eastAsia="方正仿宋_GBK" w:cs="方正仿宋_GBK"/>
          <w:sz w:val="28"/>
          <w:szCs w:val="28"/>
          <w:lang w:eastAsia="zh-CN"/>
        </w:rPr>
        <w:t>咨询反馈栏目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十</w:t>
      </w:r>
      <w:r>
        <w:rPr>
          <w:rFonts w:hint="eastAsia" w:ascii="Times New Roman" w:hAnsi="Times New Roman" w:eastAsia="黑体"/>
          <w:sz w:val="28"/>
          <w:szCs w:val="28"/>
          <w:lang w:eastAsia="zh-CN"/>
        </w:rPr>
        <w:t>八</w:t>
      </w:r>
      <w:r>
        <w:rPr>
          <w:rFonts w:hint="eastAsia" w:ascii="Times New Roman" w:hAnsi="Times New Roman" w:eastAsia="黑体"/>
          <w:sz w:val="28"/>
          <w:szCs w:val="28"/>
        </w:rPr>
        <w:t>、备注</w:t>
      </w:r>
    </w:p>
    <w:p/>
    <w:p>
      <w:pPr>
        <w:rPr>
          <w:rFonts w:ascii="Times New Roman" w:hAnsi="Times New Roman" w:cs="Times New Roman"/>
          <w:color w:val="auto"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Noto Sans Mono CJK JP Regular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GB2312">
    <w:altName w:val="仿宋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15</w:t>
    </w:r>
    <w:r>
      <w:rPr>
        <w:lang w:val="zh-CN"/>
      </w:rP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docVars>
    <w:docVar w:name="commondata" w:val="eyJoZGlkIjoiMGQ4YjIwYjI4ZmE4OWQ2YmE1MDViYjU3ZGNiYjhlODIifQ=="/>
  </w:docVars>
  <w:rsids>
    <w:rsidRoot w:val="009B19B3"/>
    <w:rsid w:val="000003C0"/>
    <w:rsid w:val="000021D6"/>
    <w:rsid w:val="00004BD5"/>
    <w:rsid w:val="00007A67"/>
    <w:rsid w:val="000233D5"/>
    <w:rsid w:val="00027E45"/>
    <w:rsid w:val="000351A4"/>
    <w:rsid w:val="00037A07"/>
    <w:rsid w:val="0004414D"/>
    <w:rsid w:val="00050681"/>
    <w:rsid w:val="00061C5F"/>
    <w:rsid w:val="000652D6"/>
    <w:rsid w:val="00070716"/>
    <w:rsid w:val="000B0E34"/>
    <w:rsid w:val="000D3467"/>
    <w:rsid w:val="000D61BB"/>
    <w:rsid w:val="000E2AD6"/>
    <w:rsid w:val="000E2D98"/>
    <w:rsid w:val="000E55BC"/>
    <w:rsid w:val="000E5910"/>
    <w:rsid w:val="000F1C17"/>
    <w:rsid w:val="000F24B5"/>
    <w:rsid w:val="00102A7C"/>
    <w:rsid w:val="00106460"/>
    <w:rsid w:val="001156C5"/>
    <w:rsid w:val="001172B3"/>
    <w:rsid w:val="00134BF3"/>
    <w:rsid w:val="00140DE8"/>
    <w:rsid w:val="001418D3"/>
    <w:rsid w:val="001437E6"/>
    <w:rsid w:val="00154329"/>
    <w:rsid w:val="00163202"/>
    <w:rsid w:val="001870AC"/>
    <w:rsid w:val="00193A89"/>
    <w:rsid w:val="00195B37"/>
    <w:rsid w:val="001A1E83"/>
    <w:rsid w:val="001A61DE"/>
    <w:rsid w:val="001C084E"/>
    <w:rsid w:val="001C2B84"/>
    <w:rsid w:val="001C3568"/>
    <w:rsid w:val="001C4BB1"/>
    <w:rsid w:val="001D095F"/>
    <w:rsid w:val="001D2DD9"/>
    <w:rsid w:val="001D56F0"/>
    <w:rsid w:val="001D5C07"/>
    <w:rsid w:val="001E37D7"/>
    <w:rsid w:val="001F1B4B"/>
    <w:rsid w:val="001F2A75"/>
    <w:rsid w:val="00212F1A"/>
    <w:rsid w:val="00215F91"/>
    <w:rsid w:val="002178A9"/>
    <w:rsid w:val="002226D7"/>
    <w:rsid w:val="0023361F"/>
    <w:rsid w:val="00233CB8"/>
    <w:rsid w:val="00233F9E"/>
    <w:rsid w:val="00235C6D"/>
    <w:rsid w:val="002453CB"/>
    <w:rsid w:val="00253212"/>
    <w:rsid w:val="00254875"/>
    <w:rsid w:val="00256B77"/>
    <w:rsid w:val="002654CB"/>
    <w:rsid w:val="00266E25"/>
    <w:rsid w:val="00273E50"/>
    <w:rsid w:val="002756E4"/>
    <w:rsid w:val="002A0834"/>
    <w:rsid w:val="002B0553"/>
    <w:rsid w:val="002B05F7"/>
    <w:rsid w:val="002B3F08"/>
    <w:rsid w:val="002B4E65"/>
    <w:rsid w:val="002C7EAF"/>
    <w:rsid w:val="002F2577"/>
    <w:rsid w:val="002F6202"/>
    <w:rsid w:val="00316E50"/>
    <w:rsid w:val="00316F0E"/>
    <w:rsid w:val="00321272"/>
    <w:rsid w:val="00325547"/>
    <w:rsid w:val="00326B8C"/>
    <w:rsid w:val="003314E4"/>
    <w:rsid w:val="00331E1E"/>
    <w:rsid w:val="003371EB"/>
    <w:rsid w:val="00337ED9"/>
    <w:rsid w:val="00345800"/>
    <w:rsid w:val="003508A5"/>
    <w:rsid w:val="00354A7C"/>
    <w:rsid w:val="00364BB9"/>
    <w:rsid w:val="00377012"/>
    <w:rsid w:val="00387FD0"/>
    <w:rsid w:val="00396CD5"/>
    <w:rsid w:val="003A1721"/>
    <w:rsid w:val="003A2E79"/>
    <w:rsid w:val="003A4630"/>
    <w:rsid w:val="003A496B"/>
    <w:rsid w:val="003B1325"/>
    <w:rsid w:val="003B6057"/>
    <w:rsid w:val="003C3480"/>
    <w:rsid w:val="003C5C1F"/>
    <w:rsid w:val="003D1EDA"/>
    <w:rsid w:val="003D1F9B"/>
    <w:rsid w:val="003D2BBB"/>
    <w:rsid w:val="003D3BB2"/>
    <w:rsid w:val="003D7B66"/>
    <w:rsid w:val="00404086"/>
    <w:rsid w:val="0040580D"/>
    <w:rsid w:val="00413782"/>
    <w:rsid w:val="00417C88"/>
    <w:rsid w:val="004311DF"/>
    <w:rsid w:val="00436919"/>
    <w:rsid w:val="00437717"/>
    <w:rsid w:val="0044021E"/>
    <w:rsid w:val="00445A64"/>
    <w:rsid w:val="0045411C"/>
    <w:rsid w:val="004573E4"/>
    <w:rsid w:val="00460F9A"/>
    <w:rsid w:val="004735FC"/>
    <w:rsid w:val="004924A7"/>
    <w:rsid w:val="004935B2"/>
    <w:rsid w:val="00497B08"/>
    <w:rsid w:val="00497FC6"/>
    <w:rsid w:val="004A6503"/>
    <w:rsid w:val="004B1BDA"/>
    <w:rsid w:val="004B3A9F"/>
    <w:rsid w:val="004C5477"/>
    <w:rsid w:val="004D3F83"/>
    <w:rsid w:val="004E4AD4"/>
    <w:rsid w:val="004E746C"/>
    <w:rsid w:val="004E7E2D"/>
    <w:rsid w:val="00512742"/>
    <w:rsid w:val="00512786"/>
    <w:rsid w:val="00514ABC"/>
    <w:rsid w:val="005263C0"/>
    <w:rsid w:val="00544909"/>
    <w:rsid w:val="00551A5A"/>
    <w:rsid w:val="0056706F"/>
    <w:rsid w:val="00567128"/>
    <w:rsid w:val="005845DF"/>
    <w:rsid w:val="00584DF2"/>
    <w:rsid w:val="0058649D"/>
    <w:rsid w:val="00593352"/>
    <w:rsid w:val="00595487"/>
    <w:rsid w:val="005A32AB"/>
    <w:rsid w:val="005A3A70"/>
    <w:rsid w:val="005A61D4"/>
    <w:rsid w:val="005B322C"/>
    <w:rsid w:val="005C4A17"/>
    <w:rsid w:val="005E1F6F"/>
    <w:rsid w:val="005E6464"/>
    <w:rsid w:val="005F1522"/>
    <w:rsid w:val="005F1DCD"/>
    <w:rsid w:val="005F3C89"/>
    <w:rsid w:val="005F5952"/>
    <w:rsid w:val="006017F9"/>
    <w:rsid w:val="00603617"/>
    <w:rsid w:val="00611E81"/>
    <w:rsid w:val="0064768C"/>
    <w:rsid w:val="006509E6"/>
    <w:rsid w:val="00654AA7"/>
    <w:rsid w:val="006553EF"/>
    <w:rsid w:val="006603EC"/>
    <w:rsid w:val="006667EE"/>
    <w:rsid w:val="006675D3"/>
    <w:rsid w:val="00673F17"/>
    <w:rsid w:val="00675C64"/>
    <w:rsid w:val="006847AE"/>
    <w:rsid w:val="00693E03"/>
    <w:rsid w:val="00696646"/>
    <w:rsid w:val="00696A7B"/>
    <w:rsid w:val="006B1D92"/>
    <w:rsid w:val="006B28AD"/>
    <w:rsid w:val="006B3076"/>
    <w:rsid w:val="006B5EF5"/>
    <w:rsid w:val="006B6370"/>
    <w:rsid w:val="006B71D2"/>
    <w:rsid w:val="006C4C39"/>
    <w:rsid w:val="006C5121"/>
    <w:rsid w:val="006D3427"/>
    <w:rsid w:val="006D6A5B"/>
    <w:rsid w:val="006E7C82"/>
    <w:rsid w:val="006F61C6"/>
    <w:rsid w:val="0071311B"/>
    <w:rsid w:val="007157B6"/>
    <w:rsid w:val="0072541C"/>
    <w:rsid w:val="00732949"/>
    <w:rsid w:val="0073340E"/>
    <w:rsid w:val="00735659"/>
    <w:rsid w:val="00735A28"/>
    <w:rsid w:val="007510E5"/>
    <w:rsid w:val="007544BC"/>
    <w:rsid w:val="007632A0"/>
    <w:rsid w:val="007634FF"/>
    <w:rsid w:val="0076451B"/>
    <w:rsid w:val="007704CD"/>
    <w:rsid w:val="0078686C"/>
    <w:rsid w:val="00795D93"/>
    <w:rsid w:val="007A1978"/>
    <w:rsid w:val="007B0E48"/>
    <w:rsid w:val="007B0EBE"/>
    <w:rsid w:val="007B6675"/>
    <w:rsid w:val="007D1D7B"/>
    <w:rsid w:val="007E7441"/>
    <w:rsid w:val="007F233E"/>
    <w:rsid w:val="0080044E"/>
    <w:rsid w:val="0081373A"/>
    <w:rsid w:val="00815287"/>
    <w:rsid w:val="00824D07"/>
    <w:rsid w:val="008269C3"/>
    <w:rsid w:val="00827911"/>
    <w:rsid w:val="00832D42"/>
    <w:rsid w:val="00833A95"/>
    <w:rsid w:val="00834DF4"/>
    <w:rsid w:val="00837990"/>
    <w:rsid w:val="00841DE9"/>
    <w:rsid w:val="00842C2F"/>
    <w:rsid w:val="00846D5D"/>
    <w:rsid w:val="00864463"/>
    <w:rsid w:val="00865B37"/>
    <w:rsid w:val="00871300"/>
    <w:rsid w:val="00871BB2"/>
    <w:rsid w:val="0087457D"/>
    <w:rsid w:val="008767C3"/>
    <w:rsid w:val="00876926"/>
    <w:rsid w:val="008A068A"/>
    <w:rsid w:val="008A0A76"/>
    <w:rsid w:val="008A53DB"/>
    <w:rsid w:val="008A6143"/>
    <w:rsid w:val="008A6DDB"/>
    <w:rsid w:val="008A6EEC"/>
    <w:rsid w:val="008B019D"/>
    <w:rsid w:val="008B4359"/>
    <w:rsid w:val="008C33D3"/>
    <w:rsid w:val="008D285E"/>
    <w:rsid w:val="008E0D30"/>
    <w:rsid w:val="008E324F"/>
    <w:rsid w:val="008E57E6"/>
    <w:rsid w:val="008E6700"/>
    <w:rsid w:val="008F3E08"/>
    <w:rsid w:val="008F5475"/>
    <w:rsid w:val="00916523"/>
    <w:rsid w:val="009245CA"/>
    <w:rsid w:val="009347F8"/>
    <w:rsid w:val="009379DE"/>
    <w:rsid w:val="00945AC3"/>
    <w:rsid w:val="009516B1"/>
    <w:rsid w:val="009545B6"/>
    <w:rsid w:val="009568D7"/>
    <w:rsid w:val="00960764"/>
    <w:rsid w:val="009640DB"/>
    <w:rsid w:val="00966422"/>
    <w:rsid w:val="00970C40"/>
    <w:rsid w:val="009732FA"/>
    <w:rsid w:val="00976900"/>
    <w:rsid w:val="00977A16"/>
    <w:rsid w:val="00981057"/>
    <w:rsid w:val="00984619"/>
    <w:rsid w:val="009849B6"/>
    <w:rsid w:val="00985C45"/>
    <w:rsid w:val="00986690"/>
    <w:rsid w:val="0098731F"/>
    <w:rsid w:val="009976AB"/>
    <w:rsid w:val="009A32EE"/>
    <w:rsid w:val="009A6053"/>
    <w:rsid w:val="009B0566"/>
    <w:rsid w:val="009B19B3"/>
    <w:rsid w:val="009B4EC4"/>
    <w:rsid w:val="009D2CA3"/>
    <w:rsid w:val="009D7865"/>
    <w:rsid w:val="009F0EE6"/>
    <w:rsid w:val="00A011E0"/>
    <w:rsid w:val="00A019DC"/>
    <w:rsid w:val="00A053EC"/>
    <w:rsid w:val="00A20682"/>
    <w:rsid w:val="00A20869"/>
    <w:rsid w:val="00A21B4B"/>
    <w:rsid w:val="00A23CC9"/>
    <w:rsid w:val="00A31633"/>
    <w:rsid w:val="00A333A8"/>
    <w:rsid w:val="00A33C4E"/>
    <w:rsid w:val="00A42BA0"/>
    <w:rsid w:val="00A437F1"/>
    <w:rsid w:val="00A4638A"/>
    <w:rsid w:val="00A56380"/>
    <w:rsid w:val="00A724BB"/>
    <w:rsid w:val="00A76F2C"/>
    <w:rsid w:val="00A828DC"/>
    <w:rsid w:val="00A85917"/>
    <w:rsid w:val="00A86C39"/>
    <w:rsid w:val="00AA2782"/>
    <w:rsid w:val="00AB1454"/>
    <w:rsid w:val="00AC2C69"/>
    <w:rsid w:val="00AD6356"/>
    <w:rsid w:val="00AD7F95"/>
    <w:rsid w:val="00AE1454"/>
    <w:rsid w:val="00AE1E55"/>
    <w:rsid w:val="00AF3753"/>
    <w:rsid w:val="00AF57E1"/>
    <w:rsid w:val="00B03FA1"/>
    <w:rsid w:val="00B047C5"/>
    <w:rsid w:val="00B063D5"/>
    <w:rsid w:val="00B11981"/>
    <w:rsid w:val="00B14564"/>
    <w:rsid w:val="00B150F1"/>
    <w:rsid w:val="00B1706B"/>
    <w:rsid w:val="00B241DC"/>
    <w:rsid w:val="00B24922"/>
    <w:rsid w:val="00B327C8"/>
    <w:rsid w:val="00B35ADB"/>
    <w:rsid w:val="00B37501"/>
    <w:rsid w:val="00B43476"/>
    <w:rsid w:val="00B44E28"/>
    <w:rsid w:val="00B525C6"/>
    <w:rsid w:val="00B61130"/>
    <w:rsid w:val="00B614A1"/>
    <w:rsid w:val="00B73A28"/>
    <w:rsid w:val="00B84802"/>
    <w:rsid w:val="00B87216"/>
    <w:rsid w:val="00B94AEF"/>
    <w:rsid w:val="00BA5B48"/>
    <w:rsid w:val="00BB3C0B"/>
    <w:rsid w:val="00BB6FB7"/>
    <w:rsid w:val="00BB71AE"/>
    <w:rsid w:val="00BC4ACD"/>
    <w:rsid w:val="00BD1960"/>
    <w:rsid w:val="00BE47E8"/>
    <w:rsid w:val="00BF58A4"/>
    <w:rsid w:val="00BF69EA"/>
    <w:rsid w:val="00C01288"/>
    <w:rsid w:val="00C20EC9"/>
    <w:rsid w:val="00C266D2"/>
    <w:rsid w:val="00C26BC0"/>
    <w:rsid w:val="00C314B5"/>
    <w:rsid w:val="00C31ECE"/>
    <w:rsid w:val="00C34F82"/>
    <w:rsid w:val="00C4111F"/>
    <w:rsid w:val="00C5180B"/>
    <w:rsid w:val="00C545CE"/>
    <w:rsid w:val="00C5521A"/>
    <w:rsid w:val="00C57574"/>
    <w:rsid w:val="00C659B4"/>
    <w:rsid w:val="00C66EDA"/>
    <w:rsid w:val="00C71261"/>
    <w:rsid w:val="00C903FE"/>
    <w:rsid w:val="00C90E8C"/>
    <w:rsid w:val="00C95743"/>
    <w:rsid w:val="00CA4D41"/>
    <w:rsid w:val="00CA5928"/>
    <w:rsid w:val="00CB1ED8"/>
    <w:rsid w:val="00CB751C"/>
    <w:rsid w:val="00CC02F5"/>
    <w:rsid w:val="00CC2FE6"/>
    <w:rsid w:val="00CD6F3B"/>
    <w:rsid w:val="00CE1482"/>
    <w:rsid w:val="00CE55F6"/>
    <w:rsid w:val="00CF249D"/>
    <w:rsid w:val="00CF5E83"/>
    <w:rsid w:val="00D007CE"/>
    <w:rsid w:val="00D01106"/>
    <w:rsid w:val="00D07C35"/>
    <w:rsid w:val="00D143B3"/>
    <w:rsid w:val="00D16C12"/>
    <w:rsid w:val="00D224E4"/>
    <w:rsid w:val="00D3006E"/>
    <w:rsid w:val="00D327EC"/>
    <w:rsid w:val="00D3615F"/>
    <w:rsid w:val="00D402BA"/>
    <w:rsid w:val="00D408D0"/>
    <w:rsid w:val="00D55E8C"/>
    <w:rsid w:val="00D80592"/>
    <w:rsid w:val="00D81AB8"/>
    <w:rsid w:val="00D85E50"/>
    <w:rsid w:val="00D92ED1"/>
    <w:rsid w:val="00DA5B01"/>
    <w:rsid w:val="00DB2D9A"/>
    <w:rsid w:val="00DD10B4"/>
    <w:rsid w:val="00DD4792"/>
    <w:rsid w:val="00DD6A30"/>
    <w:rsid w:val="00DE791B"/>
    <w:rsid w:val="00DF15BD"/>
    <w:rsid w:val="00DF7356"/>
    <w:rsid w:val="00E02AE9"/>
    <w:rsid w:val="00E049C8"/>
    <w:rsid w:val="00E129F8"/>
    <w:rsid w:val="00E144BB"/>
    <w:rsid w:val="00E27EE9"/>
    <w:rsid w:val="00E30DEB"/>
    <w:rsid w:val="00E33EFE"/>
    <w:rsid w:val="00E430A6"/>
    <w:rsid w:val="00E46A26"/>
    <w:rsid w:val="00E505E0"/>
    <w:rsid w:val="00E55B0D"/>
    <w:rsid w:val="00E61CED"/>
    <w:rsid w:val="00E645AF"/>
    <w:rsid w:val="00E75B2F"/>
    <w:rsid w:val="00E77119"/>
    <w:rsid w:val="00E92470"/>
    <w:rsid w:val="00E955CC"/>
    <w:rsid w:val="00EA12C1"/>
    <w:rsid w:val="00EA2A2D"/>
    <w:rsid w:val="00EA3634"/>
    <w:rsid w:val="00EA5CDF"/>
    <w:rsid w:val="00EA6B80"/>
    <w:rsid w:val="00EB156E"/>
    <w:rsid w:val="00EB574D"/>
    <w:rsid w:val="00EB6DFA"/>
    <w:rsid w:val="00EC0133"/>
    <w:rsid w:val="00EC36EB"/>
    <w:rsid w:val="00EC7A79"/>
    <w:rsid w:val="00ED3C09"/>
    <w:rsid w:val="00EE1E1E"/>
    <w:rsid w:val="00EE29F0"/>
    <w:rsid w:val="00EE36F3"/>
    <w:rsid w:val="00EE69DD"/>
    <w:rsid w:val="00EF5BC8"/>
    <w:rsid w:val="00F005E2"/>
    <w:rsid w:val="00F10FD7"/>
    <w:rsid w:val="00F16F75"/>
    <w:rsid w:val="00F201F4"/>
    <w:rsid w:val="00F21D92"/>
    <w:rsid w:val="00F32657"/>
    <w:rsid w:val="00F36247"/>
    <w:rsid w:val="00F405D0"/>
    <w:rsid w:val="00F4072A"/>
    <w:rsid w:val="00F416D6"/>
    <w:rsid w:val="00F424E1"/>
    <w:rsid w:val="00F45FB3"/>
    <w:rsid w:val="00F50CE9"/>
    <w:rsid w:val="00F52218"/>
    <w:rsid w:val="00F53245"/>
    <w:rsid w:val="00F5552D"/>
    <w:rsid w:val="00F61D32"/>
    <w:rsid w:val="00F622F9"/>
    <w:rsid w:val="00F62A8B"/>
    <w:rsid w:val="00F6439F"/>
    <w:rsid w:val="00F8030E"/>
    <w:rsid w:val="00F8305D"/>
    <w:rsid w:val="00F85E60"/>
    <w:rsid w:val="00F87754"/>
    <w:rsid w:val="00FA48B7"/>
    <w:rsid w:val="00FC6843"/>
    <w:rsid w:val="00FC754C"/>
    <w:rsid w:val="00FD19D2"/>
    <w:rsid w:val="00FF083E"/>
    <w:rsid w:val="00FF35CC"/>
    <w:rsid w:val="02961C63"/>
    <w:rsid w:val="063127A4"/>
    <w:rsid w:val="067F2731"/>
    <w:rsid w:val="07FC73E7"/>
    <w:rsid w:val="0AFE2A19"/>
    <w:rsid w:val="0C6F66F8"/>
    <w:rsid w:val="0CDF410C"/>
    <w:rsid w:val="0EEC5902"/>
    <w:rsid w:val="0FAF3253"/>
    <w:rsid w:val="11311F96"/>
    <w:rsid w:val="14753A4D"/>
    <w:rsid w:val="17046B3B"/>
    <w:rsid w:val="19B9018E"/>
    <w:rsid w:val="1C383E27"/>
    <w:rsid w:val="1C4F5A1B"/>
    <w:rsid w:val="1CB62C04"/>
    <w:rsid w:val="1CDB3593"/>
    <w:rsid w:val="1E9B7A75"/>
    <w:rsid w:val="1F1D7775"/>
    <w:rsid w:val="238E0B99"/>
    <w:rsid w:val="2406637B"/>
    <w:rsid w:val="254914F1"/>
    <w:rsid w:val="2A4D5B61"/>
    <w:rsid w:val="2A783CEB"/>
    <w:rsid w:val="36A130A2"/>
    <w:rsid w:val="3996388A"/>
    <w:rsid w:val="3B2D465E"/>
    <w:rsid w:val="3DF9176C"/>
    <w:rsid w:val="3F821FA5"/>
    <w:rsid w:val="408940CF"/>
    <w:rsid w:val="40C06849"/>
    <w:rsid w:val="41F44A83"/>
    <w:rsid w:val="43F40AC5"/>
    <w:rsid w:val="447B0B22"/>
    <w:rsid w:val="471E74DB"/>
    <w:rsid w:val="47616255"/>
    <w:rsid w:val="48892395"/>
    <w:rsid w:val="52566D98"/>
    <w:rsid w:val="561E61E2"/>
    <w:rsid w:val="577932F4"/>
    <w:rsid w:val="5DA614D2"/>
    <w:rsid w:val="63191F10"/>
    <w:rsid w:val="66BB2822"/>
    <w:rsid w:val="6A2F37BA"/>
    <w:rsid w:val="6C6D76D3"/>
    <w:rsid w:val="6EB37A33"/>
    <w:rsid w:val="75F416EB"/>
    <w:rsid w:val="75F87F05"/>
    <w:rsid w:val="7B2A790B"/>
    <w:rsid w:val="7C4D6CFD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Style w:val="8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toc 3"/>
    <w:basedOn w:val="1"/>
    <w:next w:val="1"/>
    <w:unhideWhenUsed/>
    <w:qFormat/>
    <w:uiPriority w:val="39"/>
    <w:pPr>
      <w:ind w:left="840" w:leftChars="400"/>
    </w:pPr>
  </w:style>
  <w:style w:type="paragraph" w:styleId="3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table" w:styleId="9">
    <w:name w:val="Table Grid"/>
    <w:basedOn w:val="8"/>
    <w:qFormat/>
    <w:uiPriority w:val="59"/>
    <w:pPr/>
    <w:tblPr>
      <w:tblStyle w:val="8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10">
    <w:name w:val="List Paragraph"/>
    <w:basedOn w:val="1"/>
    <w:qFormat/>
    <w:uiPriority w:val="34"/>
    <w:pPr>
      <w:ind w:firstLine="420" w:firstLineChars="200"/>
    </w:pPr>
  </w:style>
  <w:style w:type="paragraph" w:customStyle="1" w:styleId="11">
    <w:name w:val="Revision"/>
    <w:hidden/>
    <w:semiHidden/>
    <w:qFormat/>
    <w:uiPriority w:val="99"/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customStyle="1" w:styleId="12">
    <w:name w:val="Heading 1"/>
    <w:basedOn w:val="1"/>
    <w:qFormat/>
    <w:uiPriority w:val="1"/>
    <w:pPr>
      <w:spacing w:line="541" w:lineRule="exact"/>
      <w:ind w:left="1919" w:right="2017"/>
      <w:jc w:val="center"/>
      <w:outlineLvl w:val="1"/>
    </w:pPr>
    <w:rPr>
      <w:rFonts w:ascii="Noto Sans Mono CJK JP Regular" w:hAnsi="Noto Sans Mono CJK JP Regular" w:eastAsia="Noto Sans Mono CJK JP Regular" w:cs="Noto Sans Mono CJK JP Regular"/>
      <w:sz w:val="36"/>
      <w:szCs w:val="36"/>
    </w:rPr>
  </w:style>
  <w:style w:type="character" w:customStyle="1" w:styleId="13">
    <w:name w:val="页眉 Char"/>
    <w:basedOn w:val="6"/>
    <w:link w:val="5"/>
    <w:qFormat/>
    <w:uiPriority w:val="99"/>
    <w:rPr>
      <w:sz w:val="18"/>
      <w:szCs w:val="18"/>
    </w:rPr>
  </w:style>
  <w:style w:type="character" w:customStyle="1" w:styleId="14">
    <w:name w:val="页脚 Char"/>
    <w:basedOn w:val="6"/>
    <w:link w:val="4"/>
    <w:qFormat/>
    <w:uiPriority w:val="99"/>
    <w:rPr>
      <w:sz w:val="18"/>
      <w:szCs w:val="18"/>
    </w:rPr>
  </w:style>
  <w:style w:type="character" w:customStyle="1" w:styleId="15">
    <w:name w:val="批注框文本 Char"/>
    <w:basedOn w:val="6"/>
    <w:link w:val="3"/>
    <w:semiHidden/>
    <w:qFormat/>
    <w:uiPriority w:val="99"/>
    <w:rPr>
      <w:sz w:val="18"/>
      <w:szCs w:val="18"/>
    </w:rPr>
  </w:style>
  <w:style w:type="character" w:customStyle="1" w:styleId="16">
    <w:name w:val="mini-outputtext"/>
    <w:basedOn w:val="6"/>
    <w:qFormat/>
    <w:uiPriority w:val="0"/>
    <w:rPr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2304</Words>
  <Characters>2517</Characters>
  <Lines>41</Lines>
  <Paragraphs>11</Paragraphs>
  <ScaleCrop>false</ScaleCrop>
  <LinksUpToDate>false</LinksUpToDate>
  <CharactersWithSpaces>0</CharactersWithSpaces>
  <Application>WPS Office 专业版_9.1.0.4940_F1E327BC-269C-435d-A152-05C5408002CA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2020-04-22T08:12:00Z</dcterms:created>
  <dc:creator>吴</dc:creator>
  <cp:lastModifiedBy>龙进</cp:lastModifiedBy>
  <cp:lastPrinted>2020-05-08T08:38:00Z</cp:lastPrinted>
  <dcterms:modified xsi:type="dcterms:W3CDTF">2026-01-21T02:29:20Z</dcterms:modified>
  <dc:title>编号：57001-2              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2052-9.1.0.4940</vt:lpwstr>
  </property>
  <property fmtid="{D5CDD505-2E9C-101B-9397-08002B2CF9AE}" pid="3" name="ICV">
    <vt:lpwstr>609DA56A81274F539BF26AAA0D85DD3C_12</vt:lpwstr>
  </property>
</Properties>
</file>