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ind w:right="300"/>
        <w:jc w:val="left"/>
        <w:rPr>
          <w:rFonts w:hint="eastAsia" w:ascii="黑体" w:hAnsi="黑体" w:eastAsia="黑体" w:cs="黑体"/>
          <w:color w:val="auto"/>
          <w:sz w:val="30"/>
          <w:szCs w:val="30"/>
        </w:rPr>
      </w:pPr>
      <w:r>
        <w:rPr>
          <w:rFonts w:hint="eastAsia" w:ascii="黑体" w:hAnsi="黑体" w:eastAsia="黑体" w:cs="黑体"/>
          <w:color w:val="auto"/>
          <w:sz w:val="30"/>
          <w:szCs w:val="30"/>
        </w:rPr>
        <w:t>编号：00017110200</w:t>
      </w:r>
      <w:r>
        <w:rPr>
          <w:rFonts w:hint="eastAsia" w:ascii="黑体" w:hAnsi="黑体" w:eastAsia="黑体" w:cs="黑体"/>
          <w:color w:val="auto"/>
          <w:sz w:val="30"/>
          <w:szCs w:val="30"/>
          <w:lang w:val="en-US" w:eastAsia="zh-CN"/>
        </w:rPr>
        <w:t>7</w:t>
      </w:r>
      <w:r>
        <w:rPr>
          <w:rFonts w:hint="eastAsia" w:ascii="黑体" w:hAnsi="黑体" w:eastAsia="黑体" w:cs="黑体"/>
          <w:color w:val="auto"/>
          <w:sz w:val="30"/>
          <w:szCs w:val="30"/>
        </w:rPr>
        <w:t xml:space="preserve">              </w:t>
      </w:r>
    </w:p>
    <w:p>
      <w:pPr>
        <w:ind w:right="300"/>
        <w:jc w:val="center"/>
        <w:rPr>
          <w:rFonts w:ascii="Times New Roman" w:hAnsi="Times New Roman" w:eastAsia="黑体" w:cs="Times New Roman"/>
          <w:color w:val="auto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黑体" w:cs="Times New Roman"/>
          <w:color w:val="auto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黑体" w:cs="Times New Roman"/>
          <w:color w:val="auto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黑体" w:cs="Times New Roman"/>
          <w:color w:val="auto"/>
          <w:sz w:val="52"/>
          <w:szCs w:val="52"/>
        </w:rPr>
      </w:pPr>
    </w:p>
    <w:p>
      <w:pPr>
        <w:ind w:right="300"/>
        <w:jc w:val="center"/>
        <w:rPr>
          <w:rFonts w:ascii="Times New Roman" w:hAnsi="Times New Roman" w:eastAsia="黑体" w:cs="Times New Roman"/>
          <w:color w:val="auto"/>
          <w:sz w:val="52"/>
          <w:szCs w:val="52"/>
        </w:rPr>
      </w:pPr>
      <w:r>
        <w:rPr>
          <w:rFonts w:ascii="Times New Roman" w:hAnsi="Times New Roman" w:eastAsia="黑体" w:cs="Times New Roman"/>
          <w:color w:val="auto"/>
          <w:sz w:val="52"/>
          <w:szCs w:val="52"/>
        </w:rPr>
        <w:t>“</w:t>
      </w:r>
      <w:r>
        <w:rPr>
          <w:rFonts w:hint="eastAsia" w:ascii="Times New Roman" w:hAnsi="Times New Roman" w:eastAsia="黑体" w:cs="Times New Roman"/>
          <w:color w:val="auto"/>
          <w:sz w:val="52"/>
          <w:szCs w:val="52"/>
        </w:rPr>
        <w:t>省级分局和计划单列市</w:t>
      </w:r>
      <w:r>
        <w:rPr>
          <w:rFonts w:hint="default" w:ascii="Times New Roman" w:hAnsi="Times New Roman" w:eastAsia="黑体" w:cs="Times New Roman"/>
          <w:color w:val="auto"/>
          <w:sz w:val="52"/>
          <w:szCs w:val="52"/>
          <w:lang w:val="en-US" w:eastAsia="zh-CN"/>
        </w:rPr>
        <w:t>分局办理的超过收、付汇额度的B类企业经常项目收支登记</w:t>
      </w:r>
      <w:r>
        <w:rPr>
          <w:rFonts w:ascii="Times New Roman" w:hAnsi="Times New Roman" w:eastAsia="黑体" w:cs="Times New Roman"/>
          <w:color w:val="auto"/>
          <w:sz w:val="52"/>
          <w:szCs w:val="52"/>
        </w:rPr>
        <w:t xml:space="preserve">” </w:t>
      </w:r>
    </w:p>
    <w:p>
      <w:pPr>
        <w:ind w:right="300"/>
        <w:jc w:val="center"/>
        <w:rPr>
          <w:rFonts w:ascii="Times New Roman" w:hAnsi="Times New Roman" w:eastAsia="黑体" w:cs="Times New Roman"/>
          <w:color w:val="auto"/>
          <w:sz w:val="52"/>
          <w:szCs w:val="52"/>
        </w:rPr>
      </w:pPr>
      <w:r>
        <w:rPr>
          <w:rFonts w:ascii="Times New Roman" w:hAnsi="Times New Roman" w:eastAsia="黑体" w:cs="Times New Roman"/>
          <w:color w:val="auto"/>
          <w:sz w:val="52"/>
          <w:szCs w:val="52"/>
        </w:rPr>
        <w:t>行政审批服务指南</w:t>
      </w:r>
    </w:p>
    <w:p>
      <w:pPr>
        <w:ind w:right="300"/>
        <w:jc w:val="center"/>
        <w:rPr>
          <w:rFonts w:ascii="Times New Roman" w:hAnsi="Times New Roman" w:eastAsia="仿宋_GB2312" w:cs="Times New Roman"/>
          <w:color w:val="auto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仿宋_GB2312" w:cs="Times New Roman"/>
          <w:color w:val="auto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仿宋_GB2312" w:cs="Times New Roman"/>
          <w:color w:val="auto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仿宋_GB2312" w:cs="Times New Roman"/>
          <w:color w:val="auto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仿宋_GB2312" w:cs="Times New Roman"/>
          <w:color w:val="auto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仿宋_GB2312" w:cs="Times New Roman"/>
          <w:color w:val="auto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仿宋_GB2312" w:cs="Times New Roman"/>
          <w:color w:val="auto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仿宋_GB2312" w:cs="Times New Roman"/>
          <w:color w:val="auto"/>
          <w:sz w:val="30"/>
          <w:szCs w:val="30"/>
        </w:rPr>
      </w:pPr>
    </w:p>
    <w:p>
      <w:pPr>
        <w:ind w:right="300"/>
        <w:jc w:val="center"/>
        <w:rPr>
          <w:rFonts w:hint="eastAsia" w:ascii="宋体" w:hAnsi="宋体" w:eastAsia="宋体" w:cs="宋体"/>
          <w:b w:val="0"/>
          <w:bCs w:val="0"/>
          <w:color w:val="auto"/>
          <w:sz w:val="40"/>
          <w:szCs w:val="4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40"/>
          <w:szCs w:val="40"/>
          <w:lang w:val="en-US" w:eastAsia="zh-CN"/>
        </w:rPr>
        <w:t>国家外汇管理局广西壮族自治区分局</w:t>
      </w:r>
    </w:p>
    <w:p>
      <w:pPr>
        <w:pStyle w:val="12"/>
        <w:widowControl w:val="0"/>
        <w:wordWrap/>
        <w:autoSpaceDE w:val="0"/>
        <w:autoSpaceDN w:val="0"/>
        <w:adjustRightInd/>
        <w:snapToGrid/>
        <w:spacing w:before="0" w:after="0" w:line="560" w:lineRule="exact"/>
        <w:ind w:left="0" w:leftChars="0" w:right="0" w:firstLine="0" w:firstLineChars="0"/>
        <w:jc w:val="center"/>
        <w:textAlignment w:val="auto"/>
        <w:outlineLvl w:val="1"/>
        <w:rPr>
          <w:rFonts w:hint="eastAsia" w:ascii="宋体" w:hAnsi="宋体" w:eastAsia="宋体" w:cs="宋体"/>
          <w:b w:val="0"/>
          <w:bCs w:val="0"/>
          <w:color w:val="auto"/>
          <w:sz w:val="40"/>
          <w:szCs w:val="40"/>
          <w:lang w:val="en-US" w:eastAsia="zh-CN"/>
        </w:rPr>
      </w:pPr>
    </w:p>
    <w:p>
      <w:pPr>
        <w:ind w:right="300"/>
        <w:rPr>
          <w:rFonts w:ascii="Times New Roman" w:hAnsi="Times New Roman" w:eastAsia="仿宋_GB2312" w:cs="Times New Roman"/>
          <w:color w:val="auto"/>
          <w:sz w:val="30"/>
          <w:szCs w:val="30"/>
        </w:rPr>
        <w:sectPr>
          <w:footerReference r:id="rId4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 w:cs="Times New Roman"/>
          <w:color w:val="auto"/>
          <w:sz w:val="30"/>
          <w:szCs w:val="30"/>
        </w:rPr>
        <w:t xml:space="preserve">    </w:t>
      </w:r>
      <w:r>
        <w:rPr>
          <w:rFonts w:hint="eastAsia" w:ascii="Times New Roman" w:hAnsi="Times New Roman" w:eastAsia="黑体"/>
          <w:sz w:val="28"/>
          <w:szCs w:val="28"/>
        </w:rPr>
        <w:t>一、基本要素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</w:t>
      </w:r>
      <w:r>
        <w:rPr>
          <w:rFonts w:ascii="Times New Roman" w:hAnsi="Times New Roman" w:eastAsia="仿宋GB2312"/>
          <w:b/>
          <w:bCs/>
          <w:sz w:val="28"/>
          <w:szCs w:val="28"/>
        </w:rPr>
        <w:t>行政许可事项名称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及编码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经常项目特定收支业务核准【00017110200Y】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</w:t>
      </w:r>
      <w:r>
        <w:rPr>
          <w:rFonts w:ascii="Times New Roman" w:hAnsi="Times New Roman" w:eastAsia="仿宋GB2312"/>
          <w:b/>
          <w:bCs/>
          <w:sz w:val="28"/>
          <w:szCs w:val="28"/>
        </w:rPr>
        <w:t>行政许可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事项子项名称及编码</w:t>
      </w:r>
    </w:p>
    <w:p>
      <w:pPr>
        <w:spacing w:line="360" w:lineRule="auto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省级分局和计划单列市分局办理的超过收、付汇额度的B类企业经常项目收支登记【000171102007】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3.行政许可事项业务办理项名称及编码</w:t>
      </w:r>
    </w:p>
    <w:p>
      <w:pPr>
        <w:spacing w:line="360" w:lineRule="auto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1.省级分局和计划单列市分局办理的超过收、付汇额度的B类企业经常项目收支登记(00017110200701)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4.设定依据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（1）《国务院对确需保留的行政审批项目设定行政许可的决定》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5.实施依据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（1）《经常项目外汇业务指引（2020年版）》（汇发〔2020〕14号文印发）第二十三条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（2）《经常项目外汇业务指引（2020年版）》（汇发〔2020〕14号文印发）第三十四条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（3）《国家外汇管理局行政许可实施办法》（国家外汇管理局公告2021年第1号）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6.监管依据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（1）《中华人民共和国外汇管理条例》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7.</w:t>
      </w:r>
      <w:r>
        <w:rPr>
          <w:rFonts w:ascii="Times New Roman" w:hAnsi="Times New Roman" w:eastAsia="仿宋GB2312"/>
          <w:b/>
          <w:bCs/>
          <w:sz w:val="28"/>
          <w:szCs w:val="28"/>
        </w:rPr>
        <w:t>实施机关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国家外汇局省级分局和计划单列市分局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8.</w:t>
      </w:r>
      <w:r>
        <w:rPr>
          <w:rFonts w:ascii="Times New Roman" w:hAnsi="Times New Roman" w:eastAsia="仿宋GB2312"/>
          <w:b/>
          <w:bCs/>
          <w:sz w:val="28"/>
          <w:szCs w:val="28"/>
        </w:rPr>
        <w:t>审批层级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国家级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9.行使</w:t>
      </w:r>
      <w:r>
        <w:rPr>
          <w:rFonts w:ascii="Times New Roman" w:hAnsi="Times New Roman" w:eastAsia="仿宋GB2312"/>
          <w:b/>
          <w:bCs/>
          <w:sz w:val="28"/>
          <w:szCs w:val="28"/>
        </w:rPr>
        <w:t>层级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省级/直属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10.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是否由审批机关受理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是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11.</w:t>
      </w:r>
      <w:r>
        <w:rPr>
          <w:rFonts w:ascii="Times New Roman" w:hAnsi="Times New Roman" w:eastAsia="仿宋GB2312"/>
          <w:b/>
          <w:bCs/>
          <w:sz w:val="28"/>
          <w:szCs w:val="28"/>
        </w:rPr>
        <w:t>受理层级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省级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12.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是否存在初审环节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  <w:highlight w:val="yellow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13.</w:t>
      </w:r>
      <w:r>
        <w:rPr>
          <w:rFonts w:ascii="Times New Roman" w:hAnsi="Times New Roman" w:eastAsia="仿宋GB2312"/>
          <w:b/>
          <w:bCs/>
          <w:sz w:val="28"/>
          <w:szCs w:val="28"/>
        </w:rPr>
        <w:t>初审层级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jc w:val="left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14.</w:t>
      </w:r>
      <w:r>
        <w:rPr>
          <w:rFonts w:ascii="Times New Roman" w:hAnsi="Times New Roman" w:eastAsia="仿宋GB2312"/>
          <w:b/>
          <w:bCs/>
          <w:sz w:val="28"/>
          <w:szCs w:val="28"/>
        </w:rPr>
        <w:t>对应政务服务事项国家级基本目录名称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进口付汇事前审核,出口收汇事前审核</w:t>
      </w:r>
    </w:p>
    <w:p>
      <w:pPr>
        <w:spacing w:line="600" w:lineRule="exact"/>
        <w:ind w:firstLine="562" w:firstLineChars="200"/>
        <w:jc w:val="left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15.要素统一情况：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全部要素全国统一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二、行政许可事项类型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条件型</w:t>
      </w:r>
    </w:p>
    <w:p>
      <w:pPr>
        <w:spacing w:line="540" w:lineRule="exact"/>
        <w:outlineLvl w:val="1"/>
        <w:rPr>
          <w:rFonts w:ascii="Times New Roman" w:hAnsi="Times New Roman" w:eastAsia="黑体"/>
          <w:color w:val="auto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三、</w:t>
      </w:r>
      <w:r>
        <w:rPr>
          <w:rFonts w:hint="eastAsia" w:ascii="Times New Roman" w:hAnsi="Times New Roman" w:eastAsia="黑体"/>
          <w:color w:val="auto"/>
          <w:sz w:val="28"/>
          <w:szCs w:val="28"/>
        </w:rPr>
        <w:t>行政许可条件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color w:val="auto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color w:val="auto"/>
          <w:sz w:val="28"/>
          <w:szCs w:val="28"/>
        </w:rPr>
        <w:t>1.准予行政许可的条件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color w:val="auto"/>
          <w:sz w:val="28"/>
          <w:szCs w:val="28"/>
        </w:rPr>
      </w:pPr>
      <w:r>
        <w:rPr>
          <w:rFonts w:ascii="方正仿宋_GBK" w:hAnsi="方正仿宋_GBK" w:eastAsia="方正仿宋_GBK" w:cs="方正仿宋_GBK"/>
          <w:color w:val="auto"/>
          <w:sz w:val="28"/>
          <w:szCs w:val="28"/>
        </w:rPr>
        <w:t>原则上不得办理以下业务的基于真实合规交易背景的B类企业：（1）90天以上（不含）的延期付款业务；（2）签订包含90天以上（不含）收汇条款的出口合同；（3）离岸转手买卖外汇收支业务。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color w:val="auto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color w:val="auto"/>
          <w:sz w:val="28"/>
          <w:szCs w:val="28"/>
        </w:rPr>
        <w:t>2.</w:t>
      </w:r>
      <w:r>
        <w:rPr>
          <w:rFonts w:ascii="Times New Roman" w:hAnsi="Times New Roman" w:eastAsia="仿宋GB2312"/>
          <w:b/>
          <w:bCs/>
          <w:color w:val="auto"/>
          <w:sz w:val="28"/>
          <w:szCs w:val="28"/>
        </w:rPr>
        <w:t>规定行政许可条件的依据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color w:val="auto"/>
          <w:sz w:val="28"/>
          <w:szCs w:val="28"/>
        </w:rPr>
      </w:pPr>
      <w:r>
        <w:rPr>
          <w:rFonts w:ascii="方正仿宋_GBK" w:hAnsi="方正仿宋_GBK" w:eastAsia="方正仿宋_GBK" w:cs="方正仿宋_GBK"/>
          <w:color w:val="auto"/>
          <w:sz w:val="28"/>
          <w:szCs w:val="28"/>
        </w:rPr>
        <w:t>（1）《经常项目外汇业务指引（2020年版）》（汇发〔2020〕14号文印发）第三十四条B类企业在分类监管有效期内的货物贸易外汇收支业务应按照……下列要求办理：……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color w:val="auto"/>
          <w:sz w:val="28"/>
          <w:szCs w:val="28"/>
        </w:rPr>
      </w:pPr>
      <w:r>
        <w:rPr>
          <w:rFonts w:ascii="方正仿宋_GBK" w:hAnsi="方正仿宋_GBK" w:eastAsia="方正仿宋_GBK" w:cs="方正仿宋_GBK"/>
          <w:color w:val="auto"/>
          <w:sz w:val="28"/>
          <w:szCs w:val="28"/>
        </w:rPr>
        <w:t>（二）……B类企业超过可收付汇额度的货物贸易外汇收支业务，应到外汇局办理货物贸易外汇业务登记手续，银行凭《登记表》办理。……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;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color w:val="auto"/>
          <w:sz w:val="28"/>
          <w:szCs w:val="28"/>
        </w:rPr>
      </w:pPr>
      <w:r>
        <w:rPr>
          <w:rFonts w:ascii="方正仿宋_GBK" w:hAnsi="方正仿宋_GBK" w:eastAsia="方正仿宋_GBK" w:cs="方正仿宋_GBK"/>
          <w:color w:val="auto"/>
          <w:sz w:val="28"/>
          <w:szCs w:val="28"/>
        </w:rPr>
        <w:t>（四）B类企业原则上不得办理90天以上（不含）的延期付款业务、不得签订包含90天以上（不含）收汇条款的出口合同；……；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color w:val="auto"/>
          <w:sz w:val="28"/>
          <w:szCs w:val="28"/>
        </w:rPr>
      </w:pPr>
      <w:r>
        <w:rPr>
          <w:rFonts w:ascii="方正仿宋_GBK" w:hAnsi="方正仿宋_GBK" w:eastAsia="方正仿宋_GBK" w:cs="方正仿宋_GBK"/>
          <w:color w:val="auto"/>
          <w:sz w:val="28"/>
          <w:szCs w:val="28"/>
        </w:rPr>
        <w:t>（五）企业不得办理离岸转手买卖外汇收支业务……。</w:t>
      </w:r>
    </w:p>
    <w:p>
      <w:pPr>
        <w:spacing w:line="540" w:lineRule="exact"/>
        <w:outlineLvl w:val="1"/>
        <w:rPr>
          <w:rFonts w:ascii="Times New Roman" w:hAnsi="Times New Roman" w:eastAsia="黑体"/>
          <w:color w:val="auto"/>
          <w:sz w:val="28"/>
          <w:szCs w:val="28"/>
        </w:rPr>
      </w:pPr>
      <w:r>
        <w:rPr>
          <w:rFonts w:hint="eastAsia" w:ascii="Times New Roman" w:hAnsi="Times New Roman" w:eastAsia="黑体"/>
          <w:color w:val="auto"/>
          <w:sz w:val="28"/>
          <w:szCs w:val="28"/>
        </w:rPr>
        <w:t>四、</w:t>
      </w:r>
      <w:r>
        <w:rPr>
          <w:rFonts w:ascii="Times New Roman" w:hAnsi="Times New Roman" w:eastAsia="黑体"/>
          <w:color w:val="auto"/>
          <w:sz w:val="28"/>
          <w:szCs w:val="28"/>
        </w:rPr>
        <w:t>行政许可服务对象类型</w:t>
      </w:r>
      <w:r>
        <w:rPr>
          <w:rFonts w:hint="eastAsia" w:ascii="Times New Roman" w:hAnsi="Times New Roman" w:eastAsia="黑体"/>
          <w:color w:val="auto"/>
          <w:sz w:val="28"/>
          <w:szCs w:val="28"/>
        </w:rPr>
        <w:t>与改革举措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color w:val="auto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color w:val="auto"/>
          <w:sz w:val="28"/>
          <w:szCs w:val="28"/>
        </w:rPr>
        <w:t>1.服务对象类型：</w:t>
      </w:r>
      <w:r>
        <w:rPr>
          <w:rFonts w:ascii="方正仿宋_GBK" w:hAnsi="方正仿宋_GBK" w:eastAsia="方正仿宋_GBK" w:cs="方正仿宋_GBK"/>
          <w:color w:val="auto"/>
          <w:sz w:val="28"/>
          <w:szCs w:val="28"/>
        </w:rPr>
        <w:t>企业法人,事业单位法人,社会组织法人,非法人企业,行政机关,其他组织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color w:val="auto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color w:val="auto"/>
          <w:sz w:val="28"/>
          <w:szCs w:val="28"/>
        </w:rPr>
        <w:t>2.是否为涉企许可事项：</w:t>
      </w:r>
      <w:r>
        <w:rPr>
          <w:rFonts w:ascii="方正仿宋_GBK" w:hAnsi="方正仿宋_GBK" w:eastAsia="方正仿宋_GBK" w:cs="方正仿宋_GBK"/>
          <w:color w:val="auto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color w:val="auto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color w:val="auto"/>
          <w:sz w:val="28"/>
          <w:szCs w:val="28"/>
        </w:rPr>
        <w:t>3.涉企经营许可事项名称：</w:t>
      </w:r>
      <w:r>
        <w:rPr>
          <w:rFonts w:ascii="方正仿宋_GBK" w:hAnsi="方正仿宋_GBK" w:eastAsia="方正仿宋_GBK" w:cs="方正仿宋_GBK"/>
          <w:color w:val="auto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color w:val="auto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color w:val="auto"/>
          <w:sz w:val="28"/>
          <w:szCs w:val="28"/>
        </w:rPr>
        <w:t>4.许可证件名称：</w:t>
      </w:r>
      <w:r>
        <w:rPr>
          <w:rFonts w:ascii="方正仿宋_GBK" w:hAnsi="方正仿宋_GBK" w:eastAsia="方正仿宋_GBK" w:cs="方正仿宋_GBK"/>
          <w:color w:val="auto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color w:val="auto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color w:val="auto"/>
          <w:sz w:val="28"/>
          <w:szCs w:val="28"/>
        </w:rPr>
        <w:t>5.改革方式：</w:t>
      </w:r>
      <w:r>
        <w:rPr>
          <w:rFonts w:ascii="方正仿宋_GBK" w:hAnsi="方正仿宋_GBK" w:eastAsia="方正仿宋_GBK" w:cs="方正仿宋_GBK"/>
          <w:color w:val="auto"/>
          <w:sz w:val="28"/>
          <w:szCs w:val="28"/>
        </w:rPr>
        <w:t>无</w:t>
      </w:r>
    </w:p>
    <w:p>
      <w:pPr>
        <w:spacing w:line="540" w:lineRule="exact"/>
        <w:ind w:firstLine="562" w:firstLineChars="200"/>
        <w:rPr>
          <w:rFonts w:ascii="Times New Roman" w:hAnsi="Times New Roman" w:eastAsia="仿宋GB2312"/>
          <w:b/>
          <w:bCs/>
          <w:color w:val="auto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color w:val="auto"/>
          <w:sz w:val="28"/>
          <w:szCs w:val="28"/>
        </w:rPr>
        <w:t xml:space="preserve">6.具体改革举措: </w:t>
      </w:r>
      <w:r>
        <w:rPr>
          <w:rFonts w:ascii="方正仿宋_GBK" w:hAnsi="方正仿宋_GBK" w:eastAsia="方正仿宋_GBK" w:cs="方正仿宋_GBK"/>
          <w:color w:val="auto"/>
          <w:sz w:val="28"/>
          <w:szCs w:val="28"/>
        </w:rPr>
        <w:t>无</w:t>
      </w:r>
    </w:p>
    <w:p>
      <w:pPr>
        <w:spacing w:line="540" w:lineRule="exact"/>
        <w:ind w:firstLine="562" w:firstLineChars="200"/>
        <w:rPr>
          <w:rFonts w:ascii="Times New Roman" w:hAnsi="Times New Roman" w:eastAsia="仿宋GB2312"/>
          <w:b/>
          <w:bCs/>
          <w:color w:val="auto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color w:val="auto"/>
          <w:sz w:val="28"/>
          <w:szCs w:val="28"/>
        </w:rPr>
        <w:t>7.加强事中事后监管措施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color w:val="auto"/>
          <w:sz w:val="28"/>
          <w:szCs w:val="28"/>
        </w:rPr>
      </w:pPr>
      <w:r>
        <w:rPr>
          <w:rFonts w:ascii="方正仿宋_GBK" w:hAnsi="方正仿宋_GBK" w:eastAsia="方正仿宋_GBK" w:cs="方正仿宋_GBK"/>
          <w:color w:val="auto"/>
          <w:sz w:val="28"/>
          <w:szCs w:val="28"/>
        </w:rPr>
        <w:t>（1）开展“双随机、一公开”监管，依法查处违规行为，适时公开相关案例。（2）依法及时处理投诉举报。（3）开展数据统计与监测，掌握外汇业务情况。</w:t>
      </w:r>
    </w:p>
    <w:p>
      <w:pPr>
        <w:spacing w:line="540" w:lineRule="exact"/>
        <w:outlineLvl w:val="1"/>
        <w:rPr>
          <w:rFonts w:ascii="Times New Roman" w:hAnsi="Times New Roman" w:eastAsia="黑体"/>
          <w:color w:val="auto"/>
          <w:sz w:val="28"/>
          <w:szCs w:val="28"/>
        </w:rPr>
      </w:pPr>
      <w:r>
        <w:rPr>
          <w:rFonts w:hint="eastAsia" w:ascii="Times New Roman" w:hAnsi="Times New Roman" w:eastAsia="黑体"/>
          <w:color w:val="auto"/>
          <w:sz w:val="28"/>
          <w:szCs w:val="28"/>
        </w:rPr>
        <w:t>五、申请材料</w:t>
      </w:r>
    </w:p>
    <w:p>
      <w:pPr>
        <w:spacing w:line="540" w:lineRule="exact"/>
        <w:ind w:firstLine="562" w:firstLineChars="200"/>
        <w:outlineLvl w:val="2"/>
        <w:rPr>
          <w:rFonts w:hint="eastAsia"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1.申请材料名称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(1)加盖公章的书面申请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原件1份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(内容包括但不限于说明需登记的事项、具体内容和原因);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(2)以信用证、托收方式结算的,提交合同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原件或加盖公章的复印件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;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(3)以预付、预收贷款方式结算的,提交合同和发票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原件或加盖公章的复印件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;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(4)以其他方式结算的、提交报关单和合同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原件或加盖公章的复印件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。货物不报关的可提供运输单据等其他证明材料代替报关单;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(5)收付汇与进出口主体不一致业务，还应区分情况提交捐赠协议、相关部门出具的分立，合并证明文件或其他相关材料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原件或加盖公章的复印件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；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(6)发生90天以上延期收款、付款的,还应提交需延期的证明材料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原件或加盖公章的复印件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；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(7)出口贸易融资放款还应提交与金融机构签订的协议和发票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原件或加盖公章的复印件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;</w:t>
      </w:r>
    </w:p>
    <w:p>
      <w:pPr>
        <w:spacing w:line="600" w:lineRule="exact"/>
        <w:ind w:firstLine="560" w:firstLineChars="200"/>
        <w:outlineLvl w:val="9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(8)外币现钞结汇金额达到规定入境申报金额的，还应提交经海关签章的《中华人民共和国海关进境旅客行李物品申报单》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原件或加盖公章的复印件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。</w:t>
      </w:r>
    </w:p>
    <w:p>
      <w:pPr>
        <w:spacing w:line="540" w:lineRule="exact"/>
        <w:ind w:firstLine="562" w:firstLineChars="200"/>
        <w:outlineLvl w:val="2"/>
        <w:rPr>
          <w:rFonts w:hint="eastAsia" w:ascii="Times New Roman" w:hAnsi="Times New Roman" w:eastAsia="仿宋GB2312"/>
          <w:b/>
          <w:bCs/>
          <w:sz w:val="28"/>
          <w:szCs w:val="28"/>
        </w:rPr>
      </w:pP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color w:val="auto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color w:val="auto"/>
          <w:sz w:val="28"/>
          <w:szCs w:val="28"/>
        </w:rPr>
        <w:t>2.</w:t>
      </w:r>
      <w:r>
        <w:rPr>
          <w:rFonts w:ascii="Times New Roman" w:hAnsi="Times New Roman" w:eastAsia="仿宋GB2312"/>
          <w:b/>
          <w:bCs/>
          <w:color w:val="auto"/>
          <w:sz w:val="28"/>
          <w:szCs w:val="28"/>
        </w:rPr>
        <w:t>规定申请材料的依据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1）《经常项目外汇业务指引（2020年版）》（汇发〔2020〕14号文印发）第二十六条货物贸易项下因汇路不畅需要使用外币现钞结汇的，银行应按照本指引第十一条等规定审核。外币现钞结汇金额达到规定入境申报金额的，银行还应审核企业提交的经海关签章的《中华人民共和国海关进境旅客行李物品申报单》（以下简称《海关申报单》）正本。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2）《经常项目外汇业务指引（2020年版）》（汇发〔2020〕14号文印发）第十一条企业办理货物贸易外汇收支业务时，银行应通过货贸系统查询企业名录信息与分类信息，按照“了解客户”“了解业务”“尽职审查”的展业原则（以下简称展业原则）和本指引规定进行审核，确认收支的真实性、合理性和逻辑性。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企业办理货物贸易外汇收入时，银行应确认资金性质，无法确认的及时与企业核实。企业办理货物贸易外汇支出时，银行应确认交易单证所列的交易主体、金额、性质等要素与其申请办理的外汇业务相一致。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交易单证包括但不限于合同（协议）、发票、进出口报关单、进出境备案清单、运输单据、保税核注清单等有效凭证和商业单据。银行可根据展业原则和业务实际，自主决定审核交易单证的种类。……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（3）《经常项目外汇业务指引（2020年版）》（汇发〔2020〕14号文印发）第三十四条B类企业在分类监管有效期内的货物贸易外汇收支业务应按照……下列要求办理：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一）以信用证、托收方式结算的，除按国际惯例审核有关商业单证外，还应审核合同；以预付货款、预收货款结算的，应审核合同和发票；以其他方式结算的，应审核相应报关单和合同，货物不报关的，企业可提供运输单据等其他证明材料代替报关单……。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（4）《国家外汇管理局关于进一步优化贸易外汇业务管理的通知》（汇发〔2024〕11号文印发）附件3《货物贸易外汇登记有关业务办理材料》:“....企业到所在地外汇局办理B类企业超可收/付汇额度或90天以上(不含)延期收/付款的贸易外汇收支登记，以及C类企业贸易外汇收支登记时,需提交以下材料: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1.加盖公章的书面申请(内容包括但不限于说明需登记的事项、具体内容和原因);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2.以信用证、托收方式结算的,提交合同: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3.以预付、预收贷款方式结算的,提交合同和发票;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4.以其他方式结算的,提交报关单和合同。货物不报关的可提供运输单据等其他证明材料代替报关单;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5.收付汇与进出口主体不一致业务，还应区分情况提交捐赠协议、相关部门出具的分立、合并证明文件或其他相关材料；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6.发生90天以上延期收款、付款的，还应提交需延期的证明材料；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7.出口贸易融资放款还应提交与金融机构签订的协议和发票;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8.外币现钞结汇金额达到规定入境申报金额的，还应提交经海关签章的《中华人民共和国海关进境旅客行李物品申报单》。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六、中介服务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1.有无法定中介服务事项：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</w:t>
      </w:r>
      <w:r>
        <w:rPr>
          <w:rFonts w:ascii="Times New Roman" w:hAnsi="Times New Roman" w:eastAsia="仿宋GB2312"/>
          <w:b/>
          <w:bCs/>
          <w:sz w:val="28"/>
          <w:szCs w:val="28"/>
        </w:rPr>
        <w:t>中介服务事项名称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</w:t>
      </w:r>
      <w:r>
        <w:rPr>
          <w:rFonts w:ascii="Times New Roman" w:hAnsi="Times New Roman" w:eastAsia="仿宋GB2312"/>
          <w:b/>
          <w:bCs/>
          <w:sz w:val="28"/>
          <w:szCs w:val="28"/>
        </w:rPr>
        <w:t>设定中介服务事项的依据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 xml:space="preserve">: 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</w:t>
      </w:r>
      <w:r>
        <w:rPr>
          <w:rFonts w:ascii="Times New Roman" w:hAnsi="Times New Roman" w:eastAsia="仿宋GB2312"/>
          <w:b/>
          <w:bCs/>
          <w:sz w:val="28"/>
          <w:szCs w:val="28"/>
        </w:rPr>
        <w:t>提供中介服务的机构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5.</w:t>
      </w:r>
      <w:r>
        <w:rPr>
          <w:rFonts w:ascii="Times New Roman" w:hAnsi="Times New Roman" w:eastAsia="仿宋GB2312"/>
          <w:b/>
          <w:bCs/>
          <w:sz w:val="28"/>
          <w:szCs w:val="28"/>
        </w:rPr>
        <w:t>中介服务事项的收费性质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七、审批程序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1.办理行政许可的程序环节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申请人申请；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审批机构受理/不予受理；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审批机构审查；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决定作出许可决定书/不予许可决定书。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2.规定行政许可程序的依据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（1）《国家外汇管理局行政许可实施办法》（国家外汇管理局公告2021年第1号）第十条外汇局收到行政许可申请后，应区分下列情况分别作出处理：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（一）申请事项属于本局职责范围，但依法不需要取得行政许可的，应即时告知申请人不受理，出具不予受理行政许可通知书；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（二）申请事项不属于本局职责范围，应即时作出不予受理的决定，出具不予受理行政许可通知书，并告知申请人向有关行政机关申请；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三）申请事项属于本局职责范围，但申请材料不齐全或不符合法定形式的，应当场或在收到申请材料之日起5个工作日内作出要求申请人补正材料的决定，出具补正告知书，一次性告知申请人需要补正的全部内容；逾期不告知的，自收到申请材料之日起即为受理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申请人拒不补正，或者自补正告知书送达之日起30日内未能提交全部且符合法定形式的补正材料的，应不予受理，出具不予受理行政许可通知书；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申请材料存在文字笔误等可当场更正的错误的，应允许申请人当场更正，并告知其在修改处签字或盖章确认；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（四）申请事项属于本局职责范围，申请材料齐全、符合法定形式，或者申请人按照要求提交全部补正申请材料的，应受理行政许可申请，出具行政许可受理通知书。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（2）《国家外汇管理局行政许可实施办法》（国家外汇管理局公告2021年第1号）第十四条外汇局对行政许可申请审查后，应区分下列情况分别作出处理：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（一）申请符合法定条件、拟准予行政许可的，应出具准予行政许可的书面决定。准予行政许可的书面决定应载明名称、出具单位、被许可人姓名或名称、行政许可事项、颁发日期、有效期（如有）等；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（二）申请不符合法定条件、拟不予行政许可的，应出具不予行政许可决定书，并说明不予行政许可的理由，告知申请人享有依法申请行政复议的权利。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是否需要现场勘验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是否需要组织听证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5.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是否需要招标、拍卖、挂牌交易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6.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是否需要检验、检测、检疫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7.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是否需要鉴定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8.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是否需要专家评审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9.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是否需要向社会公示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10.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是否实行告知承诺办理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11.审批机关是否委托服务机构开展技术性服务：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八、受理和审批时限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1.承诺受理时限：</w:t>
      </w:r>
      <w:r>
        <w:rPr>
          <w:rFonts w:ascii="方正仿宋_GBK" w:hAnsi="方正仿宋_GBK" w:eastAsia="方正仿宋_GBK" w:cs="方正仿宋_GBK"/>
          <w:sz w:val="28"/>
          <w:szCs w:val="28"/>
        </w:rPr>
        <w:t>5个工作日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2.法定审批时限：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20个工作日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3.规定法定审批时限依据</w:t>
      </w:r>
    </w:p>
    <w:p>
      <w:pPr>
        <w:spacing w:line="600" w:lineRule="exact"/>
        <w:ind w:firstLine="560" w:firstLineChars="200"/>
        <w:rPr>
          <w:rFonts w:ascii="Times New Roman" w:hAnsi="Times New Roman" w:eastAsia="仿宋GB2312"/>
          <w:sz w:val="32"/>
          <w:szCs w:val="32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（1）《国家外汇管理局行政许可实施办法》（国家外汇管理局公告2021年第1号）第十五条外汇局应根据以下要求确保行政许可依法按时完成：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（一）能当场作出决定的，应当场作出行政许可决定。当场作出行政许可决定的，可不出具行政许可受理通知书；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二）不能当场作出决定的，应自受理之日起20个工作日内作出决定；20个工作日内不能作出决定的，经本级外汇局局长或者主管副局长批准，可延长10个工作日，并向申请人出具延长行政许可办理期限通知书，说明延长期限的理由。行政许可办理期限只能延长一次。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外汇局征求其他部门意见的时间计算在以上办理时限内；依法需要听证、检验、检测、鉴定、专家评审等的时间，不计算在上述办理时限内。</w:t>
      </w:r>
    </w:p>
    <w:p>
      <w:pPr>
        <w:spacing w:line="600" w:lineRule="exact"/>
        <w:ind w:firstLine="560" w:firstLineChars="200"/>
        <w:rPr>
          <w:rFonts w:ascii="Times New Roman" w:hAnsi="Times New Roman" w:eastAsia="仿宋GB2312"/>
          <w:sz w:val="32"/>
          <w:szCs w:val="32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各级外汇局对行政许可办理时限具有对外承诺的，应按照其承诺的时限完成；对外承诺的时限应短于20个工作日。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4.承诺审批时限：</w:t>
      </w:r>
      <w:r>
        <w:rPr>
          <w:rFonts w:ascii="方正仿宋_GBK" w:hAnsi="方正仿宋_GBK" w:eastAsia="方正仿宋_GBK" w:cs="方正仿宋_GBK"/>
          <w:sz w:val="28"/>
          <w:szCs w:val="28"/>
        </w:rPr>
        <w:t>20个工作日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九、收费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1.办理行政许可是否收费：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 xml:space="preserve">2.收费项目的名称、收费项目的标准、设定收费项目的依据、规定收费标准的依据: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十、行政许可证件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1.审批结果类型：</w:t>
      </w:r>
      <w:r>
        <w:rPr>
          <w:rFonts w:ascii="方正仿宋_GBK" w:hAnsi="方正仿宋_GBK" w:eastAsia="方正仿宋_GBK" w:cs="方正仿宋_GBK"/>
          <w:sz w:val="28"/>
          <w:szCs w:val="28"/>
        </w:rPr>
        <w:t>批文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2.审批结果名称：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《贸易外汇业务登记表》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3.审批结果的有效期限：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原则上不超过1个月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4.规定审批结果有效期限的依据</w:t>
      </w:r>
    </w:p>
    <w:p>
      <w:pPr>
        <w:spacing w:line="600" w:lineRule="exact"/>
        <w:ind w:firstLine="560" w:firstLineChars="200"/>
        <w:rPr>
          <w:rFonts w:ascii="Times New Roman" w:hAnsi="Times New Roman" w:eastAsia="仿宋GB2312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（1）国家外汇管理局关于</w:t>
      </w:r>
      <w: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  <w:t>进一步优化贸易外汇业务管理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的通知》（汇发〔20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24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〕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11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号）附件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《</w:t>
      </w:r>
      <w: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  <w:t>贸易外汇业务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登记表》的有效期原则上不超过1个月</w:t>
      </w:r>
      <w:bookmarkStart w:id="6" w:name="_GoBack"/>
      <w:bookmarkEnd w:id="6"/>
      <w:r>
        <w:rPr>
          <w:rFonts w:hint="eastAsia" w:ascii="方正仿宋_GBK" w:hAnsi="方正仿宋_GBK" w:eastAsia="方正仿宋_GBK" w:cs="方正仿宋_GBK"/>
          <w:sz w:val="28"/>
          <w:szCs w:val="28"/>
        </w:rPr>
        <w:t>。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5.是否需要办理审批结果变更手续：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 xml:space="preserve">6.办理审批结果变更手续的要求: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7.是否需要办理审批结果延续手续：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 xml:space="preserve">8.办理审批结果延续手续的要求: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 xml:space="preserve">9.审批结果的有效地域范围: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全国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 xml:space="preserve">10.规定审批结果有效地域范围的依据: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十一、行政许可数量限制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1.有无行政许可数量限制：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2.公布数量限制的方式：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3.公布数量限制的周期：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4.在数量限制条件下实施行政许可的方式：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jc w:val="left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 xml:space="preserve">5.规定在数量限制条件下实施行政许可方式的依据: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十二、行政许可后年检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1.有无年检要求：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 xml:space="preserve">2.设定年检要求的依据: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3.年检周期：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4.年检是否要求报送材料：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5.年检报送材料名称：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6.年检是否收费：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 xml:space="preserve">7.年检收费项目的名称、年检收费项目的标准、设定年检收费项目的依据、规定年检项目收费标准的依据: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8.通过年检的证明或者标志：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十三、行政许可后年报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</w:t>
      </w:r>
      <w:r>
        <w:rPr>
          <w:rFonts w:ascii="Times New Roman" w:hAnsi="Times New Roman" w:eastAsia="仿宋GB2312"/>
          <w:b/>
          <w:bCs/>
          <w:sz w:val="28"/>
          <w:szCs w:val="28"/>
        </w:rPr>
        <w:t>有无年报要求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</w:t>
      </w:r>
      <w:r>
        <w:rPr>
          <w:rFonts w:ascii="Times New Roman" w:hAnsi="Times New Roman" w:eastAsia="仿宋GB2312"/>
          <w:b/>
          <w:bCs/>
          <w:sz w:val="28"/>
          <w:szCs w:val="28"/>
        </w:rPr>
        <w:t>年报报送材料名称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</w:t>
      </w:r>
      <w:r>
        <w:rPr>
          <w:rFonts w:ascii="Times New Roman" w:hAnsi="Times New Roman" w:eastAsia="仿宋GB2312"/>
          <w:b/>
          <w:bCs/>
          <w:sz w:val="28"/>
          <w:szCs w:val="28"/>
        </w:rPr>
        <w:t>设定年报要求的依据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 xml:space="preserve">: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</w:t>
      </w:r>
      <w:r>
        <w:rPr>
          <w:rFonts w:ascii="Times New Roman" w:hAnsi="Times New Roman" w:eastAsia="仿宋GB2312"/>
          <w:b/>
          <w:bCs/>
          <w:sz w:val="28"/>
          <w:szCs w:val="28"/>
        </w:rPr>
        <w:t>年报周期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十四、监管主体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国家外汇局及其分局</w:t>
      </w:r>
    </w:p>
    <w:p>
      <w:pPr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eastAsia="黑体"/>
          <w:sz w:val="28"/>
          <w:szCs w:val="28"/>
        </w:rPr>
        <w:t>十五、</w:t>
      </w:r>
      <w:r>
        <w:rPr>
          <w:rFonts w:eastAsia="黑体"/>
          <w:sz w:val="28"/>
          <w:szCs w:val="28"/>
        </w:rPr>
        <w:t>行政许可办理地址和时间</w:t>
      </w:r>
    </w:p>
    <w:p>
      <w:pPr>
        <w:spacing w:line="540" w:lineRule="exact"/>
        <w:ind w:firstLine="562" w:firstLineChars="200"/>
        <w:outlineLvl w:val="2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eastAsia="zh-CN"/>
        </w:rPr>
      </w:pPr>
      <w:r>
        <w:rPr>
          <w:rFonts w:hint="eastAsia" w:eastAsia="仿宋GB2312"/>
          <w:b/>
          <w:bCs/>
          <w:sz w:val="28"/>
          <w:szCs w:val="28"/>
        </w:rPr>
        <w:t>1.</w:t>
      </w:r>
      <w:r>
        <w:rPr>
          <w:rFonts w:hint="eastAsia" w:eastAsia="仿宋GB2312"/>
          <w:b/>
          <w:bCs/>
          <w:color w:val="auto"/>
          <w:sz w:val="28"/>
          <w:szCs w:val="28"/>
          <w:lang w:eastAsia="zh-CN"/>
        </w:rPr>
        <w:t>办理地址：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eastAsia="zh-CN"/>
        </w:rPr>
        <w:t>广西南宁市青秀区滨湖路58号中国人民银行广西壮族自治区分行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8楼811号办公室</w:t>
      </w:r>
    </w:p>
    <w:p>
      <w:pPr>
        <w:spacing w:line="540" w:lineRule="exact"/>
        <w:ind w:firstLine="562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eastAsia="仿宋GB2312"/>
          <w:b/>
          <w:bCs/>
          <w:sz w:val="28"/>
          <w:szCs w:val="28"/>
        </w:rPr>
        <w:t>2.办理时间：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工作日，上午：08:30-12:00，下午：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14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:30-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17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 xml:space="preserve">:30 </w:t>
      </w:r>
    </w:p>
    <w:p>
      <w:pPr>
        <w:rPr>
          <w:rFonts w:eastAsia="黑体"/>
          <w:sz w:val="28"/>
          <w:szCs w:val="28"/>
        </w:rPr>
      </w:pPr>
      <w:bookmarkStart w:id="0" w:name="_Toc32164"/>
      <w:bookmarkStart w:id="1" w:name="_Toc27624"/>
      <w:bookmarkStart w:id="2" w:name="_Toc22902"/>
      <w:bookmarkStart w:id="3" w:name="_Toc12947"/>
      <w:bookmarkStart w:id="4" w:name="_Toc26066"/>
      <w:bookmarkStart w:id="5" w:name="_Toc29697"/>
      <w:r>
        <w:rPr>
          <w:rFonts w:hint="eastAsia" w:eastAsia="黑体"/>
          <w:sz w:val="28"/>
          <w:szCs w:val="28"/>
        </w:rPr>
        <w:t>十六、</w:t>
      </w:r>
      <w:r>
        <w:rPr>
          <w:rFonts w:eastAsia="黑体"/>
          <w:sz w:val="28"/>
          <w:szCs w:val="28"/>
        </w:rPr>
        <w:t>咨询途径</w:t>
      </w:r>
      <w:bookmarkEnd w:id="0"/>
      <w:bookmarkEnd w:id="1"/>
      <w:bookmarkEnd w:id="2"/>
      <w:bookmarkEnd w:id="3"/>
      <w:bookmarkEnd w:id="4"/>
      <w:bookmarkEnd w:id="5"/>
    </w:p>
    <w:p>
      <w:pPr>
        <w:spacing w:line="540" w:lineRule="exact"/>
        <w:ind w:firstLine="562" w:firstLineChars="200"/>
        <w:outlineLvl w:val="2"/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</w:pPr>
      <w:r>
        <w:rPr>
          <w:rFonts w:hint="eastAsia" w:eastAsia="仿宋GB2312"/>
          <w:b/>
          <w:bCs/>
          <w:color w:val="auto"/>
          <w:sz w:val="28"/>
          <w:szCs w:val="28"/>
          <w:lang w:eastAsia="zh-CN"/>
        </w:rPr>
        <w:t>1.窗口咨询地址：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eastAsia="zh-CN"/>
        </w:rPr>
        <w:t>广西南宁市青秀区滨湖路58号中国人民银行广西壮族自治区分行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8楼811号办公室</w:t>
      </w:r>
    </w:p>
    <w:p>
      <w:pPr>
        <w:spacing w:line="540" w:lineRule="exact"/>
        <w:ind w:firstLine="562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eastAsia="仿宋GB2312"/>
          <w:b/>
          <w:bCs/>
          <w:sz w:val="28"/>
          <w:szCs w:val="28"/>
        </w:rPr>
        <w:t>2.电话咨询号码：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0771-6111201</w:t>
      </w:r>
    </w:p>
    <w:p>
      <w:pPr>
        <w:spacing w:line="540" w:lineRule="exact"/>
        <w:ind w:firstLine="562" w:firstLineChars="200"/>
        <w:outlineLvl w:val="2"/>
        <w:rPr>
          <w:rFonts w:eastAsia="仿宋GB2312"/>
          <w:b/>
          <w:bCs/>
          <w:sz w:val="28"/>
          <w:szCs w:val="28"/>
        </w:rPr>
      </w:pPr>
      <w:r>
        <w:rPr>
          <w:rFonts w:hint="eastAsia" w:eastAsia="仿宋GB2312"/>
          <w:b/>
          <w:bCs/>
          <w:sz w:val="28"/>
          <w:szCs w:val="28"/>
        </w:rPr>
        <w:t>3.咨询网址：</w:t>
      </w:r>
      <w: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  <w:t>国家外汇管理局广西壮族自治区分局官方网站（www.safe.gov.cn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/guangxi/）</w:t>
      </w:r>
      <w: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  <w:t>咨询反馈栏目</w:t>
      </w:r>
    </w:p>
    <w:p>
      <w:pPr>
        <w:rPr>
          <w:rFonts w:eastAsia="仿宋GB2312"/>
          <w:b/>
          <w:bCs/>
          <w:sz w:val="28"/>
          <w:szCs w:val="28"/>
        </w:rPr>
      </w:pPr>
      <w:r>
        <w:rPr>
          <w:rFonts w:hint="eastAsia" w:eastAsia="黑体"/>
          <w:sz w:val="28"/>
          <w:szCs w:val="28"/>
        </w:rPr>
        <w:t>十七、监督投诉渠道</w:t>
      </w:r>
    </w:p>
    <w:p>
      <w:pPr>
        <w:spacing w:line="540" w:lineRule="exact"/>
        <w:ind w:firstLine="562" w:firstLineChars="200"/>
        <w:outlineLvl w:val="2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eastAsia="仿宋GB2312"/>
          <w:b/>
          <w:bCs/>
          <w:sz w:val="28"/>
          <w:szCs w:val="28"/>
        </w:rPr>
        <w:t>1.电话监督投诉：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0771-6111357</w:t>
      </w:r>
    </w:p>
    <w:p>
      <w:pPr>
        <w:spacing w:line="540" w:lineRule="exact"/>
        <w:ind w:firstLine="562" w:firstLineChars="200"/>
        <w:outlineLvl w:val="2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eastAsia="仿宋GB2312"/>
          <w:b/>
          <w:bCs/>
          <w:sz w:val="28"/>
          <w:szCs w:val="28"/>
          <w:lang w:val="en-US" w:eastAsia="zh-CN"/>
        </w:rPr>
        <w:t>2</w:t>
      </w:r>
      <w:r>
        <w:rPr>
          <w:rFonts w:hint="eastAsia" w:eastAsia="仿宋GB2312"/>
          <w:b/>
          <w:bCs/>
          <w:sz w:val="28"/>
          <w:szCs w:val="28"/>
        </w:rPr>
        <w:t>.网络监督投诉网址：</w:t>
      </w:r>
      <w: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  <w:t>国家外汇管理局广西壮族自治区分局官方网站（www.safe.gov.cn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/guangxi/）</w:t>
      </w:r>
      <w: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  <w:t>咨询反馈栏目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</w:t>
      </w:r>
      <w:r>
        <w:rPr>
          <w:rFonts w:hint="eastAsia" w:ascii="Times New Roman" w:hAnsi="Times New Roman" w:eastAsia="黑体"/>
          <w:sz w:val="28"/>
          <w:szCs w:val="28"/>
          <w:lang w:eastAsia="zh-CN"/>
        </w:rPr>
        <w:t>八</w:t>
      </w:r>
      <w:r>
        <w:rPr>
          <w:rFonts w:hint="eastAsia" w:ascii="Times New Roman" w:hAnsi="Times New Roman" w:eastAsia="黑体"/>
          <w:sz w:val="28"/>
          <w:szCs w:val="28"/>
        </w:rPr>
        <w:t>、备注</w:t>
      </w:r>
    </w:p>
    <w:p/>
    <w:p>
      <w:pPr>
        <w:rPr>
          <w:rFonts w:ascii="Times New Roman" w:hAnsi="Times New Roman" w:cs="Times New Roman"/>
          <w:color w:val="auto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Noto Sans Mono CJK JP Regular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GB2312">
    <w:altName w:val="仿宋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15</w:t>
    </w:r>
    <w:r>
      <w:rPr>
        <w:lang w:val="zh-CN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docVars>
    <w:docVar w:name="commondata" w:val="eyJoZGlkIjoiMGQ4YjIwYjI4ZmE4OWQ2YmE1MDViYjU3ZGNiYjhlODIifQ=="/>
  </w:docVars>
  <w:rsids>
    <w:rsidRoot w:val="009B19B3"/>
    <w:rsid w:val="000003C0"/>
    <w:rsid w:val="000021D6"/>
    <w:rsid w:val="00004BD5"/>
    <w:rsid w:val="00007A67"/>
    <w:rsid w:val="000233D5"/>
    <w:rsid w:val="00027E45"/>
    <w:rsid w:val="000351A4"/>
    <w:rsid w:val="00037A07"/>
    <w:rsid w:val="0004414D"/>
    <w:rsid w:val="00050681"/>
    <w:rsid w:val="00061C5F"/>
    <w:rsid w:val="000652D6"/>
    <w:rsid w:val="00070716"/>
    <w:rsid w:val="000B0E34"/>
    <w:rsid w:val="000D3467"/>
    <w:rsid w:val="000D61BB"/>
    <w:rsid w:val="000E2AD6"/>
    <w:rsid w:val="000E2D98"/>
    <w:rsid w:val="000E55BC"/>
    <w:rsid w:val="000E5910"/>
    <w:rsid w:val="000F1C17"/>
    <w:rsid w:val="000F24B5"/>
    <w:rsid w:val="00102A7C"/>
    <w:rsid w:val="00106460"/>
    <w:rsid w:val="001156C5"/>
    <w:rsid w:val="001172B3"/>
    <w:rsid w:val="00134BF3"/>
    <w:rsid w:val="00140DE8"/>
    <w:rsid w:val="001418D3"/>
    <w:rsid w:val="001437E6"/>
    <w:rsid w:val="00154329"/>
    <w:rsid w:val="00163202"/>
    <w:rsid w:val="001870AC"/>
    <w:rsid w:val="00193A89"/>
    <w:rsid w:val="00195B37"/>
    <w:rsid w:val="001A1E83"/>
    <w:rsid w:val="001A61DE"/>
    <w:rsid w:val="001C084E"/>
    <w:rsid w:val="001C2B84"/>
    <w:rsid w:val="001C3568"/>
    <w:rsid w:val="001C4BB1"/>
    <w:rsid w:val="001D095F"/>
    <w:rsid w:val="001D2DD9"/>
    <w:rsid w:val="001D56F0"/>
    <w:rsid w:val="001D5C07"/>
    <w:rsid w:val="001E37D7"/>
    <w:rsid w:val="001F1B4B"/>
    <w:rsid w:val="001F2A75"/>
    <w:rsid w:val="00212F1A"/>
    <w:rsid w:val="00215F91"/>
    <w:rsid w:val="002178A9"/>
    <w:rsid w:val="002226D7"/>
    <w:rsid w:val="0023361F"/>
    <w:rsid w:val="00233CB8"/>
    <w:rsid w:val="00233F9E"/>
    <w:rsid w:val="00235C6D"/>
    <w:rsid w:val="002453CB"/>
    <w:rsid w:val="00253212"/>
    <w:rsid w:val="00254875"/>
    <w:rsid w:val="00256B77"/>
    <w:rsid w:val="002654CB"/>
    <w:rsid w:val="00266E25"/>
    <w:rsid w:val="00273E50"/>
    <w:rsid w:val="002756E4"/>
    <w:rsid w:val="002A0834"/>
    <w:rsid w:val="002B0553"/>
    <w:rsid w:val="002B05F7"/>
    <w:rsid w:val="002B3F08"/>
    <w:rsid w:val="002B4E65"/>
    <w:rsid w:val="002C7EAF"/>
    <w:rsid w:val="002F2577"/>
    <w:rsid w:val="002F6202"/>
    <w:rsid w:val="00316E50"/>
    <w:rsid w:val="00316F0E"/>
    <w:rsid w:val="00321272"/>
    <w:rsid w:val="00325547"/>
    <w:rsid w:val="00326B8C"/>
    <w:rsid w:val="003314E4"/>
    <w:rsid w:val="00331E1E"/>
    <w:rsid w:val="003371EB"/>
    <w:rsid w:val="00337ED9"/>
    <w:rsid w:val="00345800"/>
    <w:rsid w:val="003508A5"/>
    <w:rsid w:val="00354A7C"/>
    <w:rsid w:val="00364BB9"/>
    <w:rsid w:val="00377012"/>
    <w:rsid w:val="00387FD0"/>
    <w:rsid w:val="00396CD5"/>
    <w:rsid w:val="003A1721"/>
    <w:rsid w:val="003A2E79"/>
    <w:rsid w:val="003A4630"/>
    <w:rsid w:val="003A496B"/>
    <w:rsid w:val="003B1325"/>
    <w:rsid w:val="003B6057"/>
    <w:rsid w:val="003C3480"/>
    <w:rsid w:val="003C5C1F"/>
    <w:rsid w:val="003D1EDA"/>
    <w:rsid w:val="003D1F9B"/>
    <w:rsid w:val="003D2BBB"/>
    <w:rsid w:val="003D3BB2"/>
    <w:rsid w:val="003D7B66"/>
    <w:rsid w:val="00404086"/>
    <w:rsid w:val="0040580D"/>
    <w:rsid w:val="00413782"/>
    <w:rsid w:val="00417C88"/>
    <w:rsid w:val="004311DF"/>
    <w:rsid w:val="00436919"/>
    <w:rsid w:val="00437717"/>
    <w:rsid w:val="0044021E"/>
    <w:rsid w:val="00445A64"/>
    <w:rsid w:val="0045411C"/>
    <w:rsid w:val="004573E4"/>
    <w:rsid w:val="00460F9A"/>
    <w:rsid w:val="004735FC"/>
    <w:rsid w:val="004924A7"/>
    <w:rsid w:val="004935B2"/>
    <w:rsid w:val="00497B08"/>
    <w:rsid w:val="00497FC6"/>
    <w:rsid w:val="004A6503"/>
    <w:rsid w:val="004B1BDA"/>
    <w:rsid w:val="004B3A9F"/>
    <w:rsid w:val="004C5477"/>
    <w:rsid w:val="004D3F83"/>
    <w:rsid w:val="004E4AD4"/>
    <w:rsid w:val="004E746C"/>
    <w:rsid w:val="004E7E2D"/>
    <w:rsid w:val="00512742"/>
    <w:rsid w:val="00512786"/>
    <w:rsid w:val="00514ABC"/>
    <w:rsid w:val="005263C0"/>
    <w:rsid w:val="00544909"/>
    <w:rsid w:val="00551A5A"/>
    <w:rsid w:val="0056706F"/>
    <w:rsid w:val="00567128"/>
    <w:rsid w:val="005845DF"/>
    <w:rsid w:val="00584DF2"/>
    <w:rsid w:val="0058649D"/>
    <w:rsid w:val="00593352"/>
    <w:rsid w:val="00595487"/>
    <w:rsid w:val="005A32AB"/>
    <w:rsid w:val="005A3A70"/>
    <w:rsid w:val="005A61D4"/>
    <w:rsid w:val="005B322C"/>
    <w:rsid w:val="005C4A17"/>
    <w:rsid w:val="005E1F6F"/>
    <w:rsid w:val="005E6464"/>
    <w:rsid w:val="005F1522"/>
    <w:rsid w:val="005F1DCD"/>
    <w:rsid w:val="005F3C89"/>
    <w:rsid w:val="005F5952"/>
    <w:rsid w:val="006017F9"/>
    <w:rsid w:val="00603617"/>
    <w:rsid w:val="00611E81"/>
    <w:rsid w:val="0064768C"/>
    <w:rsid w:val="006509E6"/>
    <w:rsid w:val="00654AA7"/>
    <w:rsid w:val="006553EF"/>
    <w:rsid w:val="006603EC"/>
    <w:rsid w:val="006667EE"/>
    <w:rsid w:val="006675D3"/>
    <w:rsid w:val="00673F17"/>
    <w:rsid w:val="00675C64"/>
    <w:rsid w:val="006847AE"/>
    <w:rsid w:val="00693E03"/>
    <w:rsid w:val="00696646"/>
    <w:rsid w:val="00696A7B"/>
    <w:rsid w:val="006B1D92"/>
    <w:rsid w:val="006B28AD"/>
    <w:rsid w:val="006B3076"/>
    <w:rsid w:val="006B5EF5"/>
    <w:rsid w:val="006B6370"/>
    <w:rsid w:val="006B71D2"/>
    <w:rsid w:val="006C4C39"/>
    <w:rsid w:val="006C5121"/>
    <w:rsid w:val="006D3427"/>
    <w:rsid w:val="006D6A5B"/>
    <w:rsid w:val="006E7C82"/>
    <w:rsid w:val="006F61C6"/>
    <w:rsid w:val="0071311B"/>
    <w:rsid w:val="007157B6"/>
    <w:rsid w:val="0072541C"/>
    <w:rsid w:val="00732949"/>
    <w:rsid w:val="0073340E"/>
    <w:rsid w:val="00735659"/>
    <w:rsid w:val="00735A28"/>
    <w:rsid w:val="007510E5"/>
    <w:rsid w:val="007544BC"/>
    <w:rsid w:val="007632A0"/>
    <w:rsid w:val="007634FF"/>
    <w:rsid w:val="0076451B"/>
    <w:rsid w:val="007704CD"/>
    <w:rsid w:val="0078686C"/>
    <w:rsid w:val="00795D93"/>
    <w:rsid w:val="007A1978"/>
    <w:rsid w:val="007B0E48"/>
    <w:rsid w:val="007B0EBE"/>
    <w:rsid w:val="007B6675"/>
    <w:rsid w:val="007D1D7B"/>
    <w:rsid w:val="007E7441"/>
    <w:rsid w:val="007F233E"/>
    <w:rsid w:val="0080044E"/>
    <w:rsid w:val="0081373A"/>
    <w:rsid w:val="00815287"/>
    <w:rsid w:val="00824D07"/>
    <w:rsid w:val="008269C3"/>
    <w:rsid w:val="00827911"/>
    <w:rsid w:val="00832D42"/>
    <w:rsid w:val="00833A95"/>
    <w:rsid w:val="00834DF4"/>
    <w:rsid w:val="00837990"/>
    <w:rsid w:val="00841DE9"/>
    <w:rsid w:val="00842C2F"/>
    <w:rsid w:val="00846D5D"/>
    <w:rsid w:val="00864463"/>
    <w:rsid w:val="00865B37"/>
    <w:rsid w:val="00871300"/>
    <w:rsid w:val="00871BB2"/>
    <w:rsid w:val="0087457D"/>
    <w:rsid w:val="008767C3"/>
    <w:rsid w:val="00876926"/>
    <w:rsid w:val="008A068A"/>
    <w:rsid w:val="008A0A76"/>
    <w:rsid w:val="008A53DB"/>
    <w:rsid w:val="008A6143"/>
    <w:rsid w:val="008A6DDB"/>
    <w:rsid w:val="008A6EEC"/>
    <w:rsid w:val="008B019D"/>
    <w:rsid w:val="008B4359"/>
    <w:rsid w:val="008C33D3"/>
    <w:rsid w:val="008D285E"/>
    <w:rsid w:val="008E0D30"/>
    <w:rsid w:val="008E324F"/>
    <w:rsid w:val="008E57E6"/>
    <w:rsid w:val="008E6700"/>
    <w:rsid w:val="008F3E08"/>
    <w:rsid w:val="008F5475"/>
    <w:rsid w:val="00916523"/>
    <w:rsid w:val="009245CA"/>
    <w:rsid w:val="009347F8"/>
    <w:rsid w:val="009379DE"/>
    <w:rsid w:val="00945AC3"/>
    <w:rsid w:val="009516B1"/>
    <w:rsid w:val="009545B6"/>
    <w:rsid w:val="009568D7"/>
    <w:rsid w:val="00960764"/>
    <w:rsid w:val="009640DB"/>
    <w:rsid w:val="00966422"/>
    <w:rsid w:val="00970C40"/>
    <w:rsid w:val="009732FA"/>
    <w:rsid w:val="00976900"/>
    <w:rsid w:val="00977A16"/>
    <w:rsid w:val="00981057"/>
    <w:rsid w:val="00984619"/>
    <w:rsid w:val="009849B6"/>
    <w:rsid w:val="00985C45"/>
    <w:rsid w:val="00986690"/>
    <w:rsid w:val="0098731F"/>
    <w:rsid w:val="009976AB"/>
    <w:rsid w:val="009A32EE"/>
    <w:rsid w:val="009A6053"/>
    <w:rsid w:val="009B0566"/>
    <w:rsid w:val="009B19B3"/>
    <w:rsid w:val="009B4EC4"/>
    <w:rsid w:val="009D2CA3"/>
    <w:rsid w:val="009D7865"/>
    <w:rsid w:val="009F0EE6"/>
    <w:rsid w:val="00A011E0"/>
    <w:rsid w:val="00A019DC"/>
    <w:rsid w:val="00A053EC"/>
    <w:rsid w:val="00A20682"/>
    <w:rsid w:val="00A20869"/>
    <w:rsid w:val="00A21B4B"/>
    <w:rsid w:val="00A23CC9"/>
    <w:rsid w:val="00A31633"/>
    <w:rsid w:val="00A333A8"/>
    <w:rsid w:val="00A33C4E"/>
    <w:rsid w:val="00A42BA0"/>
    <w:rsid w:val="00A437F1"/>
    <w:rsid w:val="00A4638A"/>
    <w:rsid w:val="00A56380"/>
    <w:rsid w:val="00A724BB"/>
    <w:rsid w:val="00A76F2C"/>
    <w:rsid w:val="00A828DC"/>
    <w:rsid w:val="00A85917"/>
    <w:rsid w:val="00A86C39"/>
    <w:rsid w:val="00AA2782"/>
    <w:rsid w:val="00AB1454"/>
    <w:rsid w:val="00AC2C69"/>
    <w:rsid w:val="00AD6356"/>
    <w:rsid w:val="00AD7F95"/>
    <w:rsid w:val="00AE1454"/>
    <w:rsid w:val="00AE1E55"/>
    <w:rsid w:val="00AF3753"/>
    <w:rsid w:val="00AF57E1"/>
    <w:rsid w:val="00B03FA1"/>
    <w:rsid w:val="00B047C5"/>
    <w:rsid w:val="00B063D5"/>
    <w:rsid w:val="00B11981"/>
    <w:rsid w:val="00B14564"/>
    <w:rsid w:val="00B150F1"/>
    <w:rsid w:val="00B1706B"/>
    <w:rsid w:val="00B241DC"/>
    <w:rsid w:val="00B24922"/>
    <w:rsid w:val="00B327C8"/>
    <w:rsid w:val="00B35ADB"/>
    <w:rsid w:val="00B37501"/>
    <w:rsid w:val="00B43476"/>
    <w:rsid w:val="00B44E28"/>
    <w:rsid w:val="00B525C6"/>
    <w:rsid w:val="00B61130"/>
    <w:rsid w:val="00B614A1"/>
    <w:rsid w:val="00B73A28"/>
    <w:rsid w:val="00B84802"/>
    <w:rsid w:val="00B87216"/>
    <w:rsid w:val="00B94AEF"/>
    <w:rsid w:val="00BA5B48"/>
    <w:rsid w:val="00BB3C0B"/>
    <w:rsid w:val="00BB6FB7"/>
    <w:rsid w:val="00BB71AE"/>
    <w:rsid w:val="00BC4ACD"/>
    <w:rsid w:val="00BD1960"/>
    <w:rsid w:val="00BE47E8"/>
    <w:rsid w:val="00BF58A4"/>
    <w:rsid w:val="00BF69EA"/>
    <w:rsid w:val="00C01288"/>
    <w:rsid w:val="00C20EC9"/>
    <w:rsid w:val="00C266D2"/>
    <w:rsid w:val="00C26BC0"/>
    <w:rsid w:val="00C314B5"/>
    <w:rsid w:val="00C31ECE"/>
    <w:rsid w:val="00C34F82"/>
    <w:rsid w:val="00C4111F"/>
    <w:rsid w:val="00C5180B"/>
    <w:rsid w:val="00C545CE"/>
    <w:rsid w:val="00C5521A"/>
    <w:rsid w:val="00C57574"/>
    <w:rsid w:val="00C659B4"/>
    <w:rsid w:val="00C66EDA"/>
    <w:rsid w:val="00C71261"/>
    <w:rsid w:val="00C903FE"/>
    <w:rsid w:val="00C90E8C"/>
    <w:rsid w:val="00C95743"/>
    <w:rsid w:val="00CA4D41"/>
    <w:rsid w:val="00CA5928"/>
    <w:rsid w:val="00CB1ED8"/>
    <w:rsid w:val="00CB751C"/>
    <w:rsid w:val="00CC02F5"/>
    <w:rsid w:val="00CC2FE6"/>
    <w:rsid w:val="00CD6F3B"/>
    <w:rsid w:val="00CE1482"/>
    <w:rsid w:val="00CE55F6"/>
    <w:rsid w:val="00CF249D"/>
    <w:rsid w:val="00CF5E83"/>
    <w:rsid w:val="00D007CE"/>
    <w:rsid w:val="00D01106"/>
    <w:rsid w:val="00D07C35"/>
    <w:rsid w:val="00D143B3"/>
    <w:rsid w:val="00D16C12"/>
    <w:rsid w:val="00D224E4"/>
    <w:rsid w:val="00D3006E"/>
    <w:rsid w:val="00D327EC"/>
    <w:rsid w:val="00D3615F"/>
    <w:rsid w:val="00D402BA"/>
    <w:rsid w:val="00D408D0"/>
    <w:rsid w:val="00D55E8C"/>
    <w:rsid w:val="00D80592"/>
    <w:rsid w:val="00D81AB8"/>
    <w:rsid w:val="00D85E50"/>
    <w:rsid w:val="00D92ED1"/>
    <w:rsid w:val="00DA5B01"/>
    <w:rsid w:val="00DB2D9A"/>
    <w:rsid w:val="00DD10B4"/>
    <w:rsid w:val="00DD4792"/>
    <w:rsid w:val="00DD6A30"/>
    <w:rsid w:val="00DE791B"/>
    <w:rsid w:val="00DF15BD"/>
    <w:rsid w:val="00DF7356"/>
    <w:rsid w:val="00E02AE9"/>
    <w:rsid w:val="00E049C8"/>
    <w:rsid w:val="00E129F8"/>
    <w:rsid w:val="00E144BB"/>
    <w:rsid w:val="00E27EE9"/>
    <w:rsid w:val="00E30DEB"/>
    <w:rsid w:val="00E33EFE"/>
    <w:rsid w:val="00E430A6"/>
    <w:rsid w:val="00E46A26"/>
    <w:rsid w:val="00E505E0"/>
    <w:rsid w:val="00E55B0D"/>
    <w:rsid w:val="00E61CED"/>
    <w:rsid w:val="00E645AF"/>
    <w:rsid w:val="00E75B2F"/>
    <w:rsid w:val="00E77119"/>
    <w:rsid w:val="00E92470"/>
    <w:rsid w:val="00E955CC"/>
    <w:rsid w:val="00EA12C1"/>
    <w:rsid w:val="00EA2A2D"/>
    <w:rsid w:val="00EA3634"/>
    <w:rsid w:val="00EA5CDF"/>
    <w:rsid w:val="00EA6B80"/>
    <w:rsid w:val="00EB156E"/>
    <w:rsid w:val="00EB574D"/>
    <w:rsid w:val="00EB6DFA"/>
    <w:rsid w:val="00EC0133"/>
    <w:rsid w:val="00EC36EB"/>
    <w:rsid w:val="00EC7A79"/>
    <w:rsid w:val="00ED3C09"/>
    <w:rsid w:val="00EE1E1E"/>
    <w:rsid w:val="00EE29F0"/>
    <w:rsid w:val="00EE36F3"/>
    <w:rsid w:val="00EE69DD"/>
    <w:rsid w:val="00EF5BC8"/>
    <w:rsid w:val="00F005E2"/>
    <w:rsid w:val="00F10FD7"/>
    <w:rsid w:val="00F16F75"/>
    <w:rsid w:val="00F201F4"/>
    <w:rsid w:val="00F21D92"/>
    <w:rsid w:val="00F32657"/>
    <w:rsid w:val="00F36247"/>
    <w:rsid w:val="00F405D0"/>
    <w:rsid w:val="00F4072A"/>
    <w:rsid w:val="00F416D6"/>
    <w:rsid w:val="00F424E1"/>
    <w:rsid w:val="00F45FB3"/>
    <w:rsid w:val="00F50CE9"/>
    <w:rsid w:val="00F52218"/>
    <w:rsid w:val="00F53245"/>
    <w:rsid w:val="00F5552D"/>
    <w:rsid w:val="00F61D32"/>
    <w:rsid w:val="00F622F9"/>
    <w:rsid w:val="00F62A8B"/>
    <w:rsid w:val="00F6439F"/>
    <w:rsid w:val="00F8030E"/>
    <w:rsid w:val="00F8305D"/>
    <w:rsid w:val="00F85E60"/>
    <w:rsid w:val="00F87754"/>
    <w:rsid w:val="00FA48B7"/>
    <w:rsid w:val="00FC6843"/>
    <w:rsid w:val="00FC754C"/>
    <w:rsid w:val="00FD19D2"/>
    <w:rsid w:val="00FF083E"/>
    <w:rsid w:val="00FF35CC"/>
    <w:rsid w:val="010F4D4C"/>
    <w:rsid w:val="02961C63"/>
    <w:rsid w:val="08FB2C37"/>
    <w:rsid w:val="0ABD3DAF"/>
    <w:rsid w:val="0AF05DDE"/>
    <w:rsid w:val="0B005F1C"/>
    <w:rsid w:val="0EEC5902"/>
    <w:rsid w:val="0FAF3253"/>
    <w:rsid w:val="11311F96"/>
    <w:rsid w:val="14224580"/>
    <w:rsid w:val="17046B3B"/>
    <w:rsid w:val="17C17882"/>
    <w:rsid w:val="1CA03A26"/>
    <w:rsid w:val="1CDB3593"/>
    <w:rsid w:val="1FEE5AF7"/>
    <w:rsid w:val="22773779"/>
    <w:rsid w:val="2406637B"/>
    <w:rsid w:val="254914F1"/>
    <w:rsid w:val="28F62BC9"/>
    <w:rsid w:val="2D437A51"/>
    <w:rsid w:val="32A33CC4"/>
    <w:rsid w:val="36A130A2"/>
    <w:rsid w:val="38DB4FAA"/>
    <w:rsid w:val="39652CFB"/>
    <w:rsid w:val="3996388A"/>
    <w:rsid w:val="3ABF5483"/>
    <w:rsid w:val="3D8C1BA8"/>
    <w:rsid w:val="3DF9176C"/>
    <w:rsid w:val="41F31BDE"/>
    <w:rsid w:val="41F44A83"/>
    <w:rsid w:val="43F40AC5"/>
    <w:rsid w:val="447B0B22"/>
    <w:rsid w:val="45805907"/>
    <w:rsid w:val="474560C3"/>
    <w:rsid w:val="48892395"/>
    <w:rsid w:val="4BBD7942"/>
    <w:rsid w:val="4D525930"/>
    <w:rsid w:val="52566D98"/>
    <w:rsid w:val="5BD32C0D"/>
    <w:rsid w:val="5CE65F5B"/>
    <w:rsid w:val="5DE00B4E"/>
    <w:rsid w:val="5ED463FD"/>
    <w:rsid w:val="60096D8A"/>
    <w:rsid w:val="65A62198"/>
    <w:rsid w:val="6C6D76D3"/>
    <w:rsid w:val="6FBC018B"/>
    <w:rsid w:val="774E40A7"/>
    <w:rsid w:val="7A97735A"/>
    <w:rsid w:val="7B273BBD"/>
    <w:rsid w:val="7FCF052B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Style w:val="8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toc 3"/>
    <w:basedOn w:val="1"/>
    <w:next w:val="1"/>
    <w:unhideWhenUsed/>
    <w:qFormat/>
    <w:uiPriority w:val="39"/>
    <w:pPr>
      <w:ind w:left="840" w:leftChars="400"/>
    </w:pPr>
  </w:style>
  <w:style w:type="paragraph" w:styleId="3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table" w:styleId="9">
    <w:name w:val="Table Grid"/>
    <w:basedOn w:val="8"/>
    <w:qFormat/>
    <w:uiPriority w:val="59"/>
    <w:pPr/>
    <w:tblPr>
      <w:tblStyle w:val="8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Revision"/>
    <w:hidden/>
    <w:semiHidden/>
    <w:qFormat/>
    <w:uiPriority w:val="99"/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customStyle="1" w:styleId="12">
    <w:name w:val="Heading 1"/>
    <w:basedOn w:val="1"/>
    <w:qFormat/>
    <w:uiPriority w:val="1"/>
    <w:pPr>
      <w:spacing w:line="541" w:lineRule="exact"/>
      <w:ind w:left="1919" w:right="2017"/>
      <w:jc w:val="center"/>
      <w:outlineLvl w:val="1"/>
    </w:pPr>
    <w:rPr>
      <w:rFonts w:ascii="Noto Sans Mono CJK JP Regular" w:hAnsi="Noto Sans Mono CJK JP Regular" w:eastAsia="Noto Sans Mono CJK JP Regular" w:cs="Noto Sans Mono CJK JP Regular"/>
      <w:sz w:val="36"/>
      <w:szCs w:val="36"/>
    </w:rPr>
  </w:style>
  <w:style w:type="character" w:customStyle="1" w:styleId="13">
    <w:name w:val="页眉 Char"/>
    <w:basedOn w:val="6"/>
    <w:link w:val="5"/>
    <w:qFormat/>
    <w:uiPriority w:val="99"/>
    <w:rPr>
      <w:sz w:val="18"/>
      <w:szCs w:val="18"/>
    </w:rPr>
  </w:style>
  <w:style w:type="character" w:customStyle="1" w:styleId="14">
    <w:name w:val="页脚 Char"/>
    <w:basedOn w:val="6"/>
    <w:link w:val="4"/>
    <w:qFormat/>
    <w:uiPriority w:val="99"/>
    <w:rPr>
      <w:sz w:val="18"/>
      <w:szCs w:val="18"/>
    </w:rPr>
  </w:style>
  <w:style w:type="character" w:customStyle="1" w:styleId="15">
    <w:name w:val="批注框文本 Char"/>
    <w:basedOn w:val="6"/>
    <w:link w:val="3"/>
    <w:semiHidden/>
    <w:qFormat/>
    <w:uiPriority w:val="99"/>
    <w:rPr>
      <w:sz w:val="18"/>
      <w:szCs w:val="18"/>
    </w:rPr>
  </w:style>
  <w:style w:type="character" w:customStyle="1" w:styleId="16">
    <w:name w:val="mini-outputtext"/>
    <w:basedOn w:val="6"/>
    <w:qFormat/>
    <w:uiPriority w:val="0"/>
    <w:rPr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3188</Words>
  <Characters>3423</Characters>
  <Lines>41</Lines>
  <Paragraphs>11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2020-04-22T08:12:00Z</dcterms:created>
  <dc:creator>吴</dc:creator>
  <cp:lastModifiedBy>龙进</cp:lastModifiedBy>
  <cp:lastPrinted>2020-05-08T08:38:00Z</cp:lastPrinted>
  <dcterms:modified xsi:type="dcterms:W3CDTF">2026-01-21T02:28:49Z</dcterms:modified>
  <dc:title>编号：57001-2              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  <property fmtid="{D5CDD505-2E9C-101B-9397-08002B2CF9AE}" pid="3" name="ICV">
    <vt:lpwstr>4095CDC4C1BF4250B6E0D0B7DE84D8DF_12</vt:lpwstr>
  </property>
</Properties>
</file>