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jc w:val="left"/>
        <w:rPr>
          <w:rFonts w:hint="eastAsia" w:ascii="黑体" w:hAnsi="黑体" w:eastAsia="黑体" w:cs="黑体"/>
          <w:color w:val="auto"/>
          <w:sz w:val="30"/>
          <w:szCs w:val="30"/>
        </w:rPr>
      </w:pPr>
      <w:bookmarkStart w:id="6" w:name="_GoBack"/>
      <w:bookmarkEnd w:id="6"/>
      <w:r>
        <w:rPr>
          <w:rFonts w:hint="eastAsia" w:ascii="黑体" w:hAnsi="黑体" w:eastAsia="黑体" w:cs="黑体"/>
          <w:color w:val="auto"/>
          <w:sz w:val="30"/>
          <w:szCs w:val="30"/>
        </w:rPr>
        <w:t>编号：0001711020</w:t>
      </w:r>
      <w:r>
        <w:rPr>
          <w:rFonts w:hint="eastAsia" w:ascii="黑体" w:hAnsi="黑体" w:eastAsia="黑体" w:cs="黑体"/>
          <w:color w:val="auto"/>
          <w:sz w:val="30"/>
          <w:szCs w:val="30"/>
          <w:lang w:val="en-US" w:eastAsia="zh-CN"/>
        </w:rPr>
        <w:t>04</w:t>
      </w:r>
      <w:r>
        <w:rPr>
          <w:rFonts w:hint="eastAsia" w:ascii="黑体" w:hAnsi="黑体" w:eastAsia="黑体" w:cs="黑体"/>
          <w:color w:val="auto"/>
          <w:sz w:val="30"/>
          <w:szCs w:val="30"/>
        </w:rPr>
        <w:t xml:space="preserve">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w:t>
      </w:r>
      <w:r>
        <w:rPr>
          <w:rFonts w:hint="eastAsia" w:ascii="Times New Roman" w:hAnsi="Times New Roman" w:eastAsia="黑体" w:cs="Times New Roman"/>
          <w:color w:val="auto"/>
          <w:sz w:val="52"/>
          <w:szCs w:val="52"/>
        </w:rPr>
        <w:t>省级分局和计划单列市分局</w:t>
      </w:r>
      <w:r>
        <w:rPr>
          <w:rFonts w:hint="default" w:ascii="Times New Roman" w:hAnsi="Times New Roman" w:eastAsia="黑体" w:cs="Times New Roman"/>
          <w:color w:val="auto"/>
          <w:sz w:val="52"/>
          <w:szCs w:val="52"/>
          <w:lang w:val="en-US" w:eastAsia="zh-CN"/>
        </w:rPr>
        <w:t>办理的企业经常项目资金集中和轧差结算收支业务登记</w:t>
      </w:r>
      <w:r>
        <w:rPr>
          <w:rFonts w:ascii="Times New Roman" w:hAnsi="Times New Roman" w:eastAsia="黑体" w:cs="Times New Roman"/>
          <w:color w:val="auto"/>
          <w:sz w:val="52"/>
          <w:szCs w:val="52"/>
        </w:rPr>
        <w:t xml:space="preserve">” </w:t>
      </w: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行政审批服务指南</w:t>
      </w: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12"/>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ind w:right="300"/>
        <w:jc w:val="center"/>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sectPr>
          <w:footerReference r:id="rId4" w:type="default"/>
          <w:pgSz w:w="11906" w:h="16838"/>
          <w:pgMar w:top="1440" w:right="1800" w:bottom="1440" w:left="1800" w:header="851" w:footer="992" w:gutter="0"/>
          <w:cols w:space="720" w:num="1"/>
          <w:docGrid w:type="lines" w:linePitch="312" w:charSpace="0"/>
        </w:sectPr>
      </w:pPr>
    </w:p>
    <w:p>
      <w:pPr>
        <w:jc w:val="center"/>
        <w:rPr>
          <w:rFonts w:ascii="方正小标宋_GBK" w:hAnsi="方正小标宋_GBK" w:eastAsia="方正小标宋_GBK" w:cs="方正小标宋_GBK"/>
          <w:sz w:val="40"/>
          <w:szCs w:val="40"/>
        </w:rPr>
      </w:pPr>
      <w:r>
        <w:rPr>
          <w:rFonts w:ascii="Times New Roman" w:hAnsi="Times New Roman" w:eastAsia="黑体" w:cs="Times New Roman"/>
          <w:color w:val="auto"/>
          <w:sz w:val="30"/>
          <w:szCs w:val="30"/>
        </w:rPr>
        <w:t xml:space="preserve">   </w:t>
      </w:r>
      <w:r>
        <w:rPr>
          <w:rFonts w:hint="eastAsia" w:ascii="方正小标宋_GBK" w:hAnsi="方正小标宋_GBK" w:eastAsia="方正小标宋_GBK" w:cs="方正小标宋_GBK"/>
          <w:sz w:val="40"/>
          <w:szCs w:val="40"/>
        </w:rPr>
        <w:t>省级分局和计划单列市分局办理的企业经常项目资金集中和轧差结算收支业务登记</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【000171102004】</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经常项目特定收支业务核准【00017110200Y】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省级分局和计划单列市分局办理的企业经常项目资金集中和轧差结算收支业务登记【000171102004】</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1.省级分局和计划单列市分局办理的经常项目资金集中和轧差结算收支业务变更(00017110200401)</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2.省级分局和计划单列市分局办理的经常项目资金集中和轧差结算收支业务新办(00017110200402)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（1）《经常项目外汇业务指引（2020年版）》（汇发〔2020〕14号文印发）第一百四十三条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（2）《跨国公司跨境资金集中运营管理规定》（汇发〔2019〕7号文印发）第五条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（3）《国家外汇管理局行政许可实施办法》（国家外汇管理局公告2021年第1号）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（4）《跨国公司跨境资金集中运营管理规定》（汇发〔2019〕7号文印发）（汇发〔2019〕7号文印发）第七条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进口付汇事前审核,出口收汇事前审核</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省级分局和计划单列市分局办理的经常项目资金收付和轧差结算收支业务新办</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办理经常项目资金集中收付和轧差结算收支业务的申请主体为跨国公司主办企业，且需满足以下要求：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具备真实业务需求；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具有完善的跨境资金管理架构、内控制度；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建立相应的内部管理电子系统；</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企业上年度本外币国际收支规模超过1亿美元，自由贸易试验区企业上年度本外币国际收支规模超过5000万美元（参加跨境资金集中运营业务的境内成员企业合并计算）；</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近三年无重大外汇违法违规行为（成立不满三年的企业，自成立之日起无重大外汇违规行为）；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主办企业和境内成员企业如为贸易外汇收支名录内企业，货物贸易分类结果应为A类。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省级分局和计划单列市分局办理的经常项目资金集中和轧差结算收支业务变更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跨国公司跨境资金集中运营业务办理期间，合作银行、主办企业、成员企业、业务种类等发生变更的跨国公司主办企业。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跨国公司跨境资金集中运营管理规定》（汇发〔2019〕7号文印发）第五条满足以下条件的跨国公司,可根据经营需要选择一家境内企业作为主办企业集中运营管理境内外成员企业资金,开展集中外债额度、集中境外放款额度、经常项目资金集中收付和轧差结算中的一项或多项业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（一）具备真实业务需求;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（二）具有完善的跨境资金管理架构、内控制度;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（三）建立相应的内部管理电子系统;</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（四）上年度本外币国际收支规模超过 1 亿美元（参加跨境资金集中运营业务的境内成员企业合并计算）;</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（五）近三年无重大外汇违法违规行为（成立不满三年的企业,自成立之日起无重大外汇违规行为）;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（六）主办企业和境内成员企业如为贸易外汇收支名录内企业,货物贸易分类结果应为 A 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跨国公司跨境资金集中运营管理规定》（汇发〔2019〕7号文印发）第十条跨国公司跨境资金集中运营业务办理期间，合作银行、主办企业、成员企业、业务种类等发生变更的，主办企业应提前一个月通过所在地外汇局向分局变更备案。</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6.具体改革举措: </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省级分局和计划单列市分局办理的经常项目资金集中和轧差结算收支业务新办</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加盖公章的备案申请书原件1份。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跨国公司对主办企业开展跨境资金集中运营业务的授权书原件1份。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主办企业与合作银行共同签署的《跨国公司跨境资金集中运营业务办理确认书》原件或加盖公章的复印件1份。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加盖主办企业公章的主办企业及境内成员企业营业执照（统一社会信用代码证）复印件1份。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境外成员企业注册文件原件或加盖公章的复印件1份。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金融业务许可证及经营范围批准文件原件或加盖公章的复印件1份。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省级分局和计划单列市分局办理的经常项目资金集中和轧差结算收支业务变更</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申请书1份。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加盖银行业务公章的原账户余额对账单原件或加盖公章的复印件1份。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主办企业与变更后合作银行签署的《跨国公司跨境资金集中运营业务办理确认书》原件或加盖公章的复印件1份。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跨国公司对主办企业开展跨境资金集中运营业务的授权书原件或加盖公章的复印件1份。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主办企业与合作银行共同签署的《跨国公司跨境资金集中运营业务办理确认书》原件或加盖公章的复印件1份。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主办企业及境内成员企业营业执照（统一社会信用代码证）原件或加盖公章的复印件1份。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境外成员企业注册文件原件或加盖公章的复印件1份。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金融业务许可证及经营范围批准文件原件或加盖公章的复印件1份。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跨国公司跨境资金集中运营管理规定》（汇发〔2019〕7号）第七条跨国公司开展跨境资金集中运营业务，应通过主办企业所在地国家外汇管理局分支局（以下简称所在地外汇局）向所属外汇分局、管理部（以下简称分局）备案，提交以下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（1）基本材料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备案申请书（包括跨国公司及主办企业基本情况、拟开展的业务种类、成员企业名单、主办企业及成员企业股权结构情况、拟选择的合作银行情况等）；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跨国公司对主办企业开展跨境资金集中运营业务的授权书；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主办企业与合作银行共同签署的《跨国公司跨境资金集中运营业务办理确认书》；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境外成员企业注册文件（非中文的同时提供中文翻译件）；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金融业务许可证及经营范围批准文件（仅主办企业为财务公司的需提供）。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以上第2项材料应加盖跨国公司公章，其余材料均应加盖主办企业公章。</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（2）专项材料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资金集中收付和轧差净额结算。主办企业申请办理经常项目资金集中收付和轧差净额结算备案时，应在备案申请书中列表说明参与经常项目资金集中收付和轧差净额结算的境内成员企业名称、统一社会信用代码、注册地（加盖主办企业公章）。</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（2）《跨国公司跨境资金集中运营管理规定》（汇发〔2019〕7号）第十条合作银行变更的，应提交以下材料：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1.变更合作银行申请（包括拟选择的合作银行，原账户余额的处理方式等）；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2.加盖银行业务公章的原账户余额对账单；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3.主办企业与变更后合作银行签署的《跨国公司跨境资金集中运营业务办理确认书》。</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主办企业变更、成员企业新增或退出、外债和境外放款额度变更、业务种类变更的，……参照第七条提交材料……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根据《国家外汇管理局关于取消有关外汇管理证明事项的通知》（汇发〔2019〕38号 ）附件 外汇管理取消证明事项目录第10条跨国公司跨境资金集中运营业务原备案通知书复印件已取消。</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 xml:space="preserve">: </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2.收费项目的名称、收费项目的标准、设定收费项目的依据、规定收费标准的依据: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《跨国公司跨境资金集中运营业务办理确认书》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4.规定审批结果有效期限的依据: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6.办理审批结果变更手续的要求: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8.办理审批结果延续手续的要求: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9.审批结果的有效地域范围: </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10.规定审批结果有效地域范围的依据: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 xml:space="preserve">5.规定在数量限制条件下实施行政许可方式的依据: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2.设定年检要求的依据: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 xml:space="preserve">: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hint="eastAsia" w:ascii="方正仿宋_GBK" w:hAnsi="方正仿宋_GBK" w:eastAsia="方正仿宋_GBK" w:cs="方正仿宋_GBK"/>
          <w:color w:val="auto"/>
          <w:sz w:val="28"/>
          <w:szCs w:val="28"/>
          <w:lang w:val="en-US" w:eastAsia="zh-CN"/>
        </w:rPr>
      </w:pPr>
      <w:r>
        <w:rPr>
          <w:rFonts w:hint="eastAsia" w:eastAsia="仿宋GB2312"/>
          <w:b/>
          <w:bCs/>
          <w:color w:val="auto"/>
          <w:sz w:val="28"/>
          <w:szCs w:val="28"/>
        </w:rPr>
        <w:t>1.</w:t>
      </w:r>
      <w:r>
        <w:rPr>
          <w:rFonts w:hint="eastAsia" w:eastAsia="仿宋GB2312"/>
          <w:b/>
          <w:bCs/>
          <w:color w:val="auto"/>
          <w:sz w:val="28"/>
          <w:szCs w:val="28"/>
          <w:lang w:eastAsia="zh-CN"/>
        </w:rPr>
        <w:t>办理地址：</w:t>
      </w:r>
      <w:r>
        <w:rPr>
          <w:rFonts w:hint="eastAsia" w:ascii="方正仿宋_GBK" w:hAnsi="方正仿宋_GBK" w:eastAsia="方正仿宋_GBK" w:cs="方正仿宋_GBK"/>
          <w:color w:val="auto"/>
          <w:sz w:val="28"/>
          <w:szCs w:val="28"/>
          <w:lang w:val="en-US"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2.办理时间：</w:t>
      </w:r>
      <w:r>
        <w:rPr>
          <w:rFonts w:hint="eastAsia" w:ascii="方正仿宋_GBK" w:hAnsi="方正仿宋_GBK" w:eastAsia="方正仿宋_GBK" w:cs="方正仿宋_GBK"/>
          <w:color w:val="auto"/>
          <w:sz w:val="28"/>
          <w:szCs w:val="28"/>
        </w:rPr>
        <w:t>工作日，上午：08:30-12:00，下午：</w:t>
      </w:r>
      <w:r>
        <w:rPr>
          <w:rFonts w:hint="eastAsia" w:ascii="方正仿宋_GBK" w:hAnsi="方正仿宋_GBK" w:eastAsia="方正仿宋_GBK" w:cs="方正仿宋_GBK"/>
          <w:color w:val="auto"/>
          <w:sz w:val="28"/>
          <w:szCs w:val="28"/>
          <w:lang w:val="en-US" w:eastAsia="zh-CN"/>
        </w:rPr>
        <w:t>14</w:t>
      </w:r>
      <w:r>
        <w:rPr>
          <w:rFonts w:hint="eastAsia" w:ascii="方正仿宋_GBK" w:hAnsi="方正仿宋_GBK" w:eastAsia="方正仿宋_GBK" w:cs="方正仿宋_GBK"/>
          <w:color w:val="auto"/>
          <w:sz w:val="28"/>
          <w:szCs w:val="28"/>
        </w:rPr>
        <w:t>:30-</w:t>
      </w:r>
      <w:r>
        <w:rPr>
          <w:rFonts w:hint="eastAsia" w:ascii="方正仿宋_GBK" w:hAnsi="方正仿宋_GBK" w:eastAsia="方正仿宋_GBK" w:cs="方正仿宋_GBK"/>
          <w:color w:val="auto"/>
          <w:sz w:val="28"/>
          <w:szCs w:val="28"/>
          <w:lang w:val="en-US" w:eastAsia="zh-CN"/>
        </w:rPr>
        <w:t>17</w:t>
      </w:r>
      <w:r>
        <w:rPr>
          <w:rFonts w:hint="eastAsia" w:ascii="方正仿宋_GBK" w:hAnsi="方正仿宋_GBK" w:eastAsia="方正仿宋_GBK" w:cs="方正仿宋_GBK"/>
          <w:color w:val="auto"/>
          <w:sz w:val="28"/>
          <w:szCs w:val="28"/>
        </w:rPr>
        <w:t xml:space="preserve">:30 </w:t>
      </w:r>
    </w:p>
    <w:p>
      <w:pPr>
        <w:rPr>
          <w:rFonts w:eastAsia="黑体"/>
          <w:color w:val="auto"/>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color w:val="auto"/>
          <w:sz w:val="28"/>
          <w:szCs w:val="28"/>
        </w:rPr>
        <w:t>十六、</w:t>
      </w:r>
      <w:r>
        <w:rPr>
          <w:rFonts w:eastAsia="黑体"/>
          <w:color w:val="auto"/>
          <w:sz w:val="28"/>
          <w:szCs w:val="28"/>
        </w:rPr>
        <w:t>咨询途径</w:t>
      </w:r>
      <w:bookmarkEnd w:id="0"/>
      <w:bookmarkEnd w:id="1"/>
      <w:bookmarkEnd w:id="2"/>
      <w:bookmarkEnd w:id="3"/>
      <w:bookmarkEnd w:id="4"/>
      <w:bookmarkEnd w:id="5"/>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1.窗口咨询地址：</w:t>
      </w:r>
      <w:r>
        <w:rPr>
          <w:rFonts w:hint="eastAsia" w:ascii="方正仿宋_GBK" w:hAnsi="方正仿宋_GBK" w:eastAsia="方正仿宋_GBK" w:cs="方正仿宋_GBK"/>
          <w:color w:val="auto"/>
          <w:sz w:val="28"/>
          <w:szCs w:val="28"/>
          <w:lang w:val="en-US"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0771-6111201</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
    <w:p/>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省级分局和计划单列市分局办理的经常项目资金集中和轧差结算收支业务新办</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【00017110200402】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经常项目特定收支业务核准【00017110200Y】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省级分局和计划单列市分局办理的企业经常项目资金集中和轧差结算收支业务登记【000171102004】</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省级分局和计划单列市分局办理的经常项目资金集中和轧差结算收支业务新办(00017110200402)</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（1）《经常项目外汇业务指引（2020年版）》（汇发〔2020〕14号文印发）第一百四十三条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（2）《跨国公司跨境资金集中运营管理规定》（汇发〔2019〕7号文印发）第五条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（3）《国家外汇管理局行政许可实施办法》（国家外汇管理局公告2021年第1号）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（4）《跨国公司跨境资金集中运营管理规定》（汇发〔2019〕7号文印发）第七条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进口付汇事前审核,出口收汇事前审核</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办理经常项目资金集中收付和轧差结算收支业务的申请主体为跨国公司主办企业，且需满足以下要求：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具备真实业务需求；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具有完善的跨境资金管理架构、内控制度；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建立相应的内部管理电子系统；</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企业上年度本外币国际收支规模超过1亿美元，自由贸易试验区企业上年度本外币国际收支规模超过5000万美元（参加跨境资金集中运营业务的境内成员企业合并计算）；</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近三年无重大外汇违法违规行为（成立不满三年的企业，自成立之日起无重大外汇违规行为）；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主办企业和境内成员企业如为贸易外汇收支名录内企业，货物贸易分类结果应为A类。</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跨国公司跨境资金集中运营管理规定》（汇发〔2019〕7号）第五条满足以下条件的跨国公司,可根据经营需要选择一家境内企业作为主办企业集中运营管理境内外成员企业资金,开展集中外债额度、集中境外放款额度、经常项目资金集中收付和轧差结算中的一项或多项业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（一）具备真实业务需求;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（二）具有完善的跨境资金管理架构、内控制度;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（三）建立相应的内部管理电子系统;</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（四）上年度本外币国际收支规模超过 1 亿美元（参加跨境资金集中运营业务的境内成员企业合并计算）;</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（五）近三年无重大外汇违法违规行为（成立不满三年的企业,自成立之日起无重大外汇违规行为）;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（六）主办企业和境内成员企业如为贸易外汇收支名录内企业,货物贸易分类结果应为 A 类……。</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6.具体改革举措: </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加盖公章的备案申请书原件1份。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跨国公司对主办企业开展跨境资金集中运营业务的授权书原件1份。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主办企业与合作银行共同签署的《跨国公司跨境资金集中运营业务办理确认书》原件或加盖公章的复印件1份。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加盖主办企业公章的主办企业及境内成员企业营业执照（统一社会信用代码证）复印件1份。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境外成员企业注册文件原件或加盖公章的复印件1份。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金融业务许可证及经营范围批准文件原件或加盖公章的复印件1份。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跨国公司跨境资金集中运营管理规定》（汇发〔2019〕7号文印发）第七条跨国公司开展跨境资金集中运营业务，应通过主办企业所在地国家外汇管理局分支局（以下简称所在地外汇局）向所属外汇分局、管理部（以下简称分局）备案，提交以下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（1）基本材料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备案申请书（包括跨国公司及主办企业基本情况、拟开展的业务种类、成员企业名单、主办企业及成员企业股权结构情况、拟选择的合作银行情况等）；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跨国公司对主办企业开展跨境资金集中运营业务的授权书；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主办企业与合作银行共同签署的《跨国公司跨境资金集中运营业务办理确认书》；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境外成员企业注册文件（非中文的同时提供中文翻译件）；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金融业务许可证及经营范围批准文件（仅主办企业为财务公司的需提供）。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以上第2项材料应加盖跨国公司公章，其余材料均应加盖主办企业公章。</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（2）专项材料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资金集中收付和轧差净额结算。主办企业申请办理经常项目资金集中收付和轧差净额结算备案时，应在备案申请书中列表说明参与经常项目资金集中收付和轧差净额结算的境内成员企业名称、统一社会信用代码、注册地（加盖主办企业公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 xml:space="preserve">: </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第十四条 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2.收费项目的名称、收费项目的标准、设定收费项目的依据、规定收费标准的依据: </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《跨国公司跨境资金集中运营业务办理确认书》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4.规定审批结果有效期限的依据: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6.办理审批结果变更手续的要求: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8.办理审批结果延续手续的要求: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9.审批结果的有效地域范围: </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10.规定审批结果有效地域范围的依据: </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 xml:space="preserve">5.规定在数量限制条件下实施行政许可方式的依据: </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2.设定年检要求的依据: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 xml:space="preserve">: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1.</w:t>
      </w:r>
      <w:r>
        <w:rPr>
          <w:rFonts w:hint="eastAsia" w:eastAsia="仿宋GB2312"/>
          <w:b/>
          <w:bCs/>
          <w:color w:val="auto"/>
          <w:sz w:val="28"/>
          <w:szCs w:val="28"/>
          <w:lang w:eastAsia="zh-CN"/>
        </w:rPr>
        <w:t>办理地址：</w:t>
      </w:r>
      <w:r>
        <w:rPr>
          <w:rFonts w:hint="eastAsia" w:ascii="方正仿宋_GBK" w:hAnsi="方正仿宋_GBK" w:eastAsia="方正仿宋_GBK" w:cs="方正仿宋_GBK"/>
          <w:color w:val="auto"/>
          <w:sz w:val="28"/>
          <w:szCs w:val="28"/>
          <w:lang w:val="en-US"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2.办理时间：</w:t>
      </w:r>
      <w:r>
        <w:rPr>
          <w:rFonts w:hint="eastAsia" w:ascii="方正仿宋_GBK" w:hAnsi="方正仿宋_GBK" w:eastAsia="方正仿宋_GBK" w:cs="方正仿宋_GBK"/>
          <w:color w:val="auto"/>
          <w:sz w:val="28"/>
          <w:szCs w:val="28"/>
        </w:rPr>
        <w:t>工作日，上午：08:30-12:00，下午：</w:t>
      </w:r>
      <w:r>
        <w:rPr>
          <w:rFonts w:hint="eastAsia" w:ascii="方正仿宋_GBK" w:hAnsi="方正仿宋_GBK" w:eastAsia="方正仿宋_GBK" w:cs="方正仿宋_GBK"/>
          <w:color w:val="auto"/>
          <w:sz w:val="28"/>
          <w:szCs w:val="28"/>
          <w:lang w:val="en-US" w:eastAsia="zh-CN"/>
        </w:rPr>
        <w:t>14</w:t>
      </w:r>
      <w:r>
        <w:rPr>
          <w:rFonts w:hint="eastAsia" w:ascii="方正仿宋_GBK" w:hAnsi="方正仿宋_GBK" w:eastAsia="方正仿宋_GBK" w:cs="方正仿宋_GBK"/>
          <w:color w:val="auto"/>
          <w:sz w:val="28"/>
          <w:szCs w:val="28"/>
        </w:rPr>
        <w:t>:30-</w:t>
      </w:r>
      <w:r>
        <w:rPr>
          <w:rFonts w:hint="eastAsia" w:ascii="方正仿宋_GBK" w:hAnsi="方正仿宋_GBK" w:eastAsia="方正仿宋_GBK" w:cs="方正仿宋_GBK"/>
          <w:color w:val="auto"/>
          <w:sz w:val="28"/>
          <w:szCs w:val="28"/>
          <w:lang w:val="en-US" w:eastAsia="zh-CN"/>
        </w:rPr>
        <w:t>17</w:t>
      </w:r>
      <w:r>
        <w:rPr>
          <w:rFonts w:hint="eastAsia" w:ascii="方正仿宋_GBK" w:hAnsi="方正仿宋_GBK" w:eastAsia="方正仿宋_GBK" w:cs="方正仿宋_GBK"/>
          <w:color w:val="auto"/>
          <w:sz w:val="28"/>
          <w:szCs w:val="28"/>
        </w:rPr>
        <w:t>:30</w:t>
      </w:r>
    </w:p>
    <w:p>
      <w:pPr>
        <w:rPr>
          <w:rFonts w:eastAsia="黑体"/>
          <w:color w:val="auto"/>
          <w:sz w:val="28"/>
          <w:szCs w:val="28"/>
        </w:rPr>
      </w:pPr>
      <w:r>
        <w:rPr>
          <w:rFonts w:hint="eastAsia" w:eastAsia="黑体"/>
          <w:color w:val="auto"/>
          <w:sz w:val="28"/>
          <w:szCs w:val="28"/>
        </w:rPr>
        <w:t>十六、</w:t>
      </w:r>
      <w:r>
        <w:rPr>
          <w:rFonts w:eastAsia="黑体"/>
          <w:color w:val="auto"/>
          <w:sz w:val="28"/>
          <w:szCs w:val="28"/>
        </w:rPr>
        <w:t>咨询途径</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1.窗口咨询地址：</w:t>
      </w:r>
      <w:r>
        <w:rPr>
          <w:rFonts w:hint="eastAsia" w:ascii="方正仿宋_GBK" w:hAnsi="方正仿宋_GBK" w:eastAsia="方正仿宋_GBK" w:cs="方正仿宋_GBK"/>
          <w:color w:val="auto"/>
          <w:sz w:val="28"/>
          <w:szCs w:val="28"/>
          <w:lang w:val="en-US"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2.电话咨询号码：</w:t>
      </w:r>
      <w:r>
        <w:rPr>
          <w:rFonts w:hint="eastAsia" w:ascii="方正仿宋_GBK" w:hAnsi="方正仿宋_GBK" w:eastAsia="方正仿宋_GBK" w:cs="方正仿宋_GBK"/>
          <w:color w:val="auto"/>
          <w:sz w:val="28"/>
          <w:szCs w:val="28"/>
          <w:lang w:val="en-US" w:eastAsia="zh-CN"/>
        </w:rPr>
        <w:t>0771-6111201</w:t>
      </w:r>
    </w:p>
    <w:p>
      <w:pPr>
        <w:spacing w:line="540" w:lineRule="exact"/>
        <w:ind w:firstLine="562" w:firstLineChars="200"/>
        <w:outlineLvl w:val="2"/>
        <w:rPr>
          <w:rFonts w:eastAsia="仿宋GB2312"/>
          <w:b/>
          <w:bCs/>
          <w:color w:val="auto"/>
          <w:sz w:val="28"/>
          <w:szCs w:val="28"/>
        </w:rPr>
      </w:pPr>
      <w:r>
        <w:rPr>
          <w:rFonts w:hint="eastAsia" w:eastAsia="仿宋GB2312"/>
          <w:b/>
          <w:bCs/>
          <w:color w:val="auto"/>
          <w:sz w:val="28"/>
          <w:szCs w:val="28"/>
        </w:rPr>
        <w:t>3.咨询网址：</w:t>
      </w:r>
      <w:r>
        <w:rPr>
          <w:rFonts w:hint="eastAsia" w:ascii="方正仿宋_GBK" w:hAnsi="方正仿宋_GBK" w:eastAsia="方正仿宋_GBK" w:cs="方正仿宋_GBK"/>
          <w:color w:val="auto"/>
          <w:sz w:val="28"/>
          <w:szCs w:val="28"/>
          <w:lang w:eastAsia="zh-CN"/>
        </w:rPr>
        <w:t>国家外汇管理局广西壮族自治区分局官方网站（www.safe.gov.cn</w:t>
      </w:r>
      <w:r>
        <w:rPr>
          <w:rFonts w:hint="eastAsia" w:ascii="方正仿宋_GBK" w:hAnsi="方正仿宋_GBK" w:eastAsia="方正仿宋_GBK" w:cs="方正仿宋_GBK"/>
          <w:color w:val="auto"/>
          <w:sz w:val="28"/>
          <w:szCs w:val="28"/>
          <w:lang w:val="en-US" w:eastAsia="zh-CN"/>
        </w:rPr>
        <w:t>/guangxi/）</w:t>
      </w:r>
      <w:r>
        <w:rPr>
          <w:rFonts w:hint="eastAsia" w:ascii="方正仿宋_GBK" w:hAnsi="方正仿宋_GBK" w:eastAsia="方正仿宋_GBK" w:cs="方正仿宋_GBK"/>
          <w:color w:val="auto"/>
          <w:sz w:val="28"/>
          <w:szCs w:val="28"/>
          <w:lang w:eastAsia="zh-CN"/>
        </w:rPr>
        <w:t>咨询反馈栏目</w:t>
      </w:r>
    </w:p>
    <w:p>
      <w:pPr>
        <w:rPr>
          <w:rFonts w:eastAsia="仿宋GB2312"/>
          <w:b/>
          <w:bCs/>
          <w:color w:val="auto"/>
          <w:sz w:val="28"/>
          <w:szCs w:val="28"/>
        </w:rPr>
      </w:pPr>
      <w:r>
        <w:rPr>
          <w:rFonts w:hint="eastAsia" w:eastAsia="黑体"/>
          <w:color w:val="auto"/>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color w:val="auto"/>
          <w:sz w:val="28"/>
          <w:szCs w:val="28"/>
          <w:lang w:val="en-US" w:eastAsia="zh-CN"/>
        </w:rPr>
      </w:pPr>
      <w:r>
        <w:rPr>
          <w:rFonts w:hint="eastAsia" w:eastAsia="仿宋GB2312"/>
          <w:b/>
          <w:bCs/>
          <w:color w:val="auto"/>
          <w:sz w:val="28"/>
          <w:szCs w:val="28"/>
        </w:rPr>
        <w:t>1.电话监督投诉：</w:t>
      </w:r>
      <w:r>
        <w:rPr>
          <w:rFonts w:hint="eastAsia" w:ascii="方正仿宋_GBK" w:hAnsi="方正仿宋_GBK" w:eastAsia="方正仿宋_GBK" w:cs="方正仿宋_GBK"/>
          <w:color w:val="auto"/>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color w:val="auto"/>
          <w:sz w:val="28"/>
          <w:szCs w:val="28"/>
        </w:rPr>
      </w:pPr>
      <w:r>
        <w:rPr>
          <w:rFonts w:hint="eastAsia" w:eastAsia="仿宋GB2312"/>
          <w:b/>
          <w:bCs/>
          <w:color w:val="auto"/>
          <w:sz w:val="28"/>
          <w:szCs w:val="28"/>
          <w:lang w:val="en-US" w:eastAsia="zh-CN"/>
        </w:rPr>
        <w:t>2</w:t>
      </w:r>
      <w:r>
        <w:rPr>
          <w:rFonts w:hint="eastAsia" w:eastAsia="仿宋GB2312"/>
          <w:b/>
          <w:bCs/>
          <w:color w:val="auto"/>
          <w:sz w:val="28"/>
          <w:szCs w:val="28"/>
        </w:rPr>
        <w:t>.网络监督投诉网址：</w:t>
      </w:r>
      <w:r>
        <w:rPr>
          <w:rFonts w:hint="eastAsia" w:ascii="方正仿宋_GBK" w:hAnsi="方正仿宋_GBK" w:eastAsia="方正仿宋_GBK" w:cs="方正仿宋_GBK"/>
          <w:color w:val="auto"/>
          <w:sz w:val="28"/>
          <w:szCs w:val="28"/>
          <w:lang w:eastAsia="zh-CN"/>
        </w:rPr>
        <w:t>国家外汇管理局广西壮族自治区分局官方网站（www.safe.gov.cn</w:t>
      </w:r>
      <w:r>
        <w:rPr>
          <w:rFonts w:hint="eastAsia" w:ascii="方正仿宋_GBK" w:hAnsi="方正仿宋_GBK" w:eastAsia="方正仿宋_GBK" w:cs="方正仿宋_GBK"/>
          <w:color w:val="auto"/>
          <w:sz w:val="28"/>
          <w:szCs w:val="28"/>
          <w:lang w:val="en-US" w:eastAsia="zh-CN"/>
        </w:rPr>
        <w:t>/guangxi/）</w:t>
      </w:r>
      <w:r>
        <w:rPr>
          <w:rFonts w:hint="eastAsia" w:ascii="方正仿宋_GBK" w:hAnsi="方正仿宋_GBK" w:eastAsia="方正仿宋_GBK" w:cs="方正仿宋_GBK"/>
          <w:color w:val="auto"/>
          <w:sz w:val="28"/>
          <w:szCs w:val="28"/>
          <w:lang w:eastAsia="zh-CN"/>
        </w:rPr>
        <w:t>咨询反馈栏目</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十</w:t>
      </w:r>
      <w:r>
        <w:rPr>
          <w:rFonts w:hint="eastAsia" w:ascii="Times New Roman" w:hAnsi="Times New Roman" w:eastAsia="黑体"/>
          <w:color w:val="auto"/>
          <w:sz w:val="28"/>
          <w:szCs w:val="28"/>
          <w:lang w:eastAsia="zh-CN"/>
        </w:rPr>
        <w:t>八</w:t>
      </w:r>
      <w:r>
        <w:rPr>
          <w:rFonts w:hint="eastAsia" w:ascii="Times New Roman" w:hAnsi="Times New Roman" w:eastAsia="黑体"/>
          <w:color w:val="auto"/>
          <w:sz w:val="28"/>
          <w:szCs w:val="28"/>
        </w:rPr>
        <w:t>、备注</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br w:type="page"/>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省级分局和计划单列市分局办理的经常项目资金集中和轧差结算收支业务变更</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【00017110200401】</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经常项目特定收支业务核准【00017110200Y】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省级分局和计划单列市分局办理的企业经常项目资金集中和轧差结算收支业务登记【000171102004】</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省级分局和计划单列市分局办理的经常项目资金集中和轧差结算收支业务变更(00017110200401)</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（1）《经常项目外汇业务指引（2020年版）》（汇发〔2020〕14号文印发）第一百四十三条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（2）《跨国公司跨境资金集中运营管理规定》（汇发〔2019〕7号文印发）第五条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（3）《国家外汇管理局行政许可实施办法》（国家外汇管理局公告2021年第1号）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（4）《跨国公司跨境资金集中运营管理规定》（汇发〔2019〕7号）第七条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进口付汇事前审核,出口收汇事前审核</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跨国公司跨境资金集中运营业务办理期间，合作银行、主办企业、成员企业、业务种类等发生变更的跨国公司主办企业。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跨国公司跨境资金集中运营管理规定》（汇发〔2019〕7号）第十条跨国公司跨境资金集中运营业务办理期间，合作银行、主办企业、成员企业、业务种类等发生变更的，主办企业应提前一个月通过所在地外汇局向分局变更备案。</w:t>
      </w:r>
    </w:p>
    <w:p>
      <w:pPr>
        <w:numPr>
          <w:ilvl w:val="0"/>
          <w:numId w:val="2"/>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6.具体改革举措: </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申请书1份。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加盖银行业务公章的原账户余额对账单原件或加盖公章的复印件1份。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主办企业与变更后合作银行签署的《跨国公司跨境资金集中运营业务办理确认书》原件或加盖公章的复印件1份。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跨国公司对主办企业开展跨境资金集中运营业务的授权书原件或加盖公章的复印件1份。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主办企业与合作银行共同签署的《跨国公司跨境资金集中运营业务办理确认书》原件或加盖公章的复印件1份。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主办企业及境内成员企业营业执照（统一社会信用代码证）原件或加盖公章的复印件1份。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境外成员企业注册文件原件或加盖公章的复印件1份。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金融业务许可证及经营范围批准文件原件或加盖公章的复印件1份。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跨国公司跨境资金集中运营管理规定》（汇发〔2019〕7号文印发）第七条跨国公司开展跨境资金集中运营业务，应通过主办企业所在地国家外汇管理局分支局（以下简称所在地外汇局）向所属外汇分局、管理部（以下简称分局）备案，提交以下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（1）基本材料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备案申请书（包括跨国公司及主办企业基本情况、拟开展的业务种类、成员企业名单、主办企业及成员企业股权结构情况、拟选择的合作银行情况等）；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跨国公司对主办企业开展跨境资金集中运营业务的授权书；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主办企业与合作银行共同签署的《跨国公司跨境资金集中运营业务办理确认书》；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境外成员企业注册文件（非中文的同时提供中文翻译件）；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金融业务许可证及经营范围批准文件（仅主办企业为财务公司的需提供）。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以上第2项材料应加盖跨国公司公章，其余材料均应加盖主办企业公章。</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（2）专项材料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资金集中收付和轧差净额结算。主办企业申请办理经常项目资金集中收付和轧差净额结算备案时，应在备案申请书中列表说明参与经常项目资金集中收付和轧差净额结算的境内成员企业名称、统一社会信用代码、注册地（加盖主办企业公章）。</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（2）《跨国公司跨境资金集中运营管理规定》（汇发〔2019〕7号文印发）第十条……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合作银行变更的，应提交以下材料：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变更合作银行申请（包括拟选择的合作银行，原账户余额的处理方式等）；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加盖银行业务公章的原账户余额对账单；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主办企业与变更后合作银行签署的《跨国公司跨境资金集中运营业务办理确认书》。</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主办企业变更、成员企业新增或退出、外债和境外放款额度变更、业务种类变更的，……参照第七条提交材料……。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根据《国家外汇管理局关于取消有关外汇管理证明事项的通知》（汇发〔2019〕38号 ）附件 外汇管理取消证明事项目录第10条跨国公司跨境资金集中运营业务原备案通知书复印件已取消。</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 xml:space="preserve">: </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《跨国公司跨境资金集中运营业务办理确认书》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4.规定审批结果有效期限的依据: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6.办理审批结果变更手续的要求: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8.办理审批结果延续手续的要求: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9.审批结果的有效地域范围: </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10.规定审批结果有效地域范围的依据: </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 xml:space="preserve">5.规定在数量限制条件下实施行政许可方式的依据: </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2.设定年检要求的依据: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 xml:space="preserve">: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hint="eastAsia" w:ascii="方正仿宋_GBK" w:hAnsi="方正仿宋_GBK" w:eastAsia="方正仿宋_GBK" w:cs="方正仿宋_GBK"/>
          <w:color w:val="auto"/>
          <w:sz w:val="28"/>
          <w:szCs w:val="28"/>
          <w:lang w:val="en-US" w:eastAsia="zh-CN"/>
        </w:rPr>
      </w:pPr>
      <w:r>
        <w:rPr>
          <w:rFonts w:hint="eastAsia" w:eastAsia="仿宋GB2312"/>
          <w:b/>
          <w:bCs/>
          <w:color w:val="auto"/>
          <w:sz w:val="28"/>
          <w:szCs w:val="28"/>
        </w:rPr>
        <w:t>1.</w:t>
      </w:r>
      <w:r>
        <w:rPr>
          <w:rFonts w:hint="eastAsia" w:eastAsia="仿宋GB2312"/>
          <w:b/>
          <w:bCs/>
          <w:color w:val="auto"/>
          <w:sz w:val="28"/>
          <w:szCs w:val="28"/>
          <w:lang w:eastAsia="zh-CN"/>
        </w:rPr>
        <w:t>办理地址：</w:t>
      </w:r>
      <w:r>
        <w:rPr>
          <w:rFonts w:hint="eastAsia" w:ascii="方正仿宋_GBK" w:hAnsi="方正仿宋_GBK" w:eastAsia="方正仿宋_GBK" w:cs="方正仿宋_GBK"/>
          <w:color w:val="auto"/>
          <w:sz w:val="28"/>
          <w:szCs w:val="28"/>
          <w:lang w:val="en-US"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2.办理时间：</w:t>
      </w:r>
      <w:r>
        <w:rPr>
          <w:rFonts w:hint="eastAsia" w:ascii="方正仿宋_GBK" w:hAnsi="方正仿宋_GBK" w:eastAsia="方正仿宋_GBK" w:cs="方正仿宋_GBK"/>
          <w:color w:val="auto"/>
          <w:sz w:val="28"/>
          <w:szCs w:val="28"/>
        </w:rPr>
        <w:t>工作日，上午：08:30-12:00，下午：</w:t>
      </w:r>
      <w:r>
        <w:rPr>
          <w:rFonts w:hint="eastAsia" w:ascii="方正仿宋_GBK" w:hAnsi="方正仿宋_GBK" w:eastAsia="方正仿宋_GBK" w:cs="方正仿宋_GBK"/>
          <w:color w:val="auto"/>
          <w:sz w:val="28"/>
          <w:szCs w:val="28"/>
          <w:lang w:val="en-US" w:eastAsia="zh-CN"/>
        </w:rPr>
        <w:t>14</w:t>
      </w:r>
      <w:r>
        <w:rPr>
          <w:rFonts w:hint="eastAsia" w:ascii="方正仿宋_GBK" w:hAnsi="方正仿宋_GBK" w:eastAsia="方正仿宋_GBK" w:cs="方正仿宋_GBK"/>
          <w:color w:val="auto"/>
          <w:sz w:val="28"/>
          <w:szCs w:val="28"/>
        </w:rPr>
        <w:t>:30-</w:t>
      </w:r>
      <w:r>
        <w:rPr>
          <w:rFonts w:hint="eastAsia" w:ascii="方正仿宋_GBK" w:hAnsi="方正仿宋_GBK" w:eastAsia="方正仿宋_GBK" w:cs="方正仿宋_GBK"/>
          <w:color w:val="auto"/>
          <w:sz w:val="28"/>
          <w:szCs w:val="28"/>
          <w:lang w:val="en-US" w:eastAsia="zh-CN"/>
        </w:rPr>
        <w:t>17</w:t>
      </w:r>
      <w:r>
        <w:rPr>
          <w:rFonts w:hint="eastAsia" w:ascii="方正仿宋_GBK" w:hAnsi="方正仿宋_GBK" w:eastAsia="方正仿宋_GBK" w:cs="方正仿宋_GBK"/>
          <w:color w:val="auto"/>
          <w:sz w:val="28"/>
          <w:szCs w:val="28"/>
        </w:rPr>
        <w:t xml:space="preserve">:30 </w:t>
      </w:r>
    </w:p>
    <w:p>
      <w:pPr>
        <w:rPr>
          <w:rFonts w:eastAsia="黑体"/>
          <w:color w:val="auto"/>
          <w:sz w:val="28"/>
          <w:szCs w:val="28"/>
        </w:rPr>
      </w:pPr>
      <w:r>
        <w:rPr>
          <w:rFonts w:hint="eastAsia" w:eastAsia="黑体"/>
          <w:color w:val="auto"/>
          <w:sz w:val="28"/>
          <w:szCs w:val="28"/>
        </w:rPr>
        <w:t>十六、</w:t>
      </w:r>
      <w:r>
        <w:rPr>
          <w:rFonts w:eastAsia="黑体"/>
          <w:color w:val="auto"/>
          <w:sz w:val="28"/>
          <w:szCs w:val="28"/>
        </w:rPr>
        <w:t>咨询途径</w:t>
      </w:r>
    </w:p>
    <w:p>
      <w:pPr>
        <w:spacing w:line="540" w:lineRule="exact"/>
        <w:ind w:firstLine="562" w:firstLineChars="200"/>
        <w:outlineLvl w:val="2"/>
        <w:rPr>
          <w:rFonts w:hint="eastAsia" w:ascii="方正仿宋_GBK" w:hAnsi="方正仿宋_GBK" w:eastAsia="方正仿宋_GBK" w:cs="方正仿宋_GBK"/>
          <w:color w:val="auto"/>
          <w:sz w:val="28"/>
          <w:szCs w:val="28"/>
          <w:lang w:val="en-US" w:eastAsia="zh-CN"/>
        </w:rPr>
      </w:pPr>
      <w:r>
        <w:rPr>
          <w:rFonts w:hint="eastAsia" w:eastAsia="仿宋GB2312"/>
          <w:b/>
          <w:bCs/>
          <w:color w:val="auto"/>
          <w:sz w:val="28"/>
          <w:szCs w:val="28"/>
        </w:rPr>
        <w:t>1.窗口咨询地址：</w:t>
      </w:r>
      <w:r>
        <w:rPr>
          <w:rFonts w:hint="eastAsia" w:ascii="方正仿宋_GBK" w:hAnsi="方正仿宋_GBK" w:eastAsia="方正仿宋_GBK" w:cs="方正仿宋_GBK"/>
          <w:color w:val="auto"/>
          <w:sz w:val="28"/>
          <w:szCs w:val="28"/>
          <w:lang w:val="en-US"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0771-6111201</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rPr>
          <w:rFonts w:ascii="Times New Roman" w:hAnsi="Times New Roman" w:cs="Times New Roman"/>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15</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025682833">
    <w:nsid w:val="EFF30B91"/>
    <w:multiLevelType w:val="singleLevel"/>
    <w:tmpl w:val="EFF30B91"/>
    <w:lvl w:ilvl="0" w:tentative="1">
      <w:start w:val="1"/>
      <w:numFmt w:val="chineseCounting"/>
      <w:suff w:val="nothing"/>
      <w:lvlText w:val="%1、"/>
      <w:lvlJc w:val="left"/>
      <w:rPr>
        <w:rFonts w:hint="eastAsia"/>
      </w:rPr>
    </w:lvl>
  </w:abstractNum>
  <w:abstractNum w:abstractNumId="1717129082">
    <w:nsid w:val="66594F7A"/>
    <w:multiLevelType w:val="singleLevel"/>
    <w:tmpl w:val="66594F7A"/>
    <w:lvl w:ilvl="0" w:tentative="1">
      <w:start w:val="1"/>
      <w:numFmt w:val="chineseCounting"/>
      <w:suff w:val="nothing"/>
      <w:lvlText w:val="%1、"/>
      <w:lvlJc w:val="left"/>
      <w:rPr>
        <w:rFonts w:hint="eastAsia"/>
      </w:rPr>
    </w:lvl>
  </w:abstractNum>
  <w:num w:numId="1">
    <w:abstractNumId w:val="4025682833"/>
  </w:num>
  <w:num w:numId="2">
    <w:abstractNumId w:val="17171290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9B19B3"/>
    <w:rsid w:val="000003C0"/>
    <w:rsid w:val="000021D6"/>
    <w:rsid w:val="00004BD5"/>
    <w:rsid w:val="00007A67"/>
    <w:rsid w:val="000233D5"/>
    <w:rsid w:val="00027E45"/>
    <w:rsid w:val="000351A4"/>
    <w:rsid w:val="00037A07"/>
    <w:rsid w:val="0004414D"/>
    <w:rsid w:val="00050681"/>
    <w:rsid w:val="00061C5F"/>
    <w:rsid w:val="000652D6"/>
    <w:rsid w:val="00070716"/>
    <w:rsid w:val="000B0E34"/>
    <w:rsid w:val="000D3467"/>
    <w:rsid w:val="000D61BB"/>
    <w:rsid w:val="000E2AD6"/>
    <w:rsid w:val="000E2D98"/>
    <w:rsid w:val="000E55BC"/>
    <w:rsid w:val="000E5910"/>
    <w:rsid w:val="000F1C17"/>
    <w:rsid w:val="000F24B5"/>
    <w:rsid w:val="00102A7C"/>
    <w:rsid w:val="00106460"/>
    <w:rsid w:val="001156C5"/>
    <w:rsid w:val="001172B3"/>
    <w:rsid w:val="00134BF3"/>
    <w:rsid w:val="00140DE8"/>
    <w:rsid w:val="001418D3"/>
    <w:rsid w:val="001437E6"/>
    <w:rsid w:val="00154329"/>
    <w:rsid w:val="00163202"/>
    <w:rsid w:val="001870AC"/>
    <w:rsid w:val="00193A89"/>
    <w:rsid w:val="00195B37"/>
    <w:rsid w:val="001A1E83"/>
    <w:rsid w:val="001A61DE"/>
    <w:rsid w:val="001C084E"/>
    <w:rsid w:val="001C2B84"/>
    <w:rsid w:val="001C3568"/>
    <w:rsid w:val="001C4BB1"/>
    <w:rsid w:val="001D095F"/>
    <w:rsid w:val="001D2DD9"/>
    <w:rsid w:val="001D56F0"/>
    <w:rsid w:val="001D5C07"/>
    <w:rsid w:val="001E37D7"/>
    <w:rsid w:val="001F1B4B"/>
    <w:rsid w:val="001F2A75"/>
    <w:rsid w:val="00212F1A"/>
    <w:rsid w:val="00215F91"/>
    <w:rsid w:val="002178A9"/>
    <w:rsid w:val="002226D7"/>
    <w:rsid w:val="0023361F"/>
    <w:rsid w:val="00233CB8"/>
    <w:rsid w:val="00233F9E"/>
    <w:rsid w:val="00235C6D"/>
    <w:rsid w:val="002453CB"/>
    <w:rsid w:val="00253212"/>
    <w:rsid w:val="00254875"/>
    <w:rsid w:val="00256B77"/>
    <w:rsid w:val="002654CB"/>
    <w:rsid w:val="00266E25"/>
    <w:rsid w:val="00273E50"/>
    <w:rsid w:val="002756E4"/>
    <w:rsid w:val="002A0834"/>
    <w:rsid w:val="002B0553"/>
    <w:rsid w:val="002B05F7"/>
    <w:rsid w:val="002B3F08"/>
    <w:rsid w:val="002B4E65"/>
    <w:rsid w:val="002C7EAF"/>
    <w:rsid w:val="002F2577"/>
    <w:rsid w:val="002F6202"/>
    <w:rsid w:val="00313160"/>
    <w:rsid w:val="00316E50"/>
    <w:rsid w:val="00316F0E"/>
    <w:rsid w:val="00321272"/>
    <w:rsid w:val="00325547"/>
    <w:rsid w:val="00326B8C"/>
    <w:rsid w:val="003314E4"/>
    <w:rsid w:val="00331E1E"/>
    <w:rsid w:val="003371EB"/>
    <w:rsid w:val="00337ED9"/>
    <w:rsid w:val="00345800"/>
    <w:rsid w:val="003508A5"/>
    <w:rsid w:val="00354A7C"/>
    <w:rsid w:val="00364BB9"/>
    <w:rsid w:val="00377012"/>
    <w:rsid w:val="00387FD0"/>
    <w:rsid w:val="00396CD5"/>
    <w:rsid w:val="003A1721"/>
    <w:rsid w:val="003A2E79"/>
    <w:rsid w:val="003A4630"/>
    <w:rsid w:val="003A496B"/>
    <w:rsid w:val="003B1325"/>
    <w:rsid w:val="003B6057"/>
    <w:rsid w:val="003C3480"/>
    <w:rsid w:val="003C5C1F"/>
    <w:rsid w:val="003D1EDA"/>
    <w:rsid w:val="003D1F9B"/>
    <w:rsid w:val="003D2BBB"/>
    <w:rsid w:val="003D3BB2"/>
    <w:rsid w:val="003D7B66"/>
    <w:rsid w:val="00404086"/>
    <w:rsid w:val="0040580D"/>
    <w:rsid w:val="00413782"/>
    <w:rsid w:val="00417C88"/>
    <w:rsid w:val="004311DF"/>
    <w:rsid w:val="00436919"/>
    <w:rsid w:val="00437717"/>
    <w:rsid w:val="0044021E"/>
    <w:rsid w:val="00445A64"/>
    <w:rsid w:val="0045411C"/>
    <w:rsid w:val="004573E4"/>
    <w:rsid w:val="00460F9A"/>
    <w:rsid w:val="004735FC"/>
    <w:rsid w:val="004924A7"/>
    <w:rsid w:val="004935B2"/>
    <w:rsid w:val="00497B08"/>
    <w:rsid w:val="00497FC6"/>
    <w:rsid w:val="004A6503"/>
    <w:rsid w:val="004B1BDA"/>
    <w:rsid w:val="004B3A9F"/>
    <w:rsid w:val="004C5477"/>
    <w:rsid w:val="004D3F83"/>
    <w:rsid w:val="004E4AD4"/>
    <w:rsid w:val="004E746C"/>
    <w:rsid w:val="004E7E2D"/>
    <w:rsid w:val="00512742"/>
    <w:rsid w:val="00512786"/>
    <w:rsid w:val="00514ABC"/>
    <w:rsid w:val="005263C0"/>
    <w:rsid w:val="00544909"/>
    <w:rsid w:val="00551A5A"/>
    <w:rsid w:val="0056706F"/>
    <w:rsid w:val="00567128"/>
    <w:rsid w:val="005845DF"/>
    <w:rsid w:val="00584DF2"/>
    <w:rsid w:val="0058649D"/>
    <w:rsid w:val="00593352"/>
    <w:rsid w:val="00595487"/>
    <w:rsid w:val="005A32AB"/>
    <w:rsid w:val="005A3A70"/>
    <w:rsid w:val="005A61D4"/>
    <w:rsid w:val="005B322C"/>
    <w:rsid w:val="005C4A17"/>
    <w:rsid w:val="005E1F6F"/>
    <w:rsid w:val="005E6464"/>
    <w:rsid w:val="005F1522"/>
    <w:rsid w:val="005F1DCD"/>
    <w:rsid w:val="005F3C89"/>
    <w:rsid w:val="005F5952"/>
    <w:rsid w:val="006017F9"/>
    <w:rsid w:val="00603617"/>
    <w:rsid w:val="00611E81"/>
    <w:rsid w:val="0064768C"/>
    <w:rsid w:val="006509E6"/>
    <w:rsid w:val="00654AA7"/>
    <w:rsid w:val="006553EF"/>
    <w:rsid w:val="006603EC"/>
    <w:rsid w:val="006667EE"/>
    <w:rsid w:val="006675D3"/>
    <w:rsid w:val="00673F17"/>
    <w:rsid w:val="00675C64"/>
    <w:rsid w:val="006847AE"/>
    <w:rsid w:val="00693E03"/>
    <w:rsid w:val="00696646"/>
    <w:rsid w:val="00696A7B"/>
    <w:rsid w:val="006B1D92"/>
    <w:rsid w:val="006B28AD"/>
    <w:rsid w:val="006B3076"/>
    <w:rsid w:val="006B5EF5"/>
    <w:rsid w:val="006B6370"/>
    <w:rsid w:val="006B71D2"/>
    <w:rsid w:val="006C4C39"/>
    <w:rsid w:val="006C5121"/>
    <w:rsid w:val="006D3427"/>
    <w:rsid w:val="006D6A5B"/>
    <w:rsid w:val="006E7C82"/>
    <w:rsid w:val="006F61C6"/>
    <w:rsid w:val="0071311B"/>
    <w:rsid w:val="007157B6"/>
    <w:rsid w:val="0072541C"/>
    <w:rsid w:val="00732949"/>
    <w:rsid w:val="0073340E"/>
    <w:rsid w:val="00735659"/>
    <w:rsid w:val="00735A28"/>
    <w:rsid w:val="007510E5"/>
    <w:rsid w:val="007544BC"/>
    <w:rsid w:val="007632A0"/>
    <w:rsid w:val="007634FF"/>
    <w:rsid w:val="0076451B"/>
    <w:rsid w:val="007704CD"/>
    <w:rsid w:val="0078686C"/>
    <w:rsid w:val="00795D93"/>
    <w:rsid w:val="007A1978"/>
    <w:rsid w:val="007B0E48"/>
    <w:rsid w:val="007B0EBE"/>
    <w:rsid w:val="007B6675"/>
    <w:rsid w:val="007D1D7B"/>
    <w:rsid w:val="007E7441"/>
    <w:rsid w:val="007F233E"/>
    <w:rsid w:val="0080044E"/>
    <w:rsid w:val="0081373A"/>
    <w:rsid w:val="00815287"/>
    <w:rsid w:val="00824D07"/>
    <w:rsid w:val="008269C3"/>
    <w:rsid w:val="00827911"/>
    <w:rsid w:val="00832D42"/>
    <w:rsid w:val="00833A95"/>
    <w:rsid w:val="00834DF4"/>
    <w:rsid w:val="00837990"/>
    <w:rsid w:val="00841DE9"/>
    <w:rsid w:val="00842C2F"/>
    <w:rsid w:val="00846D5D"/>
    <w:rsid w:val="00864463"/>
    <w:rsid w:val="00865B37"/>
    <w:rsid w:val="00871300"/>
    <w:rsid w:val="00871BB2"/>
    <w:rsid w:val="0087457D"/>
    <w:rsid w:val="008767C3"/>
    <w:rsid w:val="00876926"/>
    <w:rsid w:val="008A068A"/>
    <w:rsid w:val="008A0A76"/>
    <w:rsid w:val="008A53DB"/>
    <w:rsid w:val="008A6143"/>
    <w:rsid w:val="008A6DDB"/>
    <w:rsid w:val="008A6EEC"/>
    <w:rsid w:val="008B019D"/>
    <w:rsid w:val="008B4359"/>
    <w:rsid w:val="008C33D3"/>
    <w:rsid w:val="008D285E"/>
    <w:rsid w:val="008E0D30"/>
    <w:rsid w:val="008E324F"/>
    <w:rsid w:val="008E57E6"/>
    <w:rsid w:val="008E6700"/>
    <w:rsid w:val="008F3E08"/>
    <w:rsid w:val="008F5475"/>
    <w:rsid w:val="00916523"/>
    <w:rsid w:val="009245CA"/>
    <w:rsid w:val="009347F8"/>
    <w:rsid w:val="009379DE"/>
    <w:rsid w:val="00945AC3"/>
    <w:rsid w:val="009516B1"/>
    <w:rsid w:val="009545B6"/>
    <w:rsid w:val="009568D7"/>
    <w:rsid w:val="00960764"/>
    <w:rsid w:val="009640DB"/>
    <w:rsid w:val="00966422"/>
    <w:rsid w:val="00970C40"/>
    <w:rsid w:val="009732FA"/>
    <w:rsid w:val="00976900"/>
    <w:rsid w:val="00977A16"/>
    <w:rsid w:val="00981057"/>
    <w:rsid w:val="00984619"/>
    <w:rsid w:val="009849B6"/>
    <w:rsid w:val="00985C45"/>
    <w:rsid w:val="00986690"/>
    <w:rsid w:val="0098731F"/>
    <w:rsid w:val="009976AB"/>
    <w:rsid w:val="009A32EE"/>
    <w:rsid w:val="009A6053"/>
    <w:rsid w:val="009B0566"/>
    <w:rsid w:val="009B19B3"/>
    <w:rsid w:val="009B4EC4"/>
    <w:rsid w:val="009D2CA3"/>
    <w:rsid w:val="009D7865"/>
    <w:rsid w:val="009F0EE6"/>
    <w:rsid w:val="00A011E0"/>
    <w:rsid w:val="00A019DC"/>
    <w:rsid w:val="00A053EC"/>
    <w:rsid w:val="00A20682"/>
    <w:rsid w:val="00A20869"/>
    <w:rsid w:val="00A21B4B"/>
    <w:rsid w:val="00A23CC9"/>
    <w:rsid w:val="00A31633"/>
    <w:rsid w:val="00A333A8"/>
    <w:rsid w:val="00A33C4E"/>
    <w:rsid w:val="00A42BA0"/>
    <w:rsid w:val="00A437F1"/>
    <w:rsid w:val="00A4638A"/>
    <w:rsid w:val="00A56380"/>
    <w:rsid w:val="00A724BB"/>
    <w:rsid w:val="00A76F2C"/>
    <w:rsid w:val="00A828DC"/>
    <w:rsid w:val="00A85917"/>
    <w:rsid w:val="00A86C39"/>
    <w:rsid w:val="00AA2782"/>
    <w:rsid w:val="00AB1454"/>
    <w:rsid w:val="00AC2C69"/>
    <w:rsid w:val="00AD6356"/>
    <w:rsid w:val="00AD7F95"/>
    <w:rsid w:val="00AE1454"/>
    <w:rsid w:val="00AE1E55"/>
    <w:rsid w:val="00AF3753"/>
    <w:rsid w:val="00AF57E1"/>
    <w:rsid w:val="00B03FA1"/>
    <w:rsid w:val="00B047C5"/>
    <w:rsid w:val="00B063D5"/>
    <w:rsid w:val="00B11981"/>
    <w:rsid w:val="00B14564"/>
    <w:rsid w:val="00B150F1"/>
    <w:rsid w:val="00B1706B"/>
    <w:rsid w:val="00B241DC"/>
    <w:rsid w:val="00B24922"/>
    <w:rsid w:val="00B327C8"/>
    <w:rsid w:val="00B35ADB"/>
    <w:rsid w:val="00B37501"/>
    <w:rsid w:val="00B43476"/>
    <w:rsid w:val="00B44E28"/>
    <w:rsid w:val="00B525C6"/>
    <w:rsid w:val="00B61130"/>
    <w:rsid w:val="00B614A1"/>
    <w:rsid w:val="00B73A28"/>
    <w:rsid w:val="00B84802"/>
    <w:rsid w:val="00B87216"/>
    <w:rsid w:val="00B94AEF"/>
    <w:rsid w:val="00BA5B48"/>
    <w:rsid w:val="00BB3C0B"/>
    <w:rsid w:val="00BB6FB7"/>
    <w:rsid w:val="00BB71AE"/>
    <w:rsid w:val="00BC4ACD"/>
    <w:rsid w:val="00BD1960"/>
    <w:rsid w:val="00BE47E8"/>
    <w:rsid w:val="00BF58A4"/>
    <w:rsid w:val="00BF69EA"/>
    <w:rsid w:val="00C01288"/>
    <w:rsid w:val="00C20EC9"/>
    <w:rsid w:val="00C266D2"/>
    <w:rsid w:val="00C26BC0"/>
    <w:rsid w:val="00C314B5"/>
    <w:rsid w:val="00C31ECE"/>
    <w:rsid w:val="00C34F82"/>
    <w:rsid w:val="00C4111F"/>
    <w:rsid w:val="00C5180B"/>
    <w:rsid w:val="00C545CE"/>
    <w:rsid w:val="00C5521A"/>
    <w:rsid w:val="00C57574"/>
    <w:rsid w:val="00C659B4"/>
    <w:rsid w:val="00C66EDA"/>
    <w:rsid w:val="00C71261"/>
    <w:rsid w:val="00C903FE"/>
    <w:rsid w:val="00C90E8C"/>
    <w:rsid w:val="00C95743"/>
    <w:rsid w:val="00CA4D41"/>
    <w:rsid w:val="00CA5928"/>
    <w:rsid w:val="00CB1ED8"/>
    <w:rsid w:val="00CB751C"/>
    <w:rsid w:val="00CC02F5"/>
    <w:rsid w:val="00CC2FE6"/>
    <w:rsid w:val="00CD6F3B"/>
    <w:rsid w:val="00CE1482"/>
    <w:rsid w:val="00CE55F6"/>
    <w:rsid w:val="00CF249D"/>
    <w:rsid w:val="00CF5E83"/>
    <w:rsid w:val="00D007CE"/>
    <w:rsid w:val="00D01106"/>
    <w:rsid w:val="00D07C35"/>
    <w:rsid w:val="00D143B3"/>
    <w:rsid w:val="00D16C12"/>
    <w:rsid w:val="00D224E4"/>
    <w:rsid w:val="00D3006E"/>
    <w:rsid w:val="00D327EC"/>
    <w:rsid w:val="00D3615F"/>
    <w:rsid w:val="00D402BA"/>
    <w:rsid w:val="00D408D0"/>
    <w:rsid w:val="00D55E8C"/>
    <w:rsid w:val="00D80592"/>
    <w:rsid w:val="00D81AB8"/>
    <w:rsid w:val="00D85E50"/>
    <w:rsid w:val="00D92ED1"/>
    <w:rsid w:val="00DA5B01"/>
    <w:rsid w:val="00DB2D9A"/>
    <w:rsid w:val="00DD10B4"/>
    <w:rsid w:val="00DD4792"/>
    <w:rsid w:val="00DD6A30"/>
    <w:rsid w:val="00DE791B"/>
    <w:rsid w:val="00DF15BD"/>
    <w:rsid w:val="00DF7356"/>
    <w:rsid w:val="00E02AE9"/>
    <w:rsid w:val="00E049C8"/>
    <w:rsid w:val="00E129F8"/>
    <w:rsid w:val="00E144BB"/>
    <w:rsid w:val="00E27EE9"/>
    <w:rsid w:val="00E30DEB"/>
    <w:rsid w:val="00E33EFE"/>
    <w:rsid w:val="00E430A6"/>
    <w:rsid w:val="00E46A26"/>
    <w:rsid w:val="00E505E0"/>
    <w:rsid w:val="00E55B0D"/>
    <w:rsid w:val="00E61CED"/>
    <w:rsid w:val="00E645AF"/>
    <w:rsid w:val="00E75B2F"/>
    <w:rsid w:val="00E77119"/>
    <w:rsid w:val="00E92470"/>
    <w:rsid w:val="00E955CC"/>
    <w:rsid w:val="00EA12C1"/>
    <w:rsid w:val="00EA2A2D"/>
    <w:rsid w:val="00EA3634"/>
    <w:rsid w:val="00EA5CDF"/>
    <w:rsid w:val="00EA6B80"/>
    <w:rsid w:val="00EB156E"/>
    <w:rsid w:val="00EB574D"/>
    <w:rsid w:val="00EB6DFA"/>
    <w:rsid w:val="00EC0133"/>
    <w:rsid w:val="00EC36EB"/>
    <w:rsid w:val="00EC7A79"/>
    <w:rsid w:val="00ED3C09"/>
    <w:rsid w:val="00EE1E1E"/>
    <w:rsid w:val="00EE29F0"/>
    <w:rsid w:val="00EE36F3"/>
    <w:rsid w:val="00EE69DD"/>
    <w:rsid w:val="00EF5BC8"/>
    <w:rsid w:val="00F005E2"/>
    <w:rsid w:val="00F10FD7"/>
    <w:rsid w:val="00F16F75"/>
    <w:rsid w:val="00F201F4"/>
    <w:rsid w:val="00F21D92"/>
    <w:rsid w:val="00F32657"/>
    <w:rsid w:val="00F36247"/>
    <w:rsid w:val="00F405D0"/>
    <w:rsid w:val="00F4072A"/>
    <w:rsid w:val="00F416D6"/>
    <w:rsid w:val="00F424E1"/>
    <w:rsid w:val="00F45FB3"/>
    <w:rsid w:val="00F50CE9"/>
    <w:rsid w:val="00F52218"/>
    <w:rsid w:val="00F53245"/>
    <w:rsid w:val="00F5552D"/>
    <w:rsid w:val="00F61D32"/>
    <w:rsid w:val="00F622F9"/>
    <w:rsid w:val="00F62A8B"/>
    <w:rsid w:val="00F6439F"/>
    <w:rsid w:val="00F8030E"/>
    <w:rsid w:val="00F8305D"/>
    <w:rsid w:val="00F85E60"/>
    <w:rsid w:val="00F87754"/>
    <w:rsid w:val="00FA48B7"/>
    <w:rsid w:val="00FC6843"/>
    <w:rsid w:val="00FC754C"/>
    <w:rsid w:val="00FD19D2"/>
    <w:rsid w:val="00FF083E"/>
    <w:rsid w:val="00FF35CC"/>
    <w:rsid w:val="02961C63"/>
    <w:rsid w:val="067F2731"/>
    <w:rsid w:val="06FE6674"/>
    <w:rsid w:val="0E5A4561"/>
    <w:rsid w:val="0EEC5902"/>
    <w:rsid w:val="0EF213FB"/>
    <w:rsid w:val="0F946FD9"/>
    <w:rsid w:val="0FAF3253"/>
    <w:rsid w:val="107D623B"/>
    <w:rsid w:val="11096F6E"/>
    <w:rsid w:val="11311F96"/>
    <w:rsid w:val="16017BE0"/>
    <w:rsid w:val="17046B3B"/>
    <w:rsid w:val="17AE53EC"/>
    <w:rsid w:val="1BF93C8F"/>
    <w:rsid w:val="1C6505E8"/>
    <w:rsid w:val="1CDB3593"/>
    <w:rsid w:val="1D8315F9"/>
    <w:rsid w:val="20603A0B"/>
    <w:rsid w:val="2406637B"/>
    <w:rsid w:val="24D52598"/>
    <w:rsid w:val="254914F1"/>
    <w:rsid w:val="29030344"/>
    <w:rsid w:val="294D6D8C"/>
    <w:rsid w:val="2E5417A5"/>
    <w:rsid w:val="2E7552C6"/>
    <w:rsid w:val="36A130A2"/>
    <w:rsid w:val="3996388A"/>
    <w:rsid w:val="3A0835B0"/>
    <w:rsid w:val="3C0D722D"/>
    <w:rsid w:val="3DF9176C"/>
    <w:rsid w:val="3F821FA5"/>
    <w:rsid w:val="408940CF"/>
    <w:rsid w:val="410A7642"/>
    <w:rsid w:val="41F44A83"/>
    <w:rsid w:val="42714E1B"/>
    <w:rsid w:val="43F40AC5"/>
    <w:rsid w:val="447B0B22"/>
    <w:rsid w:val="46505364"/>
    <w:rsid w:val="47616255"/>
    <w:rsid w:val="47B6374C"/>
    <w:rsid w:val="48892395"/>
    <w:rsid w:val="52566D98"/>
    <w:rsid w:val="549E3755"/>
    <w:rsid w:val="56D075BA"/>
    <w:rsid w:val="56E32F0F"/>
    <w:rsid w:val="5894029F"/>
    <w:rsid w:val="5B1E2BA5"/>
    <w:rsid w:val="5DA614D2"/>
    <w:rsid w:val="619A694B"/>
    <w:rsid w:val="66D63C96"/>
    <w:rsid w:val="67D0705F"/>
    <w:rsid w:val="6C6D76D3"/>
    <w:rsid w:val="6FBC018B"/>
    <w:rsid w:val="73433371"/>
    <w:rsid w:val="755C72A7"/>
    <w:rsid w:val="76D760E6"/>
    <w:rsid w:val="77480A08"/>
    <w:rsid w:val="78C43A05"/>
    <w:rsid w:val="7B733660"/>
    <w:rsid w:val="7C300A7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toc 3"/>
    <w:basedOn w:val="1"/>
    <w:next w:val="1"/>
    <w:unhideWhenUsed/>
    <w:uiPriority w:val="39"/>
    <w:pPr>
      <w:ind w:left="840" w:leftChars="400"/>
    </w:pPr>
  </w:style>
  <w:style w:type="paragraph" w:styleId="3">
    <w:name w:val="Balloon Text"/>
    <w:basedOn w:val="1"/>
    <w:link w:val="15"/>
    <w:unhideWhenUsed/>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u w:val="single"/>
    </w:rPr>
  </w:style>
  <w:style w:type="table" w:styleId="9">
    <w:name w:val="Table Grid"/>
    <w:basedOn w:val="8"/>
    <w:qFormat/>
    <w:uiPriority w:val="59"/>
    <w:pPr/>
    <w:tblPr>
      <w:tblStyle w:val="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0">
    <w:name w:val="List Paragraph"/>
    <w:basedOn w:val="1"/>
    <w:qFormat/>
    <w:uiPriority w:val="34"/>
    <w:pPr>
      <w:ind w:firstLine="420" w:firstLineChars="200"/>
    </w:pPr>
  </w:style>
  <w:style w:type="paragraph" w:customStyle="1" w:styleId="11">
    <w:name w:val="Revision"/>
    <w:hidden/>
    <w:semiHidden/>
    <w:qFormat/>
    <w:uiPriority w:val="99"/>
    <w:rPr>
      <w:rFonts w:ascii="Calibri" w:hAnsi="Calibri" w:eastAsia="宋体" w:cs="黑体"/>
      <w:kern w:val="2"/>
      <w:sz w:val="21"/>
      <w:szCs w:val="22"/>
      <w:lang w:val="en-US" w:eastAsia="zh-CN" w:bidi="ar-SA"/>
    </w:rPr>
  </w:style>
  <w:style w:type="paragraph" w:customStyle="1" w:styleId="12">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13">
    <w:name w:val="页眉 Char"/>
    <w:basedOn w:val="6"/>
    <w:link w:val="5"/>
    <w:qFormat/>
    <w:uiPriority w:val="99"/>
    <w:rPr>
      <w:sz w:val="18"/>
      <w:szCs w:val="18"/>
    </w:rPr>
  </w:style>
  <w:style w:type="character" w:customStyle="1" w:styleId="14">
    <w:name w:val="页脚 Char"/>
    <w:basedOn w:val="6"/>
    <w:link w:val="4"/>
    <w:qFormat/>
    <w:uiPriority w:val="99"/>
    <w:rPr>
      <w:sz w:val="18"/>
      <w:szCs w:val="18"/>
    </w:rPr>
  </w:style>
  <w:style w:type="character" w:customStyle="1" w:styleId="15">
    <w:name w:val="批注框文本 Char"/>
    <w:basedOn w:val="6"/>
    <w:link w:val="3"/>
    <w:semiHidden/>
    <w:qFormat/>
    <w:uiPriority w:val="99"/>
    <w:rPr>
      <w:sz w:val="18"/>
      <w:szCs w:val="18"/>
    </w:rPr>
  </w:style>
  <w:style w:type="character" w:customStyle="1" w:styleId="16">
    <w:name w:val="mini-outputtext"/>
    <w:basedOn w:val="6"/>
    <w:qFormat/>
    <w:uiPriority w:val="0"/>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4395</Words>
  <Characters>4610</Characters>
  <Lines>41</Lines>
  <Paragraphs>11</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2020-04-22T08:12:00Z</dcterms:created>
  <dc:creator>吴</dc:creator>
  <cp:lastModifiedBy>pbcnn</cp:lastModifiedBy>
  <cp:lastPrinted>2020-05-08T08:38:00Z</cp:lastPrinted>
  <dcterms:modified xsi:type="dcterms:W3CDTF">2024-10-14T03:02:25Z</dcterms:modified>
  <dc:title>编号：57001-2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5649954A5D02471491243B2E9056CD60_12</vt:lpwstr>
  </property>
</Properties>
</file>