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sz w:val="48"/>
          <w:szCs w:val="48"/>
        </w:rPr>
      </w:pPr>
      <w:r>
        <w:rPr>
          <w:rFonts w:hint="eastAsia" w:ascii="Times New Roman" w:hAnsi="Times New Roman" w:eastAsia="黑体"/>
          <w:sz w:val="48"/>
          <w:szCs w:val="48"/>
        </w:rPr>
        <w:t>编号：</w:t>
      </w:r>
      <w:r>
        <w:rPr>
          <w:rFonts w:ascii="Times New Roman" w:hAnsi="Times New Roman" w:eastAsia="黑体"/>
          <w:sz w:val="48"/>
          <w:szCs w:val="48"/>
        </w:rPr>
        <w:t>57016</w:t>
      </w:r>
      <w:r>
        <w:rPr>
          <w:rFonts w:hint="eastAsia" w:ascii="Times New Roman" w:hAnsi="Times New Roman" w:eastAsia="黑体"/>
          <w:sz w:val="48"/>
          <w:szCs w:val="48"/>
          <w:lang w:val="en-US" w:eastAsia="zh-CN"/>
        </w:rPr>
        <w:t xml:space="preserve">  </w:t>
      </w:r>
      <w:bookmarkStart w:id="0" w:name="_GoBack"/>
      <w:bookmarkEnd w:id="0"/>
      <w:r>
        <w:rPr>
          <w:rFonts w:ascii="Times New Roman" w:hAnsi="Times New Roman" w:eastAsia="黑体"/>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pt;width:86.2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right="300"/>
        <w:jc w:val="center"/>
        <w:rPr>
          <w:rFonts w:ascii="Times New Roman" w:hAnsi="Times New Roman" w:eastAsia="黑体"/>
          <w:sz w:val="30"/>
          <w:szCs w:val="30"/>
        </w:rPr>
      </w:pPr>
    </w:p>
    <w:p>
      <w:pPr>
        <w:ind w:right="300"/>
        <w:jc w:val="center"/>
        <w:rPr>
          <w:rFonts w:ascii="Times New Roman" w:hAnsi="Times New Roman" w:eastAsia="黑体"/>
          <w:sz w:val="30"/>
          <w:szCs w:val="30"/>
        </w:rPr>
      </w:pPr>
    </w:p>
    <w:p>
      <w:pPr>
        <w:ind w:right="300"/>
        <w:jc w:val="center"/>
        <w:rPr>
          <w:rFonts w:ascii="Times New Roman" w:hAnsi="Times New Roman" w:eastAsia="黑体"/>
          <w:sz w:val="30"/>
          <w:szCs w:val="30"/>
        </w:rPr>
      </w:pPr>
    </w:p>
    <w:p>
      <w:pPr>
        <w:ind w:right="300"/>
        <w:jc w:val="center"/>
        <w:rPr>
          <w:rFonts w:ascii="Times New Roman" w:hAnsi="Times New Roman" w:eastAsia="黑体"/>
          <w:sz w:val="52"/>
          <w:szCs w:val="52"/>
        </w:rPr>
      </w:pPr>
    </w:p>
    <w:p>
      <w:pPr>
        <w:ind w:right="300"/>
        <w:jc w:val="center"/>
        <w:rPr>
          <w:rFonts w:ascii="Times New Roman" w:hAnsi="Times New Roman" w:eastAsia="黑体"/>
          <w:sz w:val="52"/>
          <w:szCs w:val="52"/>
        </w:rPr>
      </w:pPr>
      <w:r>
        <w:rPr>
          <w:rFonts w:ascii="Times New Roman" w:hAnsi="Times New Roman" w:eastAsia="黑体"/>
          <w:sz w:val="52"/>
          <w:szCs w:val="52"/>
        </w:rPr>
        <w:t>“</w:t>
      </w:r>
      <w:r>
        <w:rPr>
          <w:rFonts w:hint="eastAsia" w:ascii="Times New Roman" w:hAnsi="Times New Roman" w:eastAsia="黑体"/>
          <w:sz w:val="52"/>
          <w:szCs w:val="52"/>
        </w:rPr>
        <w:t>外币现钞提取、调运和携带出境审核</w:t>
      </w:r>
      <w:r>
        <w:rPr>
          <w:rFonts w:ascii="Times New Roman" w:hAnsi="Times New Roman" w:eastAsia="黑体"/>
          <w:sz w:val="52"/>
          <w:szCs w:val="52"/>
        </w:rPr>
        <w:t>”</w:t>
      </w:r>
      <w:r>
        <w:rPr>
          <w:rFonts w:hint="eastAsia" w:ascii="Times New Roman" w:hAnsi="Times New Roman" w:eastAsia="黑体"/>
          <w:sz w:val="52"/>
          <w:szCs w:val="52"/>
        </w:rPr>
        <w:t>行政审批服务指南</w:t>
      </w: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r>
        <w:rPr>
          <w:rFonts w:hint="eastAsia" w:ascii="Times New Roman" w:hAnsi="Times New Roman" w:eastAsia="仿宋_GB2312"/>
          <w:sz w:val="30"/>
          <w:szCs w:val="30"/>
        </w:rPr>
        <w:t>发布日期：</w:t>
      </w:r>
      <w:r>
        <w:rPr>
          <w:rFonts w:ascii="Times New Roman" w:hAnsi="Times New Roman" w:eastAsia="仿宋_GB2312"/>
          <w:sz w:val="30"/>
          <w:szCs w:val="30"/>
        </w:rPr>
        <w:t>2020</w:t>
      </w:r>
      <w:r>
        <w:rPr>
          <w:rFonts w:hint="eastAsia" w:ascii="Times New Roman" w:hAnsi="Times New Roman" w:eastAsia="仿宋_GB2312"/>
          <w:sz w:val="30"/>
          <w:szCs w:val="30"/>
        </w:rPr>
        <w:t>年</w:t>
      </w:r>
      <w:r>
        <w:rPr>
          <w:rFonts w:ascii="Times New Roman" w:hAnsi="Times New Roman" w:eastAsia="仿宋_GB2312"/>
          <w:sz w:val="30"/>
          <w:szCs w:val="30"/>
        </w:rPr>
        <w:t>11</w:t>
      </w:r>
      <w:r>
        <w:rPr>
          <w:rFonts w:hint="eastAsia" w:ascii="Times New Roman" w:hAnsi="Times New Roman" w:eastAsia="仿宋_GB2312"/>
          <w:sz w:val="30"/>
          <w:szCs w:val="30"/>
        </w:rPr>
        <w:t>月</w:t>
      </w:r>
      <w:r>
        <w:rPr>
          <w:rFonts w:ascii="Times New Roman" w:hAnsi="Times New Roman" w:eastAsia="仿宋_GB2312"/>
          <w:sz w:val="30"/>
          <w:szCs w:val="30"/>
        </w:rPr>
        <w:t>20</w:t>
      </w:r>
      <w:r>
        <w:rPr>
          <w:rFonts w:hint="eastAsia" w:ascii="Times New Roman" w:hAnsi="Times New Roman" w:eastAsia="仿宋_GB2312"/>
          <w:sz w:val="30"/>
          <w:szCs w:val="30"/>
        </w:rPr>
        <w:t>日</w:t>
      </w:r>
    </w:p>
    <w:p>
      <w:pPr>
        <w:ind w:right="300"/>
        <w:jc w:val="center"/>
        <w:rPr>
          <w:rFonts w:ascii="Times New Roman" w:hAnsi="Times New Roman" w:eastAsia="仿宋_GB2312"/>
          <w:sz w:val="30"/>
          <w:szCs w:val="30"/>
        </w:rPr>
      </w:pPr>
      <w:r>
        <w:rPr>
          <w:rFonts w:hint="eastAsia" w:ascii="Times New Roman" w:hAnsi="Times New Roman" w:eastAsia="仿宋_GB2312"/>
          <w:sz w:val="30"/>
          <w:szCs w:val="30"/>
        </w:rPr>
        <w:t>实施日期：</w:t>
      </w:r>
      <w:r>
        <w:rPr>
          <w:rFonts w:ascii="Times New Roman" w:hAnsi="Times New Roman" w:eastAsia="仿宋_GB2312"/>
          <w:sz w:val="30"/>
          <w:szCs w:val="30"/>
        </w:rPr>
        <w:t>2020</w:t>
      </w:r>
      <w:r>
        <w:rPr>
          <w:rFonts w:hint="eastAsia" w:ascii="Times New Roman" w:hAnsi="Times New Roman" w:eastAsia="仿宋_GB2312"/>
          <w:sz w:val="30"/>
          <w:szCs w:val="30"/>
        </w:rPr>
        <w:t>年</w:t>
      </w:r>
      <w:r>
        <w:rPr>
          <w:rFonts w:ascii="Times New Roman" w:hAnsi="Times New Roman" w:eastAsia="仿宋_GB2312"/>
          <w:sz w:val="30"/>
          <w:szCs w:val="30"/>
        </w:rPr>
        <w:t>11</w:t>
      </w:r>
      <w:r>
        <w:rPr>
          <w:rFonts w:hint="eastAsia" w:ascii="Times New Roman" w:hAnsi="Times New Roman" w:eastAsia="仿宋_GB2312"/>
          <w:sz w:val="30"/>
          <w:szCs w:val="30"/>
        </w:rPr>
        <w:t>月</w:t>
      </w:r>
      <w:r>
        <w:rPr>
          <w:rFonts w:ascii="Times New Roman" w:hAnsi="Times New Roman" w:eastAsia="仿宋_GB2312"/>
          <w:sz w:val="30"/>
          <w:szCs w:val="30"/>
        </w:rPr>
        <w:t>20</w:t>
      </w:r>
      <w:r>
        <w:rPr>
          <w:rFonts w:hint="eastAsia" w:ascii="Times New Roman" w:hAnsi="Times New Roman" w:eastAsia="仿宋_GB2312"/>
          <w:sz w:val="30"/>
          <w:szCs w:val="30"/>
        </w:rPr>
        <w:t>日</w:t>
      </w:r>
    </w:p>
    <w:p>
      <w:pPr>
        <w:ind w:right="300"/>
        <w:jc w:val="center"/>
        <w:rPr>
          <w:rFonts w:ascii="Times New Roman" w:hAnsi="Times New Roman" w:eastAsia="仿宋_GB2312"/>
          <w:sz w:val="30"/>
          <w:szCs w:val="30"/>
        </w:rPr>
      </w:pPr>
      <w:r>
        <w:rPr>
          <w:rFonts w:ascii="Times New Roman" w:hAnsi="Times New Roman" w:eastAsia="仿宋_GB2312"/>
          <w:sz w:val="30"/>
          <w:szCs w:val="30"/>
        </w:rPr>
        <w:t xml:space="preserve">        </w:t>
      </w:r>
      <w:r>
        <w:rPr>
          <w:rFonts w:hint="eastAsia" w:ascii="Times New Roman" w:hAnsi="Times New Roman" w:eastAsia="仿宋_GB2312"/>
          <w:sz w:val="30"/>
          <w:szCs w:val="30"/>
        </w:rPr>
        <w:t>发布机构：国家外汇管理局甘肃省分局</w:t>
      </w:r>
    </w:p>
    <w:p>
      <w:pPr>
        <w:ind w:right="300"/>
        <w:rPr>
          <w:rFonts w:ascii="仿宋_GB2312" w:hAnsi="Times New Roman" w:eastAsia="仿宋_GB2312"/>
          <w:sz w:val="30"/>
          <w:szCs w:val="30"/>
        </w:rPr>
      </w:pPr>
    </w:p>
    <w:p>
      <w:pPr>
        <w:ind w:right="300"/>
        <w:rPr>
          <w:rFonts w:ascii="仿宋_GB2312" w:hAnsi="Times New Roman" w:eastAsia="仿宋_GB2312"/>
          <w:sz w:val="30"/>
          <w:szCs w:val="30"/>
        </w:rPr>
        <w:sectPr>
          <w:footerReference r:id="rId4" w:type="default"/>
          <w:pgSz w:w="11906" w:h="16838"/>
          <w:pgMar w:top="1440" w:right="1800" w:bottom="1440" w:left="1800" w:header="851" w:footer="992" w:gutter="0"/>
          <w:cols w:space="720" w:num="1"/>
          <w:titlePg/>
          <w:docGrid w:type="lines" w:linePitch="312"/>
        </w:sectPr>
      </w:pPr>
    </w:p>
    <w:p>
      <w:pPr>
        <w:ind w:right="300"/>
        <w:jc w:val="left"/>
        <w:rPr>
          <w:rFonts w:ascii="Times New Roman" w:hAnsi="Times New Roman" w:eastAsia="黑体"/>
          <w:sz w:val="48"/>
          <w:szCs w:val="48"/>
        </w:rPr>
        <w:sectPr>
          <w:footerReference r:id="rId5" w:type="default"/>
          <w:type w:val="continuous"/>
          <w:pgSz w:w="11906" w:h="16838"/>
          <w:pgMar w:top="1440" w:right="1800" w:bottom="1440" w:left="1800" w:header="851" w:footer="992" w:gutter="0"/>
          <w:cols w:space="720" w:num="1"/>
          <w:docGrid w:type="lines" w:linePitch="312"/>
        </w:sectPr>
      </w:pPr>
    </w:p>
    <w:p>
      <w:pPr>
        <w:adjustRightInd w:val="0"/>
        <w:snapToGrid w:val="0"/>
        <w:spacing w:line="360" w:lineRule="auto"/>
        <w:ind w:firstLine="31680" w:firstLineChars="200"/>
        <w:jc w:val="left"/>
        <w:rPr>
          <w:rFonts w:ascii="Times New Roman" w:hAnsi="Times New Roman" w:eastAsia="黑体"/>
          <w:sz w:val="30"/>
          <w:szCs w:val="30"/>
        </w:rPr>
      </w:pPr>
      <w:r>
        <w:rPr>
          <w:rFonts w:hint="eastAsia" w:ascii="Times New Roman" w:hAnsi="Times New Roman" w:eastAsia="黑体"/>
          <w:sz w:val="30"/>
          <w:szCs w:val="30"/>
        </w:rPr>
        <w:t>一、项目信息</w:t>
      </w:r>
    </w:p>
    <w:p>
      <w:pPr>
        <w:adjustRightInd w:val="0"/>
        <w:snapToGrid w:val="0"/>
        <w:spacing w:line="360" w:lineRule="auto"/>
        <w:ind w:firstLine="585"/>
        <w:jc w:val="left"/>
        <w:rPr>
          <w:rFonts w:ascii="Times New Roman" w:hAnsi="Times New Roman" w:eastAsia="仿宋_GB2312"/>
          <w:sz w:val="30"/>
          <w:szCs w:val="30"/>
        </w:rPr>
      </w:pPr>
      <w:r>
        <w:rPr>
          <w:rFonts w:hint="eastAsia" w:ascii="Times New Roman" w:hAnsi="Times New Roman" w:eastAsia="仿宋_GB2312"/>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sz w:val="30"/>
          <w:szCs w:val="30"/>
        </w:rPr>
      </w:pPr>
      <w:r>
        <w:rPr>
          <w:rFonts w:hint="eastAsia" w:ascii="Times New Roman" w:hAnsi="Times New Roman" w:eastAsia="仿宋_GB2312"/>
          <w:sz w:val="30"/>
          <w:szCs w:val="30"/>
        </w:rPr>
        <w:t>项目编号：</w:t>
      </w:r>
      <w:r>
        <w:rPr>
          <w:rFonts w:ascii="Times New Roman" w:hAnsi="Times New Roman" w:eastAsia="仿宋_GB2312"/>
          <w:sz w:val="30"/>
          <w:szCs w:val="30"/>
        </w:rPr>
        <w:t>57016</w:t>
      </w:r>
      <w:r>
        <w:rPr>
          <w:rFonts w:hint="eastAsia" w:ascii="Times New Roman" w:hAnsi="Times New Roman" w:eastAsia="仿宋_GB2312"/>
          <w:sz w:val="30"/>
          <w:szCs w:val="30"/>
        </w:rPr>
        <w:t>；</w:t>
      </w:r>
    </w:p>
    <w:p>
      <w:pPr>
        <w:adjustRightInd w:val="0"/>
        <w:snapToGrid w:val="0"/>
        <w:spacing w:line="360" w:lineRule="auto"/>
        <w:ind w:firstLine="585"/>
        <w:rPr>
          <w:rFonts w:ascii="Times New Roman" w:hAnsi="Times New Roman" w:eastAsia="仿宋_GB2312"/>
          <w:sz w:val="30"/>
          <w:szCs w:val="30"/>
        </w:rPr>
      </w:pPr>
      <w:r>
        <w:rPr>
          <w:rFonts w:hint="eastAsia" w:ascii="Times New Roman" w:hAnsi="Times New Roman" w:eastAsia="仿宋_GB2312"/>
          <w:sz w:val="30"/>
          <w:szCs w:val="30"/>
        </w:rPr>
        <w:t>审批类别：行政许可。</w:t>
      </w:r>
    </w:p>
    <w:p>
      <w:pPr>
        <w:adjustRightInd w:val="0"/>
        <w:snapToGrid w:val="0"/>
        <w:spacing w:line="360" w:lineRule="auto"/>
        <w:ind w:firstLine="585"/>
        <w:rPr>
          <w:rFonts w:ascii="Times New Roman" w:hAnsi="Times New Roman" w:eastAsia="黑体"/>
          <w:sz w:val="30"/>
          <w:szCs w:val="30"/>
        </w:rPr>
      </w:pPr>
      <w:r>
        <w:rPr>
          <w:rFonts w:hint="eastAsia" w:ascii="Times New Roman" w:hAnsi="Times New Roman" w:eastAsia="黑体"/>
          <w:sz w:val="30"/>
          <w:szCs w:val="30"/>
        </w:rPr>
        <w:t>二、适用范围</w:t>
      </w:r>
    </w:p>
    <w:p>
      <w:pPr>
        <w:adjustRightInd w:val="0"/>
        <w:snapToGrid w:val="0"/>
        <w:spacing w:line="360" w:lineRule="auto"/>
        <w:ind w:firstLine="585"/>
        <w:rPr>
          <w:rFonts w:ascii="Times New Roman" w:hAnsi="Times New Roman" w:eastAsia="仿宋_GB2312"/>
          <w:sz w:val="30"/>
          <w:szCs w:val="30"/>
        </w:rPr>
      </w:pPr>
      <w:r>
        <w:rPr>
          <w:rFonts w:hint="eastAsia" w:ascii="Times New Roman" w:hAnsi="Times New Roman" w:eastAsia="仿宋_GB2312"/>
          <w:sz w:val="30"/>
          <w:szCs w:val="30"/>
        </w:rPr>
        <w:t>本指南适用于</w:t>
      </w:r>
      <w:r>
        <w:rPr>
          <w:rFonts w:ascii="Times New Roman" w:hAnsi="Times New Roman" w:eastAsia="仿宋_GB2312"/>
          <w:sz w:val="30"/>
          <w:szCs w:val="30"/>
        </w:rPr>
        <w:t>“</w:t>
      </w:r>
      <w:r>
        <w:rPr>
          <w:rFonts w:hint="eastAsia" w:ascii="Times New Roman" w:hAnsi="Times New Roman" w:eastAsia="仿宋_GB2312"/>
          <w:sz w:val="30"/>
          <w:szCs w:val="30"/>
        </w:rPr>
        <w:t>外币现钞提取、调运和携带出境审核</w:t>
      </w:r>
      <w:r>
        <w:rPr>
          <w:rFonts w:ascii="Times New Roman" w:hAnsi="Times New Roman" w:eastAsia="仿宋_GB2312"/>
          <w:sz w:val="30"/>
          <w:szCs w:val="30"/>
        </w:rPr>
        <w:t>”</w:t>
      </w:r>
      <w:r>
        <w:rPr>
          <w:rFonts w:hint="eastAsia" w:ascii="Times New Roman" w:hAnsi="Times New Roman" w:eastAsia="仿宋_GB2312"/>
          <w:sz w:val="30"/>
          <w:szCs w:val="30"/>
        </w:rPr>
        <w:t>的申请和办理。</w:t>
      </w:r>
    </w:p>
    <w:p>
      <w:pPr>
        <w:adjustRightInd w:val="0"/>
        <w:snapToGrid w:val="0"/>
        <w:spacing w:line="360" w:lineRule="auto"/>
        <w:ind w:firstLine="585"/>
        <w:rPr>
          <w:rFonts w:ascii="Times New Roman" w:hAnsi="Times New Roman" w:eastAsia="黑体"/>
          <w:sz w:val="30"/>
          <w:szCs w:val="30"/>
        </w:rPr>
      </w:pPr>
      <w:r>
        <w:rPr>
          <w:rFonts w:hint="eastAsia" w:ascii="Times New Roman" w:hAnsi="Times New Roman" w:eastAsia="黑体"/>
          <w:sz w:val="30"/>
          <w:szCs w:val="30"/>
        </w:rPr>
        <w:t>三、设定依据</w:t>
      </w:r>
    </w:p>
    <w:p>
      <w:pPr>
        <w:adjustRightInd w:val="0"/>
        <w:snapToGrid w:val="0"/>
        <w:spacing w:line="360" w:lineRule="auto"/>
        <w:ind w:firstLine="585"/>
        <w:rPr>
          <w:rFonts w:ascii="Times New Roman" w:hAnsi="Times New Roman" w:eastAsia="仿宋_GB2312"/>
          <w:sz w:val="30"/>
          <w:szCs w:val="30"/>
        </w:rPr>
      </w:pPr>
      <w:r>
        <w:rPr>
          <w:rFonts w:hint="eastAsia" w:ascii="Times New Roman" w:hAnsi="Times New Roman" w:eastAsia="仿宋_GB2312"/>
          <w:sz w:val="30"/>
          <w:szCs w:val="30"/>
        </w:rPr>
        <w:t>（一）《中华人民共和国外汇管理条例》（国务院令第</w:t>
      </w:r>
      <w:r>
        <w:rPr>
          <w:rFonts w:ascii="Times New Roman" w:hAnsi="Times New Roman" w:eastAsia="仿宋_GB2312"/>
          <w:sz w:val="30"/>
          <w:szCs w:val="30"/>
        </w:rPr>
        <w:t>532</w:t>
      </w:r>
      <w:r>
        <w:rPr>
          <w:rFonts w:hint="eastAsia" w:ascii="Times New Roman" w:hAnsi="Times New Roman" w:eastAsia="仿宋_GB2312"/>
          <w:sz w:val="30"/>
          <w:szCs w:val="30"/>
        </w:rPr>
        <w:t>号）第十五条：</w:t>
      </w:r>
      <w:r>
        <w:rPr>
          <w:rFonts w:ascii="Times New Roman" w:hAnsi="Times New Roman" w:eastAsia="仿宋_GB2312"/>
          <w:sz w:val="30"/>
          <w:szCs w:val="30"/>
        </w:rPr>
        <w:t>“</w:t>
      </w:r>
      <w:r>
        <w:rPr>
          <w:rFonts w:hint="eastAsia" w:ascii="Times New Roman" w:hAnsi="Times New Roman" w:eastAsia="仿宋_GB2312"/>
          <w:sz w:val="30"/>
          <w:szCs w:val="30"/>
        </w:rPr>
        <w:t>携带、申报外币现钞出入境的限额，由国务院外汇管理部门规定</w:t>
      </w:r>
      <w:r>
        <w:rPr>
          <w:rFonts w:ascii="Times New Roman" w:hAnsi="Times New Roman" w:eastAsia="仿宋_GB2312"/>
          <w:sz w:val="30"/>
          <w:szCs w:val="30"/>
        </w:rPr>
        <w:t>”</w:t>
      </w:r>
      <w:r>
        <w:rPr>
          <w:rFonts w:hint="eastAsia" w:ascii="Times New Roman" w:hAnsi="Times New Roman" w:eastAsia="仿宋_GB2312"/>
          <w:sz w:val="30"/>
          <w:szCs w:val="30"/>
        </w:rPr>
        <w:t>；</w:t>
      </w:r>
    </w:p>
    <w:p>
      <w:pPr>
        <w:adjustRightInd w:val="0"/>
        <w:snapToGrid w:val="0"/>
        <w:spacing w:line="360" w:lineRule="auto"/>
        <w:ind w:firstLine="585"/>
        <w:rPr>
          <w:rFonts w:ascii="Times New Roman" w:hAnsi="Times New Roman" w:eastAsia="仿宋_GB2312"/>
          <w:sz w:val="30"/>
          <w:szCs w:val="30"/>
        </w:rPr>
      </w:pPr>
      <w:r>
        <w:rPr>
          <w:rFonts w:hint="eastAsia" w:ascii="Times New Roman" w:hAnsi="Times New Roman" w:eastAsia="仿宋_GB2312"/>
          <w:sz w:val="30"/>
          <w:szCs w:val="30"/>
        </w:rPr>
        <w:t>（二）《国务院对确需保留的行政审批项目设定行政许可的决定》（国务院令第</w:t>
      </w:r>
      <w:r>
        <w:rPr>
          <w:rFonts w:ascii="Times New Roman" w:hAnsi="Times New Roman" w:eastAsia="仿宋_GB2312"/>
          <w:sz w:val="30"/>
          <w:szCs w:val="30"/>
        </w:rPr>
        <w:t>412</w:t>
      </w:r>
      <w:r>
        <w:rPr>
          <w:rFonts w:hint="eastAsia" w:ascii="Times New Roman" w:hAnsi="Times New Roman" w:eastAsia="仿宋_GB2312"/>
          <w:sz w:val="30"/>
          <w:szCs w:val="30"/>
        </w:rPr>
        <w:t>号）附件第</w:t>
      </w:r>
      <w:r>
        <w:rPr>
          <w:rFonts w:ascii="Times New Roman" w:hAnsi="Times New Roman" w:eastAsia="仿宋_GB2312"/>
          <w:sz w:val="30"/>
          <w:szCs w:val="30"/>
        </w:rPr>
        <w:t>495</w:t>
      </w:r>
      <w:r>
        <w:rPr>
          <w:rFonts w:hint="eastAsia" w:ascii="Times New Roman" w:hAnsi="Times New Roman" w:eastAsia="仿宋_GB2312"/>
          <w:sz w:val="30"/>
          <w:szCs w:val="30"/>
        </w:rPr>
        <w:t>项</w:t>
      </w:r>
      <w:r>
        <w:rPr>
          <w:rFonts w:ascii="Times New Roman" w:hAnsi="Times New Roman" w:eastAsia="仿宋_GB2312"/>
          <w:sz w:val="30"/>
          <w:szCs w:val="30"/>
        </w:rPr>
        <w:t>“</w:t>
      </w:r>
      <w:r>
        <w:rPr>
          <w:rFonts w:hint="eastAsia" w:ascii="Times New Roman" w:hAnsi="Times New Roman" w:eastAsia="仿宋_GB2312"/>
          <w:sz w:val="30"/>
          <w:szCs w:val="30"/>
        </w:rPr>
        <w:t>机构单笔提取超过规定金额外币现钞审批</w:t>
      </w:r>
      <w:r>
        <w:rPr>
          <w:rFonts w:ascii="Times New Roman" w:hAnsi="Times New Roman" w:eastAsia="仿宋_GB2312"/>
          <w:sz w:val="30"/>
          <w:szCs w:val="30"/>
        </w:rPr>
        <w:t>”</w:t>
      </w:r>
      <w:r>
        <w:rPr>
          <w:rFonts w:hint="eastAsia" w:ascii="Times New Roman" w:hAnsi="Times New Roman" w:eastAsia="仿宋_GB2312"/>
          <w:sz w:val="30"/>
          <w:szCs w:val="30"/>
        </w:rPr>
        <w:t>。</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四、服务贸易项下外币现钞提取审批</w:t>
      </w:r>
    </w:p>
    <w:p>
      <w:pPr>
        <w:adjustRightInd w:val="0"/>
        <w:snapToGrid w:val="0"/>
        <w:spacing w:line="360" w:lineRule="auto"/>
        <w:ind w:firstLine="585"/>
        <w:rPr>
          <w:rFonts w:ascii="Times New Roman" w:hAnsi="Times New Roman" w:eastAsia="黑体"/>
          <w:sz w:val="30"/>
          <w:szCs w:val="30"/>
        </w:rPr>
      </w:pPr>
      <w:r>
        <w:rPr>
          <w:rFonts w:hint="eastAsia" w:ascii="Times New Roman" w:hAnsi="Times New Roman" w:eastAsia="黑体"/>
          <w:sz w:val="30"/>
          <w:szCs w:val="30"/>
        </w:rPr>
        <w:t>（一）办理依据</w:t>
      </w:r>
    </w:p>
    <w:p>
      <w:pPr>
        <w:adjustRightInd w:val="0"/>
        <w:snapToGrid w:val="0"/>
        <w:spacing w:line="360" w:lineRule="auto"/>
        <w:ind w:firstLine="31680" w:firstLineChars="200"/>
        <w:rPr>
          <w:rFonts w:ascii="Times New Roman" w:hAnsi="Times New Roman" w:eastAsia="仿宋_GB2312"/>
          <w:sz w:val="30"/>
          <w:szCs w:val="30"/>
        </w:rPr>
      </w:pPr>
      <w:r>
        <w:rPr>
          <w:rFonts w:ascii="Times New Roman" w:hAnsi="Times New Roman" w:eastAsia="仿宋_GB2312"/>
          <w:sz w:val="30"/>
          <w:szCs w:val="30"/>
        </w:rPr>
        <w:t>1.</w:t>
      </w:r>
      <w:r>
        <w:rPr>
          <w:rFonts w:hint="eastAsia" w:ascii="Times New Roman" w:hAnsi="Times New Roman" w:eastAsia="仿宋_GB2312"/>
          <w:sz w:val="30"/>
          <w:szCs w:val="30"/>
        </w:rPr>
        <w:t>《国家外汇管理局关于印发〈经常项目外汇业务指引（</w:t>
      </w:r>
      <w:r>
        <w:rPr>
          <w:rFonts w:ascii="Times New Roman" w:hAnsi="Times New Roman" w:eastAsia="仿宋_GB2312"/>
          <w:sz w:val="30"/>
          <w:szCs w:val="30"/>
        </w:rPr>
        <w:t>2020</w:t>
      </w:r>
      <w:r>
        <w:rPr>
          <w:rFonts w:hint="eastAsia" w:ascii="Times New Roman" w:hAnsi="Times New Roman" w:eastAsia="仿宋_GB2312"/>
          <w:sz w:val="30"/>
          <w:szCs w:val="30"/>
        </w:rPr>
        <w:t>年版）〉的通知》（汇发</w:t>
      </w:r>
      <w:r>
        <w:rPr>
          <w:rFonts w:hint="eastAsia" w:ascii="仿宋_GB2312" w:hAnsi="Times New Roman" w:eastAsia="仿宋_GB2312"/>
          <w:sz w:val="30"/>
          <w:szCs w:val="30"/>
        </w:rPr>
        <w:t>〔</w:t>
      </w:r>
      <w:r>
        <w:rPr>
          <w:rFonts w:ascii="Times New Roman" w:hAnsi="Times New Roman" w:eastAsia="仿宋_GB2312"/>
          <w:sz w:val="30"/>
          <w:szCs w:val="30"/>
        </w:rPr>
        <w:t>2020</w:t>
      </w:r>
      <w:r>
        <w:rPr>
          <w:rFonts w:hint="eastAsia" w:ascii="仿宋_GB2312" w:hAnsi="Times New Roman" w:eastAsia="仿宋_GB2312"/>
          <w:sz w:val="30"/>
          <w:szCs w:val="30"/>
        </w:rPr>
        <w:t>〕</w:t>
      </w:r>
      <w:r>
        <w:rPr>
          <w:rFonts w:ascii="Times New Roman" w:hAnsi="Times New Roman" w:eastAsia="仿宋_GB2312"/>
          <w:sz w:val="30"/>
          <w:szCs w:val="30"/>
        </w:rPr>
        <w:t>14</w:t>
      </w:r>
      <w:r>
        <w:rPr>
          <w:rFonts w:hint="eastAsia" w:ascii="Times New Roman" w:hAnsi="Times New Roman" w:eastAsia="仿宋_GB2312"/>
          <w:sz w:val="30"/>
          <w:szCs w:val="30"/>
        </w:rPr>
        <w:t>号）。</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（二）受理机构</w:t>
      </w:r>
    </w:p>
    <w:p>
      <w:pPr>
        <w:adjustRightInd w:val="0"/>
        <w:snapToGrid w:val="0"/>
        <w:spacing w:line="360" w:lineRule="auto"/>
        <w:ind w:firstLine="31680" w:firstLineChars="200"/>
        <w:rPr>
          <w:rFonts w:ascii="仿宋_GB2312" w:eastAsia="仿宋_GB2312" w:cs="宋体"/>
          <w:color w:val="000000"/>
          <w:sz w:val="30"/>
          <w:szCs w:val="30"/>
        </w:rPr>
      </w:pP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甘肃省分局辖内各级外汇局</w:t>
      </w:r>
      <w:r>
        <w:rPr>
          <w:rFonts w:hint="eastAsia" w:ascii="Times New Roman" w:hAnsi="Times New Roman" w:eastAsia="仿宋_GB2312"/>
          <w:sz w:val="30"/>
          <w:szCs w:val="30"/>
        </w:rPr>
        <w:t>。</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（三）决定机构</w:t>
      </w:r>
    </w:p>
    <w:p>
      <w:pPr>
        <w:adjustRightInd w:val="0"/>
        <w:snapToGrid w:val="0"/>
        <w:spacing w:line="360" w:lineRule="auto"/>
        <w:ind w:firstLine="31680" w:firstLineChars="200"/>
        <w:rPr>
          <w:rFonts w:ascii="仿宋_GB2312" w:eastAsia="仿宋_GB2312" w:cs="宋体"/>
          <w:color w:val="000000"/>
          <w:sz w:val="30"/>
          <w:szCs w:val="30"/>
        </w:rPr>
      </w:pP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甘肃省分局辖内各级外汇局</w:t>
      </w:r>
      <w:r>
        <w:rPr>
          <w:rFonts w:hint="eastAsia" w:ascii="Times New Roman" w:hAnsi="Times New Roman" w:eastAsia="仿宋_GB2312"/>
          <w:sz w:val="30"/>
          <w:szCs w:val="30"/>
        </w:rPr>
        <w:t>。</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（四）审批数量</w:t>
      </w:r>
    </w:p>
    <w:p>
      <w:pPr>
        <w:adjustRightInd w:val="0"/>
        <w:snapToGrid w:val="0"/>
        <w:spacing w:line="360" w:lineRule="auto"/>
        <w:ind w:firstLine="31680" w:firstLineChars="200"/>
        <w:rPr>
          <w:rFonts w:ascii="Times New Roman" w:hAnsi="Times New Roman" w:eastAsia="仿宋_GB2312"/>
          <w:sz w:val="30"/>
          <w:szCs w:val="30"/>
        </w:rPr>
      </w:pPr>
      <w:r>
        <w:rPr>
          <w:rFonts w:hint="eastAsia" w:ascii="Times New Roman" w:hAnsi="Times New Roman" w:eastAsia="仿宋_GB2312"/>
          <w:sz w:val="30"/>
          <w:szCs w:val="30"/>
        </w:rPr>
        <w:t>无数量限制。</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（五）办事条件</w:t>
      </w:r>
    </w:p>
    <w:p>
      <w:pPr>
        <w:adjustRightInd w:val="0"/>
        <w:snapToGrid w:val="0"/>
        <w:spacing w:line="360" w:lineRule="auto"/>
        <w:ind w:firstLine="31680" w:firstLineChars="200"/>
        <w:rPr>
          <w:rFonts w:ascii="Times New Roman" w:hAnsi="Times New Roman" w:eastAsia="仿宋_GB2312"/>
          <w:sz w:val="30"/>
          <w:szCs w:val="30"/>
        </w:rPr>
      </w:pPr>
      <w:r>
        <w:rPr>
          <w:rFonts w:hint="eastAsia" w:ascii="Times New Roman" w:hAnsi="Times New Roman" w:eastAsia="仿宋_GB2312"/>
          <w:sz w:val="30"/>
          <w:szCs w:val="30"/>
        </w:rPr>
        <w:t>申请人为境内机构，有提取外币现钞交易的真实性、合法性和必要性。</w:t>
      </w:r>
    </w:p>
    <w:p>
      <w:pPr>
        <w:adjustRightInd w:val="0"/>
        <w:snapToGrid w:val="0"/>
        <w:spacing w:line="360" w:lineRule="auto"/>
        <w:ind w:firstLine="31680" w:firstLineChars="200"/>
        <w:rPr>
          <w:rFonts w:ascii="Times New Roman" w:hAnsi="Times New Roman" w:eastAsia="仿宋_GB2312"/>
          <w:sz w:val="30"/>
          <w:szCs w:val="30"/>
        </w:rPr>
      </w:pPr>
      <w:r>
        <w:rPr>
          <w:rFonts w:hint="eastAsia" w:ascii="Times New Roman" w:hAnsi="Times New Roman" w:eastAsia="仿宋_GB2312"/>
          <w:sz w:val="30"/>
          <w:szCs w:val="30"/>
        </w:rPr>
        <w:t>禁止性要求：申请材料不齐全，不符合法规规定。</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（六）申请材料</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457"/>
        <w:gridCol w:w="2770"/>
        <w:gridCol w:w="1134"/>
        <w:gridCol w:w="992"/>
        <w:gridCol w:w="1134"/>
        <w:gridCol w:w="1669"/>
        <w:gridCol w:w="457"/>
      </w:tblGrid>
      <w:tr>
        <w:tc>
          <w:tcPr>
            <w:tcW w:w="457"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序号</w:t>
            </w:r>
          </w:p>
        </w:tc>
        <w:tc>
          <w:tcPr>
            <w:tcW w:w="2770"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提交材料名称</w:t>
            </w:r>
          </w:p>
        </w:tc>
        <w:tc>
          <w:tcPr>
            <w:tcW w:w="1134"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原件</w:t>
            </w:r>
            <w:r>
              <w:rPr>
                <w:rFonts w:ascii="Times New Roman" w:hAnsi="Times New Roman" w:eastAsia="仿宋_GB2312"/>
                <w:b/>
                <w:sz w:val="24"/>
                <w:szCs w:val="24"/>
              </w:rPr>
              <w:t>/</w:t>
            </w:r>
          </w:p>
          <w:p>
            <w:pPr>
              <w:jc w:val="center"/>
              <w:rPr>
                <w:rFonts w:ascii="Times New Roman" w:hAnsi="Times New Roman" w:eastAsia="仿宋_GB2312"/>
                <w:b/>
                <w:sz w:val="24"/>
                <w:szCs w:val="24"/>
              </w:rPr>
            </w:pPr>
            <w:r>
              <w:rPr>
                <w:rFonts w:hint="eastAsia" w:ascii="Times New Roman" w:hAnsi="Times New Roman" w:eastAsia="仿宋_GB2312"/>
                <w:b/>
                <w:sz w:val="24"/>
                <w:szCs w:val="24"/>
              </w:rPr>
              <w:t>复印件</w:t>
            </w:r>
          </w:p>
        </w:tc>
        <w:tc>
          <w:tcPr>
            <w:tcW w:w="992"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份数</w:t>
            </w:r>
          </w:p>
        </w:tc>
        <w:tc>
          <w:tcPr>
            <w:tcW w:w="1134"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纸质</w:t>
            </w:r>
            <w:r>
              <w:rPr>
                <w:rFonts w:ascii="Times New Roman" w:hAnsi="Times New Roman" w:eastAsia="仿宋_GB2312"/>
                <w:b/>
                <w:sz w:val="24"/>
                <w:szCs w:val="24"/>
              </w:rPr>
              <w:t>/</w:t>
            </w:r>
          </w:p>
          <w:p>
            <w:pPr>
              <w:jc w:val="center"/>
              <w:rPr>
                <w:rFonts w:ascii="Times New Roman" w:hAnsi="Times New Roman" w:eastAsia="仿宋_GB2312"/>
                <w:b/>
                <w:sz w:val="24"/>
                <w:szCs w:val="24"/>
              </w:rPr>
            </w:pPr>
            <w:r>
              <w:rPr>
                <w:rFonts w:hint="eastAsia" w:ascii="Times New Roman" w:hAnsi="Times New Roman" w:eastAsia="仿宋_GB2312"/>
                <w:b/>
                <w:sz w:val="24"/>
                <w:szCs w:val="24"/>
              </w:rPr>
              <w:t>电子</w:t>
            </w:r>
          </w:p>
        </w:tc>
        <w:tc>
          <w:tcPr>
            <w:tcW w:w="1669"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要求</w:t>
            </w:r>
          </w:p>
        </w:tc>
        <w:tc>
          <w:tcPr>
            <w:tcW w:w="457"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备注</w:t>
            </w:r>
          </w:p>
        </w:tc>
      </w:tr>
      <w:tr>
        <w:tc>
          <w:tcPr>
            <w:tcW w:w="45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p>
        </w:tc>
        <w:tc>
          <w:tcPr>
            <w:tcW w:w="2770" w:type="dxa"/>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交易真实性、合法性和必要性的说明材料</w:t>
            </w:r>
          </w:p>
        </w:tc>
        <w:tc>
          <w:tcPr>
            <w:tcW w:w="11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原件和加盖企业公章的复印件</w:t>
            </w:r>
          </w:p>
        </w:tc>
        <w:tc>
          <w:tcPr>
            <w:tcW w:w="99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各</w:t>
            </w:r>
            <w:r>
              <w:rPr>
                <w:rFonts w:ascii="Times New Roman" w:hAnsi="Times New Roman" w:eastAsia="仿宋_GB2312"/>
                <w:sz w:val="24"/>
                <w:szCs w:val="24"/>
              </w:rPr>
              <w:t>1</w:t>
            </w:r>
            <w:r>
              <w:rPr>
                <w:rFonts w:hint="eastAsia" w:ascii="Times New Roman" w:hAnsi="Times New Roman" w:eastAsia="仿宋_GB2312"/>
                <w:sz w:val="24"/>
                <w:szCs w:val="24"/>
              </w:rPr>
              <w:t>份</w:t>
            </w:r>
          </w:p>
        </w:tc>
        <w:tc>
          <w:tcPr>
            <w:tcW w:w="11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纸质</w:t>
            </w:r>
            <w:r>
              <w:rPr>
                <w:rFonts w:ascii="Times New Roman" w:hAnsi="Times New Roman" w:eastAsia="仿宋_GB2312"/>
                <w:sz w:val="24"/>
                <w:szCs w:val="24"/>
              </w:rPr>
              <w:t>/</w:t>
            </w:r>
          </w:p>
          <w:p>
            <w:pPr>
              <w:jc w:val="center"/>
              <w:rPr>
                <w:rFonts w:ascii="Times New Roman" w:hAnsi="Times New Roman" w:eastAsia="仿宋_GB2312"/>
                <w:sz w:val="24"/>
                <w:szCs w:val="24"/>
              </w:rPr>
            </w:pPr>
            <w:r>
              <w:rPr>
                <w:rFonts w:hint="eastAsia" w:ascii="Times New Roman" w:hAnsi="Times New Roman" w:eastAsia="仿宋_GB2312"/>
                <w:sz w:val="24"/>
                <w:szCs w:val="24"/>
              </w:rPr>
              <w:t>电子</w:t>
            </w:r>
          </w:p>
        </w:tc>
        <w:tc>
          <w:tcPr>
            <w:tcW w:w="166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如申请人需保留原件，原件验后退申请人</w:t>
            </w:r>
          </w:p>
        </w:tc>
        <w:tc>
          <w:tcPr>
            <w:tcW w:w="457" w:type="dxa"/>
            <w:vAlign w:val="top"/>
          </w:tcPr>
          <w:p>
            <w:pPr>
              <w:rPr>
                <w:rFonts w:ascii="Times New Roman" w:hAnsi="Times New Roman" w:eastAsia="仿宋_GB2312"/>
                <w:sz w:val="24"/>
                <w:szCs w:val="24"/>
              </w:rPr>
            </w:pPr>
          </w:p>
        </w:tc>
      </w:tr>
    </w:tbl>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（七）申请接受</w:t>
      </w:r>
    </w:p>
    <w:p>
      <w:pPr>
        <w:adjustRightInd w:val="0"/>
        <w:snapToGrid w:val="0"/>
        <w:spacing w:line="360" w:lineRule="auto"/>
        <w:ind w:firstLine="31680" w:firstLineChars="200"/>
        <w:rPr>
          <w:rFonts w:ascii="仿宋_GB2312" w:eastAsia="仿宋_GB2312" w:cs="宋体"/>
          <w:color w:val="000000"/>
          <w:sz w:val="30"/>
          <w:szCs w:val="30"/>
        </w:rPr>
      </w:pPr>
      <w:r>
        <w:rPr>
          <w:rFonts w:hint="eastAsia" w:ascii="Times New Roman" w:hAnsi="Times New Roman" w:eastAsia="仿宋_GB2312"/>
          <w:sz w:val="30"/>
          <w:szCs w:val="30"/>
        </w:rPr>
        <w:t>申请人可通过</w:t>
      </w: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甘肃省分局辖内各级外汇局</w:t>
      </w:r>
      <w:r>
        <w:rPr>
          <w:rFonts w:hint="eastAsia" w:ascii="Times New Roman" w:hAnsi="Times New Roman" w:eastAsia="仿宋_GB2312"/>
          <w:sz w:val="30"/>
          <w:szCs w:val="30"/>
        </w:rPr>
        <w:t>窗口提交材料。</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（八）基本办理流程</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1.</w:t>
      </w:r>
      <w:r>
        <w:rPr>
          <w:rFonts w:hint="eastAsia" w:ascii="Times New Roman" w:hAnsi="Times New Roman" w:eastAsia="仿宋_GB2312"/>
          <w:sz w:val="30"/>
          <w:szCs w:val="30"/>
        </w:rPr>
        <w:t>申请人提交申请；</w:t>
      </w:r>
    </w:p>
    <w:p>
      <w:pPr>
        <w:adjustRightInd w:val="0"/>
        <w:snapToGrid w:val="0"/>
        <w:spacing w:line="360" w:lineRule="auto"/>
        <w:jc w:val="left"/>
        <w:rPr>
          <w:rFonts w:ascii="Times New Roman" w:hAnsi="Times New Roman" w:eastAsia="仿宋_GB2312"/>
          <w:sz w:val="30"/>
          <w:szCs w:val="30"/>
        </w:rPr>
      </w:pPr>
      <w:r>
        <w:rPr>
          <w:rFonts w:ascii="Times New Roman" w:hAnsi="Times New Roman" w:eastAsia="仿宋_GB2312"/>
          <w:sz w:val="30"/>
          <w:szCs w:val="30"/>
        </w:rPr>
        <w:t xml:space="preserve">    2.</w:t>
      </w:r>
      <w:r>
        <w:rPr>
          <w:rFonts w:hint="eastAsia" w:ascii="Times New Roman" w:hAnsi="Times New Roman" w:eastAsia="仿宋_GB2312"/>
          <w:sz w:val="30"/>
          <w:szCs w:val="30"/>
        </w:rPr>
        <w:t>决定是否予以受理；</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3.</w:t>
      </w:r>
      <w:r>
        <w:rPr>
          <w:rFonts w:hint="eastAsia" w:ascii="Times New Roman" w:hAnsi="Times New Roman" w:eastAsia="仿宋_GB2312"/>
          <w:sz w:val="30"/>
          <w:szCs w:val="30"/>
        </w:rPr>
        <w:t>不予受理的，出具不予受理通知书；受理的，出具受理通知书，审核作出核准或者不予核准的决定；</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4.</w:t>
      </w:r>
      <w:r>
        <w:rPr>
          <w:rFonts w:hint="eastAsia" w:ascii="Times New Roman" w:hAnsi="Times New Roman" w:eastAsia="仿宋_GB2312"/>
          <w:sz w:val="30"/>
          <w:szCs w:val="30"/>
        </w:rPr>
        <w:t>对于符合规定条件予以核准的，向申请人出具核准文件；不予核准的，做出不予核准的行政许可书面决定并说明理由；</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5.</w:t>
      </w:r>
      <w:r>
        <w:rPr>
          <w:rFonts w:hint="eastAsia" w:ascii="Times New Roman" w:hAnsi="Times New Roman" w:eastAsia="仿宋_GB2312"/>
          <w:sz w:val="30"/>
          <w:szCs w:val="30"/>
        </w:rPr>
        <w:t>材料不全或不符合法定形式的，一次性告知补正材料，并出具《行政许可补正通知书》。</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（九）办理方式</w:t>
      </w:r>
    </w:p>
    <w:p>
      <w:pPr>
        <w:adjustRightInd w:val="0"/>
        <w:snapToGrid w:val="0"/>
        <w:spacing w:line="360" w:lineRule="auto"/>
        <w:ind w:firstLine="600"/>
        <w:jc w:val="left"/>
        <w:rPr>
          <w:rFonts w:ascii="Times New Roman" w:hAnsi="Times New Roman" w:eastAsia="仿宋_GB2312"/>
          <w:sz w:val="30"/>
          <w:szCs w:val="30"/>
        </w:rPr>
      </w:pPr>
      <w:r>
        <w:rPr>
          <w:rFonts w:hint="eastAsia" w:ascii="Times New Roman" w:hAnsi="Times New Roman" w:eastAsia="仿宋_GB2312"/>
          <w:sz w:val="30"/>
          <w:szCs w:val="30"/>
        </w:rPr>
        <w:t>一般程序：申请、受理、审查、决定、出具核准文件或不予核准的行政许可书面决定。</w:t>
      </w:r>
    </w:p>
    <w:p>
      <w:pPr>
        <w:adjustRightInd w:val="0"/>
        <w:snapToGrid w:val="0"/>
        <w:spacing w:line="360" w:lineRule="auto"/>
        <w:ind w:firstLine="585"/>
        <w:rPr>
          <w:rFonts w:ascii="Times New Roman" w:hAnsi="Times New Roman" w:eastAsia="仿宋_GB2312"/>
          <w:sz w:val="30"/>
          <w:szCs w:val="30"/>
        </w:rPr>
      </w:pPr>
      <w:r>
        <w:rPr>
          <w:rFonts w:hint="eastAsia" w:ascii="Times New Roman" w:hAnsi="Times New Roman" w:eastAsia="仿宋_GB2312"/>
          <w:sz w:val="30"/>
          <w:szCs w:val="30"/>
        </w:rPr>
        <w:t>当场决定：申请人使用外币现钞的时间较为紧急且申请材料完整符合法规要求，分支局经过规定的内部审批程序，可当场出具核准文件。当场出具核准文件的，可不出具受理通知书。</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（十）审批时限</w:t>
      </w:r>
    </w:p>
    <w:p>
      <w:pPr>
        <w:adjustRightInd w:val="0"/>
        <w:snapToGrid w:val="0"/>
        <w:spacing w:line="360" w:lineRule="auto"/>
        <w:ind w:firstLine="585"/>
        <w:rPr>
          <w:rFonts w:ascii="Times New Roman" w:hAnsi="Times New Roman" w:eastAsia="仿宋_GB2312"/>
          <w:sz w:val="30"/>
          <w:szCs w:val="30"/>
        </w:rPr>
      </w:pPr>
      <w:r>
        <w:rPr>
          <w:rFonts w:ascii="Times New Roman" w:hAnsi="Times New Roman" w:eastAsia="仿宋_GB2312"/>
          <w:sz w:val="30"/>
          <w:szCs w:val="30"/>
        </w:rPr>
        <w:t>20</w:t>
      </w:r>
      <w:r>
        <w:rPr>
          <w:rFonts w:hint="eastAsia" w:ascii="Times New Roman" w:hAnsi="Times New Roman" w:eastAsia="仿宋_GB2312"/>
          <w:sz w:val="30"/>
          <w:szCs w:val="30"/>
        </w:rPr>
        <w:t>个工作日。</w:t>
      </w:r>
    </w:p>
    <w:p>
      <w:pPr>
        <w:adjustRightInd w:val="0"/>
        <w:snapToGrid w:val="0"/>
        <w:spacing w:line="360" w:lineRule="auto"/>
        <w:ind w:firstLine="585"/>
        <w:rPr>
          <w:rFonts w:ascii="Times New Roman" w:hAnsi="Times New Roman" w:eastAsia="黑体"/>
          <w:sz w:val="30"/>
          <w:szCs w:val="30"/>
        </w:rPr>
      </w:pPr>
      <w:r>
        <w:rPr>
          <w:rFonts w:hint="eastAsia" w:ascii="Times New Roman" w:hAnsi="Times New Roman" w:eastAsia="黑体"/>
          <w:sz w:val="30"/>
          <w:szCs w:val="30"/>
        </w:rPr>
        <w:t>（十一）审批收费依据及标准</w:t>
      </w:r>
    </w:p>
    <w:p>
      <w:pPr>
        <w:adjustRightInd w:val="0"/>
        <w:snapToGrid w:val="0"/>
        <w:spacing w:line="360" w:lineRule="auto"/>
        <w:ind w:firstLine="585"/>
        <w:rPr>
          <w:rFonts w:ascii="Times New Roman" w:hAnsi="Times New Roman" w:eastAsia="仿宋_GB2312"/>
          <w:sz w:val="30"/>
          <w:szCs w:val="30"/>
        </w:rPr>
      </w:pPr>
      <w:r>
        <w:rPr>
          <w:rFonts w:hint="eastAsia" w:ascii="Times New Roman" w:hAnsi="Times New Roman" w:eastAsia="仿宋_GB2312"/>
          <w:sz w:val="30"/>
          <w:szCs w:val="30"/>
        </w:rPr>
        <w:t>不收费。</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（十二）审批结果</w:t>
      </w:r>
    </w:p>
    <w:p>
      <w:pPr>
        <w:adjustRightInd w:val="0"/>
        <w:snapToGrid w:val="0"/>
        <w:spacing w:line="360" w:lineRule="auto"/>
        <w:ind w:firstLine="600"/>
        <w:rPr>
          <w:rFonts w:ascii="Times New Roman" w:hAnsi="Times New Roman" w:eastAsia="仿宋_GB2312"/>
          <w:sz w:val="30"/>
          <w:szCs w:val="30"/>
        </w:rPr>
      </w:pPr>
      <w:r>
        <w:rPr>
          <w:rFonts w:hint="eastAsia" w:ascii="Times New Roman" w:hAnsi="Times New Roman" w:eastAsia="仿宋_GB2312"/>
          <w:sz w:val="30"/>
          <w:szCs w:val="30"/>
        </w:rPr>
        <w:t>核准文件。</w:t>
      </w:r>
    </w:p>
    <w:p>
      <w:pPr>
        <w:adjustRightInd w:val="0"/>
        <w:snapToGrid w:val="0"/>
        <w:spacing w:line="360" w:lineRule="auto"/>
        <w:ind w:firstLine="600"/>
        <w:rPr>
          <w:rFonts w:ascii="Times New Roman" w:hAnsi="Times New Roman" w:eastAsia="黑体"/>
          <w:sz w:val="30"/>
          <w:szCs w:val="30"/>
        </w:rPr>
      </w:pPr>
      <w:r>
        <w:rPr>
          <w:rFonts w:hint="eastAsia" w:ascii="Times New Roman" w:hAnsi="Times New Roman" w:eastAsia="黑体"/>
          <w:sz w:val="30"/>
          <w:szCs w:val="30"/>
        </w:rPr>
        <w:t>（十三）结果送达</w:t>
      </w:r>
    </w:p>
    <w:p>
      <w:pPr>
        <w:adjustRightInd w:val="0"/>
        <w:snapToGrid w:val="0"/>
        <w:spacing w:line="360" w:lineRule="auto"/>
        <w:ind w:firstLine="600"/>
        <w:rPr>
          <w:rFonts w:ascii="Times New Roman" w:hAnsi="Times New Roman" w:eastAsia="仿宋_GB2312"/>
          <w:sz w:val="30"/>
          <w:szCs w:val="30"/>
        </w:rPr>
      </w:pPr>
      <w:r>
        <w:rPr>
          <w:rFonts w:hint="eastAsia" w:ascii="Times New Roman" w:hAnsi="Times New Roman" w:eastAsia="仿宋_GB2312"/>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sz w:val="30"/>
          <w:szCs w:val="30"/>
        </w:rPr>
      </w:pPr>
      <w:r>
        <w:rPr>
          <w:rFonts w:hint="eastAsia" w:ascii="Times New Roman" w:hAnsi="Times New Roman" w:eastAsia="黑体"/>
          <w:sz w:val="30"/>
          <w:szCs w:val="30"/>
        </w:rPr>
        <w:t>（十四）申请人权利和义务</w:t>
      </w:r>
    </w:p>
    <w:p>
      <w:pPr>
        <w:adjustRightInd w:val="0"/>
        <w:snapToGrid w:val="0"/>
        <w:spacing w:line="360" w:lineRule="auto"/>
        <w:ind w:firstLine="600"/>
        <w:rPr>
          <w:rFonts w:ascii="Times New Roman" w:hAnsi="Times New Roman" w:eastAsia="仿宋_GB2312"/>
          <w:sz w:val="30"/>
          <w:szCs w:val="30"/>
        </w:rPr>
      </w:pPr>
      <w:r>
        <w:rPr>
          <w:rFonts w:hint="eastAsia" w:ascii="Times New Roman" w:hAnsi="Times New Roman" w:eastAsia="仿宋_GB2312"/>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sz w:val="30"/>
          <w:szCs w:val="30"/>
        </w:rPr>
      </w:pPr>
      <w:r>
        <w:rPr>
          <w:rFonts w:hint="eastAsia" w:ascii="Times New Roman" w:hAnsi="Times New Roman" w:eastAsia="黑体"/>
          <w:sz w:val="30"/>
          <w:szCs w:val="30"/>
        </w:rPr>
        <w:t>（十五）咨询途径、监督和投诉、公开查询等由所在地分支局办理</w:t>
      </w:r>
    </w:p>
    <w:p>
      <w:pPr>
        <w:adjustRightInd w:val="0"/>
        <w:snapToGrid w:val="0"/>
        <w:spacing w:line="360" w:lineRule="auto"/>
        <w:ind w:firstLine="601"/>
        <w:rPr>
          <w:rFonts w:ascii="Times New Roman" w:hAnsi="Times New Roman" w:eastAsia="仿宋_GB2312"/>
          <w:sz w:val="30"/>
          <w:szCs w:val="30"/>
        </w:rPr>
      </w:pPr>
      <w:r>
        <w:rPr>
          <w:rFonts w:hint="eastAsia" w:ascii="Times New Roman" w:hAnsi="Times New Roman" w:eastAsia="仿宋_GB2312"/>
          <w:sz w:val="30"/>
          <w:szCs w:val="30"/>
        </w:rPr>
        <w:t>向国家外汇管理局甘肃省分局进行咨询、办理进程查询、监督和投诉等可通过国家外汇管理局甘肃省分局官方网站的相应栏目进行。网址可通过</w:t>
      </w:r>
      <w:r>
        <w:rPr>
          <w:rFonts w:ascii="Times New Roman" w:hAnsi="Times New Roman" w:eastAsia="仿宋_GB2312"/>
          <w:sz w:val="30"/>
          <w:szCs w:val="30"/>
        </w:rPr>
        <w:t>www.safe.gov.cn</w:t>
      </w:r>
      <w:r>
        <w:rPr>
          <w:rStyle w:val="15"/>
          <w:rFonts w:ascii="Times New Roman" w:hAnsi="Times New Roman" w:eastAsia="仿宋_GB2312"/>
          <w:color w:val="auto"/>
          <w:sz w:val="30"/>
          <w:szCs w:val="30"/>
        </w:rPr>
        <w:t>/gansu/ywzn/index.html</w:t>
      </w:r>
      <w:r>
        <w:rPr>
          <w:rFonts w:hint="eastAsia" w:ascii="Times New Roman" w:hAnsi="Times New Roman" w:eastAsia="仿宋_GB2312"/>
          <w:sz w:val="30"/>
          <w:szCs w:val="30"/>
        </w:rPr>
        <w:t>进行链接，也可通过国家外汇管理局甘肃省分局官方互联网站上公布的电话进行。</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（十六）事项审查类型</w:t>
      </w:r>
    </w:p>
    <w:p>
      <w:pPr>
        <w:adjustRightInd w:val="0"/>
        <w:snapToGrid w:val="0"/>
        <w:spacing w:line="360" w:lineRule="auto"/>
        <w:ind w:firstLine="31680" w:firstLineChars="200"/>
        <w:rPr>
          <w:rFonts w:ascii="Times New Roman" w:hAnsi="Times New Roman" w:eastAsia="仿宋_GB2312"/>
          <w:sz w:val="30"/>
          <w:szCs w:val="30"/>
        </w:rPr>
      </w:pPr>
      <w:r>
        <w:rPr>
          <w:rFonts w:hint="eastAsia" w:ascii="Times New Roman" w:hAnsi="Times New Roman" w:eastAsia="仿宋_GB2312"/>
          <w:sz w:val="30"/>
          <w:szCs w:val="30"/>
        </w:rPr>
        <w:t>前审后批。</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（十七）办公地址和时间</w:t>
      </w:r>
    </w:p>
    <w:p>
      <w:pPr>
        <w:adjustRightInd w:val="0"/>
        <w:snapToGrid w:val="0"/>
        <w:spacing w:line="360" w:lineRule="auto"/>
        <w:ind w:firstLine="31680" w:firstLineChars="500"/>
        <w:rPr>
          <w:rFonts w:ascii="Times New Roman" w:hAnsi="Times New Roman" w:eastAsia="仿宋_GB2312"/>
          <w:sz w:val="30"/>
          <w:szCs w:val="30"/>
        </w:rPr>
      </w:pPr>
      <w:r>
        <w:rPr>
          <w:rFonts w:hint="eastAsia" w:ascii="Times New Roman" w:hAnsi="Times New Roman" w:eastAsia="仿宋_GB2312"/>
          <w:sz w:val="30"/>
          <w:szCs w:val="30"/>
        </w:rPr>
        <w:t>国家外汇管理局甘肃省分局办公详情表</w:t>
      </w:r>
    </w:p>
    <w:tbl>
      <w:tblPr>
        <w:tblW w:w="808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66"/>
        <w:gridCol w:w="6119"/>
      </w:tblGrid>
      <w:tr>
        <w:tc>
          <w:tcPr>
            <w:tcW w:w="1966" w:type="dxa"/>
            <w:vAlign w:val="center"/>
          </w:tcPr>
          <w:p>
            <w:pPr>
              <w:jc w:val="center"/>
              <w:rPr>
                <w:rFonts w:ascii="仿宋_GB2312" w:eastAsia="仿宋_GB2312"/>
                <w:bCs/>
                <w:szCs w:val="21"/>
              </w:rPr>
            </w:pPr>
            <w:r>
              <w:rPr>
                <w:rFonts w:hint="eastAsia" w:ascii="仿宋_GB2312" w:eastAsia="仿宋_GB2312"/>
                <w:bCs/>
                <w:szCs w:val="21"/>
              </w:rPr>
              <w:t>承办部门</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国家外汇管理局甘肃省分局外汇管理处</w:t>
            </w:r>
          </w:p>
        </w:tc>
      </w:tr>
      <w:tr>
        <w:tc>
          <w:tcPr>
            <w:tcW w:w="1966" w:type="dxa"/>
            <w:vAlign w:val="center"/>
          </w:tcPr>
          <w:p>
            <w:pPr>
              <w:jc w:val="center"/>
              <w:rPr>
                <w:rFonts w:ascii="仿宋_GB2312" w:eastAsia="仿宋_GB2312"/>
                <w:bCs/>
                <w:szCs w:val="21"/>
              </w:rPr>
            </w:pPr>
            <w:r>
              <w:rPr>
                <w:rFonts w:hint="eastAsia" w:ascii="仿宋_GB2312" w:eastAsia="仿宋_GB2312"/>
                <w:bCs/>
                <w:szCs w:val="21"/>
              </w:rPr>
              <w:t>办理地点</w:t>
            </w:r>
            <w:r>
              <w:rPr>
                <w:rFonts w:ascii="仿宋_GB2312" w:eastAsia="仿宋_GB2312"/>
                <w:bCs/>
                <w:szCs w:val="21"/>
              </w:rPr>
              <w:t xml:space="preserve"> </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中国人民银行兰州中心支行甘肃金融培训中心（兰州市城关区东岗西路</w:t>
            </w:r>
            <w:r>
              <w:rPr>
                <w:rFonts w:ascii="仿宋_GB2312" w:hAnsi="宋体" w:eastAsia="仿宋_GB2312"/>
                <w:szCs w:val="21"/>
              </w:rPr>
              <w:t>700</w:t>
            </w:r>
            <w:r>
              <w:rPr>
                <w:rFonts w:hint="eastAsia" w:ascii="仿宋_GB2312" w:hAnsi="宋体" w:eastAsia="仿宋_GB2312"/>
                <w:szCs w:val="21"/>
              </w:rPr>
              <w:t>号）</w:t>
            </w:r>
          </w:p>
        </w:tc>
      </w:tr>
      <w:tr>
        <w:tc>
          <w:tcPr>
            <w:tcW w:w="1966" w:type="dxa"/>
            <w:vAlign w:val="center"/>
          </w:tcPr>
          <w:p>
            <w:pPr>
              <w:jc w:val="center"/>
              <w:rPr>
                <w:rFonts w:ascii="仿宋_GB2312" w:eastAsia="仿宋_GB2312"/>
                <w:bCs/>
                <w:szCs w:val="21"/>
              </w:rPr>
            </w:pPr>
            <w:r>
              <w:rPr>
                <w:rFonts w:hint="eastAsia" w:ascii="仿宋_GB2312" w:eastAsia="仿宋_GB2312"/>
                <w:bCs/>
                <w:szCs w:val="21"/>
              </w:rPr>
              <w:t>办公时间</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正常工作日</w:t>
            </w:r>
            <w:r>
              <w:rPr>
                <w:rFonts w:ascii="仿宋_GB2312" w:hAnsi="宋体" w:eastAsia="仿宋_GB2312"/>
                <w:szCs w:val="21"/>
              </w:rPr>
              <w:t>8:30-18:00</w:t>
            </w:r>
            <w:r>
              <w:rPr>
                <w:rFonts w:hint="eastAsia" w:ascii="仿宋_GB2312" w:hAnsi="宋体" w:eastAsia="仿宋_GB2312"/>
                <w:szCs w:val="21"/>
              </w:rPr>
              <w:t>（周一至周五，节假日除外）</w:t>
            </w:r>
          </w:p>
        </w:tc>
      </w:tr>
      <w:tr>
        <w:tc>
          <w:tcPr>
            <w:tcW w:w="1966" w:type="dxa"/>
            <w:vAlign w:val="center"/>
          </w:tcPr>
          <w:p>
            <w:pPr>
              <w:jc w:val="center"/>
              <w:rPr>
                <w:rFonts w:ascii="仿宋_GB2312" w:eastAsia="仿宋_GB2312"/>
                <w:bCs/>
                <w:szCs w:val="21"/>
              </w:rPr>
            </w:pPr>
            <w:r>
              <w:rPr>
                <w:rFonts w:hint="eastAsia" w:ascii="仿宋_GB2312" w:eastAsia="仿宋_GB2312"/>
                <w:bCs/>
                <w:szCs w:val="21"/>
              </w:rPr>
              <w:t>联系电话</w:t>
            </w:r>
          </w:p>
        </w:tc>
        <w:tc>
          <w:tcPr>
            <w:tcW w:w="6119" w:type="dxa"/>
            <w:vAlign w:val="center"/>
          </w:tcPr>
          <w:p>
            <w:pPr>
              <w:adjustRightInd w:val="0"/>
              <w:snapToGrid w:val="0"/>
              <w:rPr>
                <w:rFonts w:ascii="仿宋_GB2312" w:hAnsi="宋体" w:eastAsia="仿宋_GB2312"/>
                <w:szCs w:val="21"/>
              </w:rPr>
            </w:pPr>
            <w:r>
              <w:rPr>
                <w:rFonts w:ascii="仿宋_GB2312" w:hAnsi="宋体" w:eastAsia="仿宋_GB2312"/>
                <w:szCs w:val="21"/>
              </w:rPr>
              <w:t>0931-8800628</w:t>
            </w:r>
          </w:p>
        </w:tc>
      </w:tr>
      <w:tr>
        <w:tc>
          <w:tcPr>
            <w:tcW w:w="1966" w:type="dxa"/>
            <w:vAlign w:val="center"/>
          </w:tcPr>
          <w:p>
            <w:pPr>
              <w:jc w:val="center"/>
              <w:rPr>
                <w:rFonts w:ascii="仿宋_GB2312" w:eastAsia="仿宋_GB2312"/>
                <w:bCs/>
                <w:szCs w:val="21"/>
              </w:rPr>
            </w:pPr>
            <w:r>
              <w:rPr>
                <w:rFonts w:hint="eastAsia" w:ascii="仿宋_GB2312" w:eastAsia="仿宋_GB2312"/>
                <w:bCs/>
                <w:szCs w:val="21"/>
              </w:rPr>
              <w:t>监督电话</w:t>
            </w:r>
          </w:p>
        </w:tc>
        <w:tc>
          <w:tcPr>
            <w:tcW w:w="6119" w:type="dxa"/>
            <w:vAlign w:val="center"/>
          </w:tcPr>
          <w:p>
            <w:pPr>
              <w:adjustRightInd w:val="0"/>
              <w:snapToGrid w:val="0"/>
              <w:rPr>
                <w:rFonts w:ascii="仿宋_GB2312" w:hAnsi="宋体" w:eastAsia="仿宋_GB2312"/>
                <w:szCs w:val="21"/>
              </w:rPr>
            </w:pPr>
            <w:r>
              <w:rPr>
                <w:rFonts w:ascii="仿宋_GB2312" w:hAnsi="宋体" w:eastAsia="仿宋_GB2312"/>
                <w:szCs w:val="21"/>
              </w:rPr>
              <w:t>0931-8800737</w:t>
            </w:r>
          </w:p>
        </w:tc>
      </w:tr>
    </w:tbl>
    <w:p>
      <w:pPr>
        <w:adjustRightInd w:val="0"/>
        <w:snapToGrid w:val="0"/>
        <w:spacing w:line="360" w:lineRule="auto"/>
        <w:rPr>
          <w:rFonts w:ascii="仿宋_GB2312" w:hAnsi="Times New Roman" w:eastAsia="仿宋_GB2312"/>
          <w:sz w:val="30"/>
          <w:szCs w:val="30"/>
        </w:rPr>
      </w:pPr>
    </w:p>
    <w:p>
      <w:pPr>
        <w:ind w:right="600" w:firstLine="31680" w:firstLineChars="200"/>
        <w:rPr>
          <w:rFonts w:ascii="Times New Roman" w:hAnsi="Times New Roman" w:eastAsia="仿宋_GB2312"/>
          <w:sz w:val="30"/>
          <w:szCs w:val="30"/>
        </w:rPr>
      </w:pPr>
      <w:r>
        <w:rPr>
          <w:rFonts w:hint="eastAsia" w:ascii="Times New Roman" w:hAnsi="Times New Roman" w:eastAsia="黑体"/>
          <w:sz w:val="30"/>
          <w:szCs w:val="30"/>
        </w:rPr>
        <w:t>（十八）常见问题解答</w:t>
      </w:r>
    </w:p>
    <w:p>
      <w:pPr>
        <w:adjustRightInd w:val="0"/>
        <w:snapToGrid w:val="0"/>
        <w:spacing w:line="360" w:lineRule="auto"/>
        <w:ind w:firstLine="31680" w:firstLineChars="200"/>
        <w:rPr>
          <w:rFonts w:ascii="Times New Roman" w:hAnsi="Times New Roman" w:eastAsia="仿宋_GB2312"/>
          <w:sz w:val="30"/>
          <w:szCs w:val="30"/>
        </w:rPr>
      </w:pPr>
      <w:r>
        <w:rPr>
          <w:rFonts w:ascii="Times New Roman" w:hAnsi="Times New Roman" w:eastAsia="仿宋_GB2312"/>
          <w:sz w:val="30"/>
          <w:szCs w:val="30"/>
        </w:rPr>
        <w:t>1.</w:t>
      </w:r>
      <w:r>
        <w:rPr>
          <w:rFonts w:hint="eastAsia" w:ascii="Times New Roman" w:hAnsi="Times New Roman" w:eastAsia="仿宋_GB2312"/>
          <w:sz w:val="30"/>
          <w:szCs w:val="30"/>
        </w:rPr>
        <w:t>受理后几个工作日能办结？</w:t>
      </w:r>
    </w:p>
    <w:p>
      <w:pPr>
        <w:adjustRightInd w:val="0"/>
        <w:snapToGrid w:val="0"/>
        <w:spacing w:line="360" w:lineRule="auto"/>
        <w:ind w:firstLine="31680" w:firstLineChars="200"/>
        <w:rPr>
          <w:rFonts w:ascii="Times New Roman" w:hAnsi="Times New Roman" w:eastAsia="仿宋_GB2312"/>
          <w:sz w:val="30"/>
          <w:szCs w:val="30"/>
        </w:rPr>
      </w:pPr>
      <w:r>
        <w:rPr>
          <w:rFonts w:hint="eastAsia" w:ascii="Times New Roman" w:hAnsi="Times New Roman" w:eastAsia="仿宋_GB2312"/>
          <w:sz w:val="30"/>
          <w:szCs w:val="30"/>
        </w:rPr>
        <w:t>按照法规要求，正式受理后，</w:t>
      </w:r>
      <w:r>
        <w:rPr>
          <w:rFonts w:ascii="Times New Roman" w:hAnsi="Times New Roman" w:eastAsia="仿宋_GB2312"/>
          <w:sz w:val="30"/>
          <w:szCs w:val="30"/>
        </w:rPr>
        <w:t>20</w:t>
      </w:r>
      <w:r>
        <w:rPr>
          <w:rFonts w:hint="eastAsia" w:ascii="Times New Roman" w:hAnsi="Times New Roman" w:eastAsia="仿宋_GB2312"/>
          <w:sz w:val="30"/>
          <w:szCs w:val="30"/>
        </w:rPr>
        <w:t>个工作日内可以批复。</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（十九）常见错误示例</w:t>
      </w:r>
    </w:p>
    <w:p>
      <w:pPr>
        <w:adjustRightInd w:val="0"/>
        <w:snapToGrid w:val="0"/>
        <w:spacing w:line="360" w:lineRule="auto"/>
        <w:ind w:firstLine="31680" w:firstLineChars="200"/>
        <w:rPr>
          <w:rFonts w:ascii="Times New Roman" w:hAnsi="Times New Roman" w:eastAsia="仿宋_GB2312"/>
          <w:sz w:val="30"/>
          <w:szCs w:val="30"/>
        </w:rPr>
      </w:pPr>
      <w:r>
        <w:rPr>
          <w:rFonts w:hint="eastAsia" w:ascii="Times New Roman" w:hAnsi="Times New Roman" w:eastAsia="仿宋_GB2312"/>
          <w:sz w:val="30"/>
          <w:szCs w:val="30"/>
        </w:rPr>
        <w:t>汇路通畅，但申请提取外币现钞。</w:t>
      </w:r>
    </w:p>
    <w:p>
      <w:pPr>
        <w:ind w:right="300" w:firstLine="600"/>
        <w:rPr>
          <w:rFonts w:ascii="Times New Roman" w:hAnsi="Times New Roman" w:eastAsia="仿宋_GB2312"/>
          <w:sz w:val="30"/>
          <w:szCs w:val="30"/>
        </w:rPr>
        <w:sectPr>
          <w:footerReference r:id="rId6" w:type="default"/>
          <w:pgSz w:w="11906" w:h="16838"/>
          <w:pgMar w:top="1440" w:right="1800" w:bottom="1440" w:left="1800" w:header="851" w:footer="992" w:gutter="0"/>
          <w:cols w:space="720" w:num="1"/>
          <w:docGrid w:type="lines" w:linePitch="312"/>
        </w:sectPr>
      </w:pPr>
    </w:p>
    <w:p>
      <w:pPr>
        <w:ind w:right="300"/>
        <w:rPr>
          <w:rFonts w:ascii="Times New Roman" w:hAnsi="Times New Roman" w:eastAsia="仿宋_GB2312"/>
          <w:sz w:val="30"/>
          <w:szCs w:val="30"/>
        </w:rPr>
      </w:pPr>
      <w:r>
        <w:rPr>
          <w:rFonts w:hint="eastAsia" w:ascii="Times New Roman" w:hAnsi="Times New Roman" w:eastAsia="仿宋_GB2312"/>
          <w:sz w:val="30"/>
          <w:szCs w:val="30"/>
        </w:rPr>
        <w:t>附录</w:t>
      </w:r>
    </w:p>
    <w:p>
      <w:pPr>
        <w:ind w:right="300"/>
        <w:jc w:val="center"/>
        <w:rPr>
          <w:rFonts w:ascii="Times New Roman" w:hAnsi="Times New Roman" w:eastAsia="黑体"/>
          <w:sz w:val="30"/>
          <w:szCs w:val="30"/>
        </w:rPr>
      </w:pPr>
      <w:r>
        <w:rPr>
          <w:rFonts w:hint="eastAsia" w:ascii="Times New Roman" w:hAnsi="Times New Roman" w:eastAsia="黑体"/>
          <w:sz w:val="30"/>
          <w:szCs w:val="30"/>
        </w:rPr>
        <w:t>基本流程图</w:t>
      </w:r>
    </w:p>
    <w:p>
      <w:pPr>
        <w:adjustRightInd w:val="0"/>
        <w:snapToGrid w:val="0"/>
        <w:spacing w:line="360" w:lineRule="auto"/>
        <w:ind w:firstLine="585"/>
      </w:pPr>
      <w:r>
        <w:rPr>
          <w:rFonts w:ascii="Calibri" w:hAnsi="Calibri" w:eastAsia="宋体" w:cs="Times New Roman"/>
          <w:kern w:val="2"/>
          <w:sz w:val="21"/>
          <w:szCs w:val="22"/>
          <w:lang w:val="en-US" w:eastAsia="zh-CN" w:bidi="ar-SA"/>
        </w:rPr>
        <w:pict>
          <v:group id="组合 1026" o:spid="_x0000_s1027" style="position:absolute;left:0;margin-left:-37.5pt;margin-top:34.6pt;height:473.85pt;width:461.45pt;rotation:0f;z-index:251658240;" coordorigin="1050,3380" coordsize="9229,9477">
            <o:lock v:ext="edit" position="f" selection="f" grouping="f" rotation="f" cropping="f" text="f" aspectratio="f"/>
            <v:shape id="AutoShape 329" o:spid="_x0000_s1028" type="#_x0000_t32" style="position:absolute;left:2612;top:4552;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0" o:spid="_x0000_s1029" type="#_x0000_t32" style="position:absolute;left:4275;top:5903;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1" o:spid="_x0000_s1030" type="#_x0000_t32" style="position:absolute;left:4275;top:6752;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2" o:spid="_x0000_s1031" type="#_x0000_t32" style="position:absolute;left:8707;top:5320;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3" o:spid="_x0000_s1032" type="#_x0000_t32" style="position:absolute;left:2629;top:5005;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4" o:spid="_x0000_s1033" type="#_x0000_t32" style="position:absolute;left:5002;top:9276;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5" o:spid="_x0000_s1034" type="#_x0000_t32" style="position:absolute;left:4986;top:11195;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6" o:spid="_x0000_s1035" type="#_x0000_t32" style="position:absolute;left:2627;top:7405;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37" o:spid="_x0000_s1036" type="#_x0000_t32" style="position:absolute;left:2627;top:8811;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8" o:spid="_x0000_s1037" type="#_x0000_t110" style="position:absolute;left:1050;top:5387;height:2007;width:31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adjustRightInd w:val="0"/>
                      <w:snapToGrid w:val="0"/>
                    </w:pPr>
                    <w:r>
                      <w:rPr>
                        <w:rFonts w:hint="eastAsia"/>
                      </w:rPr>
                      <w:t>接件并于</w:t>
                    </w:r>
                    <w:r>
                      <w:rPr>
                        <w:rFonts w:ascii="Times New Roman" w:hAnsi="Times New Roman"/>
                      </w:rPr>
                      <w:t>5</w:t>
                    </w:r>
                    <w:r>
                      <w:rPr>
                        <w:rFonts w:hint="eastAsia"/>
                      </w:rPr>
                      <w:t>个工作日作出是否受理决定</w:t>
                    </w:r>
                  </w:p>
                </w:txbxContent>
              </v:textbox>
            </v:shape>
            <v:shape id="AutoShape 339" o:spid="_x0000_s1038" type="#_x0000_t32" style="position:absolute;left:4290;top:5933;height:804;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rect id="Rectangle 341" o:spid="_x0000_s1039" style="position:absolute;left:7272;top:4573;height:720;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v:shape id="AutoShape 342" o:spid="_x0000_s1040" type="#_x0000_t109" style="position:absolute;left:4839;top:5591;height:587;width:544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v:rect id="Rectangle 343" o:spid="_x0000_s1041" style="position:absolute;left:4839;top:6592;height:811;width:544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v:shape id="AutoShape 344" o:spid="_x0000_s1042" type="#_x0000_t109" style="position:absolute;left:3452;top:8461;height:815;width:32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依法应予受理的，出具受理单</w:t>
                    </w:r>
                  </w:p>
                </w:txbxContent>
              </v:textbox>
            </v:shape>
            <v:shape id="AutoShape 345" o:spid="_x0000_s1043" type="#_x0000_t110" style="position:absolute;left:3456;top:9713;height:1444;width:306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shape>
            <v:shape id="AutoShape 346" o:spid="_x0000_s1044" type="#_x0000_t109" style="position:absolute;left:3452;top:12100;height:757;width:298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予以许可的，向申请人出具核准书面决定</w:t>
                    </w:r>
                  </w:p>
                  <w:p/>
                </w:txbxContent>
              </v:textbox>
            </v:shape>
            <v:shape id="AutoShape 347" o:spid="_x0000_s1045" type="#_x0000_t109" style="position:absolute;left:7786;top:10041;height:766;width:229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p/>
                </w:txbxContent>
              </v:textbox>
            </v:shape>
            <v:shape id="AutoShape 348" o:spid="_x0000_s1046" type="#_x0000_t32" style="position:absolute;left:6520;top:10422;flip:y;height:15;width:126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9" o:spid="_x0000_s1047" type="#_x0000_t116" style="position:absolute;left:1478;top:3380;height:1172;width:246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申请人现场提交材料</w:t>
                    </w:r>
                  </w:p>
                  <w:p/>
                </w:txbxContent>
              </v:textbox>
            </v:shape>
            <v:shape id="_x0000_s1047" o:spid="_x0000_s1048" type="#_x0000_t32" style="position:absolute;left:4177;top:6405;height:0;width:98;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w:pict>
      </w:r>
    </w:p>
    <w:sectPr>
      <w:footerReference r:id="rId7" w:type="default"/>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nhideWhenUsed="0" w:uiPriority="99" w:name="footnote text"/>
    <w:lsdException w:unhideWhenUsed="0" w:uiPriority="99" w:semiHidden="0" w:name="annotation text"/>
    <w:lsdException w:unhideWhenUsed="0" w:uiPriority="99" w:semiHidden="0" w:name="header"/>
    <w:lsdException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nhideWhenUsed="0" w:uiPriority="99" w:semiHidden="0" w:name="footnote reference"/>
    <w:lsdException w:unhideWhenUsed="0" w:uiPriority="99" w:name="annotation reference"/>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nhideWhenUsed="0" w:uiPriority="99" w:semiHidden="0" w:name="Hyperlink"/>
    <w:lsdException w:uiPriority="0" w:name="FollowedHyperlink" w:locked="1"/>
    <w:lsdException w:qFormat="1" w:unhideWhenUsed="0" w:uiPriority="22" w:semiHidden="0" w:name="Strong" w:locked="1"/>
    <w:lsdException w:qFormat="1" w:unhideWhenUsed="0" w:uiPriority="20" w:semiHidden="0" w:name="Emphasis" w:locked="1"/>
    <w:lsdException w:unhideWhenUsed="0" w:uiPriority="99" w:semiHidden="0" w:name="Document Map"/>
    <w:lsdException w:uiPriority="0" w:name="Plain Text" w:locked="1"/>
    <w:lsdException w:uiPriority="0" w:name="E-mail Signature" w:locked="1"/>
    <w:lsdException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nhideWhenUsed="0" w:uiPriority="99" w:semiHidden="0" w:name="HTML Preformatted"/>
    <w:lsdException w:uiPriority="0" w:name="HTML Sample" w:locked="1"/>
    <w:lsdException w:uiPriority="0" w:name="HTML Typewriter" w:locked="1"/>
    <w:lsdException w:uiPriority="0" w:name="HTML Variable" w:locked="1"/>
    <w:lsdException w:uiPriority="0" w:name="annotation subject" w:locked="1"/>
    <w:lsdException w:unhideWhenUsed="0" w:uiPriority="99"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9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7"/>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8"/>
    <w:qFormat/>
    <w:uiPriority w:val="99"/>
    <w:pPr>
      <w:ind w:right="300"/>
      <w:outlineLvl w:val="2"/>
    </w:pPr>
    <w:rPr>
      <w:rFonts w:ascii="仿宋_GB2312" w:eastAsia="仿宋_GB2312"/>
      <w:sz w:val="30"/>
      <w:szCs w:val="30"/>
    </w:rPr>
  </w:style>
  <w:style w:type="character" w:default="1" w:styleId="12">
    <w:name w:val="Default Paragraph Font"/>
    <w:semiHidden/>
    <w:uiPriority w:val="99"/>
  </w:style>
  <w:style w:type="paragraph" w:styleId="5">
    <w:name w:val="Document Map"/>
    <w:basedOn w:val="1"/>
    <w:link w:val="29"/>
    <w:uiPriority w:val="99"/>
    <w:rPr>
      <w:rFonts w:ascii="宋体"/>
      <w:sz w:val="18"/>
      <w:szCs w:val="18"/>
    </w:rPr>
  </w:style>
  <w:style w:type="paragraph" w:styleId="6">
    <w:name w:val="annotation text"/>
    <w:basedOn w:val="1"/>
    <w:link w:val="30"/>
    <w:uiPriority w:val="99"/>
    <w:pPr>
      <w:jc w:val="left"/>
    </w:pPr>
  </w:style>
  <w:style w:type="paragraph" w:styleId="7">
    <w:name w:val="Balloon Text"/>
    <w:basedOn w:val="1"/>
    <w:link w:val="31"/>
    <w:uiPriority w:val="99"/>
    <w:rPr>
      <w:sz w:val="18"/>
      <w:szCs w:val="18"/>
    </w:rPr>
  </w:style>
  <w:style w:type="paragraph" w:styleId="8">
    <w:name w:val="footer"/>
    <w:basedOn w:val="1"/>
    <w:link w:val="32"/>
    <w:uiPriority w:val="99"/>
    <w:pPr>
      <w:tabs>
        <w:tab w:val="center" w:pos="4153"/>
        <w:tab w:val="right" w:pos="8306"/>
      </w:tabs>
      <w:snapToGrid w:val="0"/>
      <w:jc w:val="left"/>
    </w:pPr>
    <w:rPr>
      <w:sz w:val="18"/>
      <w:szCs w:val="18"/>
    </w:rPr>
  </w:style>
  <w:style w:type="paragraph" w:styleId="9">
    <w:name w:val="header"/>
    <w:basedOn w:val="1"/>
    <w:link w:val="33"/>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uiPriority w:val="99"/>
    <w:pPr>
      <w:snapToGrid w:val="0"/>
      <w:jc w:val="left"/>
    </w:pPr>
    <w:rPr>
      <w:rFonts w:cs="Times New Roman"/>
      <w:kern w:val="2"/>
      <w:sz w:val="18"/>
      <w:szCs w:val="18"/>
    </w:rPr>
  </w:style>
  <w:style w:type="character" w:customStyle="1" w:styleId="11">
    <w:name w:val="脚注文本 Char"/>
    <w:basedOn w:val="12"/>
    <w:semiHidden/>
    <w:uiPriority w:val="99"/>
    <w:rPr>
      <w:rFonts w:cs="Times New Roman"/>
      <w:kern w:val="2"/>
      <w:sz w:val="18"/>
      <w:szCs w:val="18"/>
    </w:rPr>
  </w:style>
  <w:style w:type="paragraph" w:styleId="13">
    <w:name w:val="HTML Preformatted"/>
    <w:basedOn w:val="1"/>
    <w:link w:val="35"/>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iPriority w:val="99"/>
    <w:rPr>
      <w:rFonts w:ascii="??" w:hAnsi="??" w:cs="Times New Roman"/>
      <w:color w:val="0453CC"/>
      <w:sz w:val="20"/>
      <w:szCs w:val="20"/>
      <w:u w:val="none"/>
    </w:rPr>
  </w:style>
  <w:style w:type="character" w:styleId="16">
    <w:name w:val="annotation reference"/>
    <w:basedOn w:val="12"/>
    <w:semiHidden/>
    <w:uiPriority w:val="99"/>
    <w:rPr>
      <w:rFonts w:cs="Times New Roman"/>
      <w:sz w:val="21"/>
      <w:szCs w:val="21"/>
    </w:rPr>
  </w:style>
  <w:style w:type="character" w:styleId="17">
    <w:name w:val="footnote reference"/>
    <w:basedOn w:val="12"/>
    <w:uiPriority w:val="99"/>
    <w:rPr>
      <w:rFonts w:ascii="Times New Roman" w:hAnsi="Times New Roman" w:cs="Times New Roman"/>
      <w:vertAlign w:val="superscript"/>
    </w:rPr>
  </w:style>
  <w:style w:type="paragraph" w:customStyle="1" w:styleId="18">
    <w:name w:val="List Paragraph"/>
    <w:basedOn w:val="1"/>
    <w:qFormat/>
    <w:uiPriority w:val="99"/>
    <w:pPr>
      <w:ind w:firstLine="420" w:firstLineChars="200"/>
    </w:pPr>
  </w:style>
  <w:style w:type="paragraph" w:customStyle="1" w:styleId="19">
    <w:name w:val="Default"/>
    <w:uiPriority w:val="99"/>
    <w:pPr>
      <w:widowControl w:val="0"/>
      <w:autoSpaceDE w:val="0"/>
      <w:autoSpaceDN w:val="0"/>
      <w:adjustRightInd w:val="0"/>
    </w:pPr>
    <w:rPr>
      <w:rFonts w:ascii="仿宋_GB2312" w:eastAsia="仿宋_GB2312" w:cs="仿宋_GB2312"/>
      <w:color w:val="000000"/>
      <w:kern w:val="0"/>
      <w:sz w:val="24"/>
      <w:szCs w:val="24"/>
    </w:rPr>
  </w:style>
  <w:style w:type="paragraph" w:customStyle="1" w:styleId="20">
    <w:name w:val="juzhon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Revision1"/>
    <w:hidden/>
    <w:semiHidden/>
    <w:uiPriority w:val="99"/>
  </w:style>
  <w:style w:type="paragraph" w:customStyle="1" w:styleId="22">
    <w:name w:val="列出段落1"/>
    <w:basedOn w:val="1"/>
    <w:uiPriority w:val="99"/>
    <w:pPr>
      <w:ind w:firstLine="420" w:firstLineChars="200"/>
    </w:pPr>
  </w:style>
  <w:style w:type="paragraph" w:customStyle="1" w:styleId="23">
    <w:name w:val="列出段落4"/>
    <w:basedOn w:val="1"/>
    <w:uiPriority w:val="99"/>
    <w:pPr>
      <w:ind w:firstLine="200" w:firstLineChars="200"/>
    </w:pPr>
  </w:style>
  <w:style w:type="paragraph" w:customStyle="1" w:styleId="24">
    <w:name w:val="列出段落3"/>
    <w:basedOn w:val="1"/>
    <w:uiPriority w:val="99"/>
    <w:pPr>
      <w:ind w:firstLine="420" w:firstLineChars="200"/>
    </w:pPr>
    <w:rPr>
      <w:rFonts w:ascii="Times New Roman" w:hAnsi="Times New Roman"/>
      <w:szCs w:val="24"/>
    </w:rPr>
  </w:style>
  <w:style w:type="paragraph" w:customStyle="1" w:styleId="25">
    <w:name w:val="p0"/>
    <w:basedOn w:val="1"/>
    <w:uiPriority w:val="99"/>
    <w:pPr>
      <w:widowControl/>
    </w:pPr>
    <w:rPr>
      <w:rFonts w:cs="宋体"/>
      <w:kern w:val="0"/>
      <w:szCs w:val="21"/>
    </w:rPr>
  </w:style>
  <w:style w:type="character" w:customStyle="1" w:styleId="26">
    <w:name w:val="Heading 1 Char"/>
    <w:basedOn w:val="12"/>
    <w:link w:val="2"/>
    <w:uiPriority w:val="99"/>
    <w:rPr>
      <w:rFonts w:ascii="黑体" w:hAnsi="黑体" w:eastAsia="黑体" w:cs="宋体"/>
      <w:color w:val="000000"/>
      <w:kern w:val="0"/>
      <w:sz w:val="30"/>
      <w:szCs w:val="30"/>
    </w:rPr>
  </w:style>
  <w:style w:type="character" w:customStyle="1" w:styleId="27">
    <w:name w:val="Heading 2 Char"/>
    <w:basedOn w:val="12"/>
    <w:link w:val="3"/>
    <w:uiPriority w:val="99"/>
    <w:rPr>
      <w:rFonts w:ascii="Cambria" w:hAnsi="Cambria" w:eastAsia="宋体" w:cs="Times New Roman"/>
      <w:b/>
      <w:bCs/>
      <w:sz w:val="32"/>
      <w:szCs w:val="32"/>
    </w:rPr>
  </w:style>
  <w:style w:type="character" w:customStyle="1" w:styleId="28">
    <w:name w:val="Heading 3 Char"/>
    <w:basedOn w:val="12"/>
    <w:link w:val="4"/>
    <w:uiPriority w:val="99"/>
    <w:rPr>
      <w:rFonts w:ascii="仿宋_GB2312" w:hAnsi="Calibri" w:eastAsia="仿宋_GB2312" w:cs="Times New Roman"/>
      <w:sz w:val="30"/>
      <w:szCs w:val="30"/>
    </w:rPr>
  </w:style>
  <w:style w:type="character" w:customStyle="1" w:styleId="29">
    <w:name w:val="Document Map Char Char"/>
    <w:basedOn w:val="12"/>
    <w:link w:val="5"/>
    <w:uiPriority w:val="99"/>
    <w:rPr>
      <w:rFonts w:ascii="宋体" w:cs="Times New Roman"/>
      <w:sz w:val="18"/>
      <w:szCs w:val="18"/>
    </w:rPr>
  </w:style>
  <w:style w:type="character" w:customStyle="1" w:styleId="30">
    <w:name w:val="Comment Text Char"/>
    <w:basedOn w:val="12"/>
    <w:link w:val="6"/>
    <w:uiPriority w:val="99"/>
    <w:rPr>
      <w:rFonts w:ascii="Calibri" w:hAnsi="Calibri" w:eastAsia="宋体" w:cs="Times New Roman"/>
    </w:rPr>
  </w:style>
  <w:style w:type="character" w:customStyle="1" w:styleId="31">
    <w:name w:val="Balloon Text Char Char"/>
    <w:basedOn w:val="12"/>
    <w:link w:val="7"/>
    <w:uiPriority w:val="99"/>
    <w:rPr>
      <w:rFonts w:cs="Times New Roman"/>
      <w:sz w:val="18"/>
      <w:szCs w:val="18"/>
    </w:rPr>
  </w:style>
  <w:style w:type="character" w:customStyle="1" w:styleId="32">
    <w:name w:val="Footer Char"/>
    <w:basedOn w:val="12"/>
    <w:link w:val="8"/>
    <w:uiPriority w:val="99"/>
    <w:rPr>
      <w:rFonts w:cs="Times New Roman"/>
      <w:sz w:val="18"/>
      <w:szCs w:val="18"/>
    </w:rPr>
  </w:style>
  <w:style w:type="character" w:customStyle="1" w:styleId="33">
    <w:name w:val="Header Char"/>
    <w:basedOn w:val="12"/>
    <w:link w:val="9"/>
    <w:uiPriority w:val="99"/>
    <w:rPr>
      <w:rFonts w:cs="Times New Roman"/>
      <w:sz w:val="18"/>
      <w:szCs w:val="18"/>
    </w:rPr>
  </w:style>
  <w:style w:type="character" w:customStyle="1" w:styleId="34">
    <w:name w:val="Footnote Text Char"/>
    <w:basedOn w:val="12"/>
    <w:link w:val="10"/>
    <w:uiPriority w:val="99"/>
    <w:rPr>
      <w:rFonts w:ascii="Times New Roman" w:hAnsi="Times New Roman" w:cs="Times New Roman"/>
      <w:sz w:val="18"/>
      <w:szCs w:val="18"/>
    </w:rPr>
  </w:style>
  <w:style w:type="character" w:customStyle="1" w:styleId="35">
    <w:name w:val="HTML Preformatted Char Char"/>
    <w:basedOn w:val="12"/>
    <w:link w:val="13"/>
    <w:uiPriority w:val="99"/>
    <w:rPr>
      <w:rFonts w:ascii="宋体" w:hAnsi="宋体" w:eastAsia="宋体" w:cs="宋体"/>
      <w:kern w:val="0"/>
      <w:sz w:val="24"/>
      <w:szCs w:val="24"/>
    </w:rPr>
  </w:style>
  <w:style w:type="character" w:customStyle="1" w:styleId="36">
    <w:name w:val="标题 4 Char Char"/>
    <w:uiPriority w:val="99"/>
    <w:rPr>
      <w:rFonts w:ascii="Calibri" w:hAnsi="Calibri"/>
      <w:b/>
      <w:sz w:val="28"/>
      <w:lang w:eastAsia="en-US"/>
    </w:rPr>
  </w:style>
  <w:style w:type="character" w:customStyle="1" w:styleId="37">
    <w:name w:val="批注文字 Char1"/>
    <w:basedOn w:val="12"/>
    <w:semiHidden/>
    <w:uiPriority w:val="99"/>
    <w:rPr>
      <w:rFonts w:cs="Times New Roman"/>
      <w:kern w:val="2"/>
      <w:sz w:val="22"/>
      <w:szCs w:val="22"/>
    </w:rPr>
  </w:style>
  <w:style w:type="character" w:customStyle="1" w:styleId="38">
    <w:name w:val="Intense Emphasis1"/>
    <w:basedOn w:val="12"/>
    <w:uiPriority w:val="99"/>
    <w:rPr>
      <w:rFonts w:cs="Times New Roman"/>
      <w:b/>
      <w:bCs/>
      <w:i/>
      <w:iCs/>
      <w:color w:val="4F81BD"/>
    </w:rPr>
  </w:style>
  <w:style w:type="character" w:customStyle="1" w:styleId="39">
    <w:name w:val="文档结构图 Char1"/>
    <w:basedOn w:val="12"/>
    <w:semiHidden/>
    <w:uiPriority w:val="99"/>
    <w:rPr>
      <w:rFonts w:ascii="宋体" w:eastAsia="宋体" w:cs="Times New Roman"/>
      <w:sz w:val="18"/>
      <w:szCs w:val="18"/>
    </w:rPr>
  </w:style>
  <w:style w:type="character" w:customStyle="1" w:styleId="40">
    <w:name w:val="脚注文本 Char2"/>
    <w:basedOn w:val="12"/>
    <w:semiHidden/>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theme" Target="theme/theme1.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247</Words>
  <Characters>1408</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2020-02-27T03:35:00Z</dcterms:created>
  <dc:creator>裴建君2</dc:creator>
  <cp:lastModifiedBy>张乃丹</cp:lastModifiedBy>
  <cp:lastPrinted>2020-09-28T03:20:00Z</cp:lastPrinted>
  <dcterms:modified xsi:type="dcterms:W3CDTF">2021-09-13T08:15:46Z</dcterms:modified>
  <dc:title>编号：57016-1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