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pStyle w:val="2"/>
        <w:ind w:firstLine="0" w:firstLineChars="0"/>
        <w:jc w:val="center"/>
        <w:rPr>
          <w:sz w:val="44"/>
          <w:szCs w:val="44"/>
        </w:rPr>
      </w:pPr>
      <w:bookmarkStart w:id="0" w:name="_Toc118729019"/>
      <w:r>
        <w:rPr>
          <w:sz w:val="44"/>
          <w:szCs w:val="44"/>
        </w:rPr>
        <w:t>“</w:t>
      </w:r>
      <w:r>
        <w:rPr>
          <w:rFonts w:hint="eastAsia"/>
          <w:sz w:val="44"/>
          <w:szCs w:val="44"/>
        </w:rPr>
        <w:t>非银行金融机构（不含保险公司）结售汇业务资格审批（含初审）</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adjustRightInd w:val="0"/>
        <w:spacing w:line="360" w:lineRule="auto"/>
        <w:ind w:firstLine="600" w:firstLineChars="200"/>
        <w:jc w:val="left"/>
        <w:rPr>
          <w:rFonts w:ascii="Times New Roman" w:hAnsi="Times New Roman" w:eastAsia="黑体" w:cs="Times New Roman"/>
          <w:sz w:val="30"/>
          <w:szCs w:val="30"/>
        </w:rPr>
      </w:pPr>
      <w:bookmarkStart w:id="1" w:name="_Toc31907_WPSOffice_Level1"/>
      <w:r>
        <w:rPr>
          <w:rFonts w:ascii="Times New Roman" w:hAnsi="Times New Roman" w:eastAsia="黑体" w:cs="Times New Roman"/>
          <w:sz w:val="30"/>
          <w:szCs w:val="30"/>
        </w:rPr>
        <w:t>一、项目信息</w:t>
      </w:r>
      <w:bookmarkEnd w:id="1"/>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子项名称：非银行金融机构（不含保险公司）结售汇业务资格审批（含初审）</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bookmarkStart w:id="2" w:name="_Toc13536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非银行金融机构（不含保险公司）结售汇业务资格审批（含初审）</w:t>
      </w:r>
      <w:r>
        <w:rPr>
          <w:rFonts w:ascii="Times New Roman" w:hAnsi="Times New Roman" w:eastAsia="仿宋_GB2312" w:cs="Times New Roman"/>
          <w:sz w:val="30"/>
          <w:szCs w:val="30"/>
        </w:rPr>
        <w:t>”的申请和办理。</w:t>
      </w:r>
    </w:p>
    <w:p>
      <w:pPr>
        <w:adjustRightInd w:val="0"/>
        <w:snapToGrid w:val="0"/>
        <w:spacing w:line="360" w:lineRule="auto"/>
        <w:ind w:firstLine="585"/>
        <w:rPr>
          <w:rFonts w:ascii="Times New Roman" w:hAnsi="Times New Roman" w:eastAsia="黑体" w:cs="Times New Roman"/>
          <w:sz w:val="30"/>
          <w:szCs w:val="30"/>
        </w:rPr>
      </w:pPr>
      <w:bookmarkStart w:id="3" w:name="_Toc7467_WPSOffice_Level1"/>
      <w:r>
        <w:rPr>
          <w:rFonts w:ascii="Times New Roman" w:hAnsi="Times New Roman" w:eastAsia="黑体" w:cs="Times New Roman"/>
          <w:sz w:val="30"/>
          <w:szCs w:val="30"/>
        </w:rPr>
        <w:t>三、设定依据</w:t>
      </w:r>
      <w:bookmarkEnd w:id="3"/>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bookmarkStart w:id="4" w:name="_Toc9974_WPSOffice_Level1"/>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bookmarkEnd w:id="4"/>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olor w:val="auto"/>
          <w:sz w:val="30"/>
          <w:lang w:eastAsia="zh-CN"/>
        </w:rPr>
        <w:t>非银行金融机构所在地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w:t>
      </w:r>
      <w:r>
        <w:rPr>
          <w:rFonts w:hint="eastAsia" w:ascii="Times New Roman" w:hAnsi="Times New Roman" w:eastAsia="仿宋_GB2312"/>
          <w:color w:val="auto"/>
          <w:sz w:val="30"/>
        </w:rPr>
        <w:t>辖内中心支局（支局）</w:t>
      </w:r>
      <w:r>
        <w:rPr>
          <w:rFonts w:hint="eastAsia" w:ascii="Times New Roman" w:hAnsi="Times New Roman" w:eastAsia="仿宋_GB2312"/>
          <w:color w:val="auto"/>
          <w:sz w:val="30"/>
          <w:lang w:eastAsia="zh-CN"/>
        </w:rPr>
        <w:t>。</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hint="eastAsia" w:ascii="Times New Roman" w:hAnsi="Times New Roman" w:eastAsia="仿宋_GB2312"/>
          <w:color w:val="auto"/>
          <w:sz w:val="30"/>
          <w:lang w:eastAsia="zh-CN"/>
        </w:rPr>
      </w:pPr>
      <w:r>
        <w:rPr>
          <w:rFonts w:hint="eastAsia" w:ascii="Times New Roman" w:hAnsi="Times New Roman" w:eastAsia="仿宋_GB2312"/>
          <w:color w:val="auto"/>
          <w:sz w:val="30"/>
          <w:lang w:eastAsia="zh-CN"/>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bookmarkStart w:id="5" w:name="_GoBack"/>
      <w:bookmarkEnd w:id="5"/>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6"/>
        <w:tblW w:w="8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（十五）咨询途径、监督和投诉、公开查询等由国家外汇管理局安徽省分局及辖内中心支局</w:t>
      </w:r>
      <w:r>
        <w:rPr>
          <w:rFonts w:hint="eastAsia" w:ascii="Times New Roman" w:hAnsi="Times New Roman" w:eastAsia="黑体"/>
          <w:sz w:val="30"/>
          <w:szCs w:val="30"/>
        </w:rPr>
        <w:t>（支局）办理</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向国家外汇管理局安徽省分局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sz w:val="30"/>
          <w:szCs w:val="30"/>
        </w:rPr>
        <w:t>www.safe.gov.cn</w:t>
      </w:r>
      <w:r>
        <w:rPr>
          <w:rFonts w:ascii="Times New Roman" w:hAnsi="Times New Roman" w:eastAsia="仿宋_GB2312"/>
          <w:sz w:val="30"/>
          <w:szCs w:val="30"/>
        </w:rPr>
        <w:fldChar w:fldCharType="end"/>
      </w:r>
      <w:r>
        <w:rPr>
          <w:rFonts w:ascii="Times New Roman" w:hAnsi="Times New Roman" w:eastAsia="仿宋_GB2312"/>
          <w:sz w:val="30"/>
          <w:szCs w:val="30"/>
        </w:rPr>
        <w:t>进行链接，也可通过</w:t>
      </w:r>
      <w:r>
        <w:fldChar w:fldCharType="begin"/>
      </w:r>
      <w:r>
        <w:instrText xml:space="preserve"> 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rPr>
          <w:rFonts w:hint="eastAsia" w:ascii="Times New Roman" w:hAnsi="Times New Roman" w:eastAsia="仿宋_GB2312"/>
          <w:sz w:val="30"/>
          <w:szCs w:val="30"/>
        </w:rP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，安徽省分局咨询电话：0551-63691123</w:t>
      </w:r>
      <w:r>
        <w:rPr>
          <w:rFonts w:ascii="Times New Roman" w:hAnsi="Times New Roman" w:eastAsia="仿宋_GB2312"/>
          <w:sz w:val="30"/>
          <w:szCs w:val="30"/>
        </w:rPr>
        <w:t>。</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该项行政许可由国家外汇管理局安徽省分局</w:t>
      </w:r>
      <w:r>
        <w:rPr>
          <w:rFonts w:hint="eastAsia" w:ascii="Times New Roman" w:hAnsi="Times New Roman" w:eastAsia="仿宋_GB2312"/>
          <w:sz w:val="30"/>
          <w:szCs w:val="30"/>
        </w:rPr>
        <w:t>及辖内中心支局（支局）初审。</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：合肥市滨湖新区洞庭湖路3366号，办公时间：工作日上午8:30-12:00，下午14:00-17:00。</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sz w:val="30"/>
          <w:szCs w:val="30"/>
        </w:rPr>
        <w:t>辖内中心支局（支局）办公地址和办公时间见</w:t>
      </w:r>
      <w:r>
        <w:rPr>
          <w:rFonts w:ascii="Times New Roman" w:hAnsi="Times New Roman" w:eastAsia="仿宋_GB2312"/>
          <w:sz w:val="30"/>
          <w:szCs w:val="30"/>
        </w:rPr>
        <w:t>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w:t>
      </w:r>
      <w:r>
        <w:rPr>
          <w:rFonts w:hint="eastAsia" w:ascii="Times New Roman" w:hAnsi="Times New Roman" w:eastAsia="仿宋_GB2312"/>
          <w:sz w:val="30"/>
          <w:szCs w:val="30"/>
        </w:rPr>
        <w:t>。</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7" o:spid="_x0000_s1028" o:spt="203" style="position:absolute;left:0pt;margin-left:-41.25pt;margin-top:27.05pt;height:681.4pt;width:470.35pt;z-index:251658240;mso-width-relative:page;mso-height-relative:page;" coordsize="9407,13628">
            <o:lock v:ext="edit" position="f" selection="f" grouping="f" rotation="f" cropping="f" text="f" aspectratio="f"/>
            <v:shape id="直接连接符 1028" o:spid="_x0000_s1029" o:spt="32" type="#_x0000_t32" style="position:absolute;left:5176;top:10339;height:715;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29" o:spid="_x0000_s1030" o:spt="203" style="position:absolute;left:0;top:0;height:13628;width:9407;" coordsize="9407,13628">
              <o:lock v:ext="edit" position="f" selection="f" grouping="f" rotation="f" cropping="f" text="f" aspectratio="f"/>
              <v:shape id="直接连接符 1030" o:spid="_x0000_s1031" o:spt="32" type="#_x0000_t32" style="position:absolute;left:7594;top:11054;height:627;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1" o:spid="_x0000_s1032" o:spt="32" type="#_x0000_t32" style="position:absolute;left:2624;top:11054;height:0;width:4987;"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32" o:spid="_x0000_s1033" o:spt="203" style="position:absolute;left:0;top:0;height:13628;width:9407;" coordsize="9407,13628">
                <o:lock v:ext="edit" position="f" selection="f" grouping="f" rotation="f" cropping="f" text="f" aspectratio="f"/>
                <v:rect id="矩形 1033" o:spid="_x0000_s1034" o:spt="1" style="position:absolute;left:3668;top:10060;height:534;width:298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国家外汇管理局审核</w:t>
                        </w:r>
                      </w:p>
                    </w:txbxContent>
                  </v:textbox>
                </v:rect>
                <v:group id="组合 1034" o:spid="_x0000_s1035" o:spt="203" style="position:absolute;left:0;top:0;height:13628;width:9407;" coordsize="9407,13628">
                  <o:lock v:ext="edit" position="f" selection="f" grouping="f" rotation="f" cropping="f" text="f" aspectratio="f"/>
                  <v:shape id="流程图: 终止 1035" o:spid="_x0000_s1036" o:spt="116" type="#_x0000_t116" style="position:absolute;left:6290;top:11621;height:1329;width:3117;"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36" o:spid="_x0000_s1037" o:spt="116" type="#_x0000_t116" style="position:absolute;left:645;top:12950;height:678;width:4791;"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初审外汇局出具批复文件，并送达</w:t>
                          </w:r>
                        </w:p>
                      </w:txbxContent>
                    </v:textbox>
                  </v:shape>
                  <v:shape id="直接连接符 1037" o:spid="_x0000_s1038" o:spt="32" type="#_x0000_t32" style="position:absolute;left:2610;top:11054;height:567;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38" o:spid="_x0000_s1039" o:spt="1" style="position:absolute;left:509;top:11621;height:859;width:466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直接连接符 1039" o:spid="_x0000_s1040" o:spt="32" type="#_x0000_t32" style="position:absolute;left:2624;top:12480;height:470;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40" o:spid="_x0000_s1041" o:spt="32" type="#_x0000_t32" style="position:absolute;left:5222;top:9434;height:626;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41" o:spid="_x0000_s1042" o:spt="203" style="position:absolute;left:0;top:0;height:11606;width:9131;" coordsize="9131,11606">
                    <o:lock v:ext="edit" position="f" selection="f" grouping="f" rotation="f" cropping="f" text="f" aspectratio="f"/>
                    <v:shape id="直接连接符 1042" o:spid="_x0000_s1043" o:spt="32" type="#_x0000_t32" style="position:absolute;left:5175;top:7151;height:764;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流程图: 终止 1043" o:spid="_x0000_s1044" o:spt="116" type="#_x0000_t116" style="position:absolute;left:495;top:0;height:703;width:373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申请人提出书面申请，并提交材料</w:t>
                            </w:r>
                          </w:p>
                        </w:txbxContent>
                      </v:textbox>
                    </v:shape>
                    <v:group id="组合 1044" o:spid="_x0000_s1045" o:spt="203" style="position:absolute;left:0;top:735;height:6416;width:9131;" coordsize="9131,6416">
                      <o:lock v:ext="edit" position="f" selection="f" grouping="f" rotation="f" cropping="f" text="f" aspectratio="f"/>
                      <v:shape id="肘形连接符 1045" o:spid="_x0000_s1046" o:spt="34" type="#_x0000_t34" style="position:absolute;left:6586;top:1863;height:1285;width:3790;rotation:17694720f;" fillcolor="#FFFFFF" filled="t" o:preferrelative="t" stroked="t" coordsize="21600,21600" adj="45">
                        <v:path arrowok="t"/>
                        <v:fill on="t" focussize="0,0"/>
                        <v:stroke color="#000000" color2="#FFFFFF" opacity="65536f" miterlimit="2"/>
                        <v:imagedata gain="65536f" blacklevel="0f" gamma="0" o:title=""/>
                        <o:lock v:ext="edit" position="f" selection="f" grouping="f" rotation="f" cropping="f" text="f" aspectratio="f"/>
                      </v:shape>
                      <v:group id="组合 1046" o:spid="_x0000_s1047" o:spt="203" style="position:absolute;left:0;top:0;height:6416;width:9131;" coordsize="9131,6416">
                        <o:lock v:ext="edit" position="f" selection="f" grouping="f" rotation="f" cropping="f" text="f" aspectratio="f"/>
                        <v:shape id="直接连接符 1047" o:spid="_x0000_s1048" o:spt="32" type="#_x0000_t32" style="position:absolute;left:6103;top:3195;height:37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菱形 1048" o:spid="_x0000_s1049" o:spt="4" type="#_x0000_t4" style="position:absolute;left:4366;top:3556;height:1733;width:348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申请人补充材料</w:t>
                                </w:r>
                              </w:p>
                            </w:txbxContent>
                          </v:textbox>
                        </v:shape>
                        <v:shape id="直接连接符 1049" o:spid="_x0000_s1050" o:spt="32" type="#_x0000_t32" style="position:absolute;left:1565;top:6146;height:1;width:121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0" o:spid="_x0000_s1051" o:spt="32" type="#_x0000_t32" style="position:absolute;left:1565;top:2709;height:3437;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rect id="矩形 1051" o:spid="_x0000_s1052" o:spt="1" style="position:absolute;left:807;top:4003;height:1152;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是</w:t>
                                </w:r>
                              </w:p>
                            </w:txbxContent>
                          </v:textbox>
                        </v:rect>
                        <v:shape id="直接连接符 1052" o:spid="_x0000_s1053" o:spt="32" type="#_x0000_t32" style="position:absolute;left:6103;top:5289;height:60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53" o:spid="_x0000_s1054" o:spt="1" style="position:absolute;left:2983;top:5289;height:477;width:2737;"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材料齐全并符合受理要求</w:t>
                                </w:r>
                              </w:p>
                            </w:txbxContent>
                          </v:textbox>
                        </v:rect>
                        <v:rect id="矩形 1054" o:spid="_x0000_s1055" o:spt="1" style="position:absolute;left:2778;top:5897;height:519;width:5359;"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依法应予受理，出具行政审批受理单</w:t>
                                </w:r>
                              </w:p>
                              <w:p/>
                            </w:txbxContent>
                          </v:textbox>
                        </v:rect>
                        <v:shape id="直接连接符 1055" o:spid="_x0000_s1056" o:spt="32" type="#_x0000_t32" style="position:absolute;left:3222;top:1729;height:0;width:990;"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56" o:spid="_x0000_s1057" o:spt="32" type="#_x0000_t32" style="position:absolute;left:4212;top:712;height:1921;width:0;"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菱形 1057" o:spid="_x0000_s1058" o:spt="4" type="#_x0000_t4" style="position:absolute;left:0;top:663;height:2131;width:319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接件（5个工作日）作出是否受理决定</w:t>
                                </w:r>
                              </w:p>
                            </w:txbxContent>
                          </v:textbox>
                        </v:shape>
                        <v:shape id="直接连接符 1058" o:spid="_x0000_s1059" o:spt="32" type="#_x0000_t32" style="position:absolute;left:4240;top:2632;height:1;width:564;"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9" o:spid="_x0000_s1060" o:spt="32" type="#_x0000_t32" style="position:absolute;left:4212;top:712;height:0;width:564;"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60" o:spid="_x0000_s1061" o:spt="1" style="position:absolute;left:4776;top:2064;height:1114;width:319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流程图: 终止 1061" o:spid="_x0000_s1062" o:spt="116" type="#_x0000_t116" style="position:absolute;left:4836;top:0;height:1483;width:2919;"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rect id="矩形 1062" o:spid="_x0000_s1063" o:spt="1" style="position:absolute;left:3388;top:941;height:471;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style="mso-fit-shape-to-text:t;">
                            <w:txbxContent>
                              <w:p>
                                <w:r>
                                  <w:rPr>
                                    <w:rFonts w:hint="eastAsia"/>
                                  </w:rPr>
                                  <w:t>否</w:t>
                                </w:r>
                              </w:p>
                            </w:txbxContent>
                          </v:textbox>
                        </v:rect>
                        <v:rect id="矩形 1063" o:spid="_x0000_s1064" o:spt="1" style="position:absolute;left:8137;top:1020;height:2553;width:823;"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64" o:spid="_x0000_s1065" o:spt="32" type="#_x0000_t32" style="position:absolute;left:7785;top:643;flip:x;height:20;width:1346;"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v:shape id="直接连接符 1065" o:spid="_x0000_s1066" o:spt="32" type="#_x0000_t32" style="position:absolute;left:1586;top:703;flip:x;height:69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菱形 1066" o:spid="_x0000_s1067" o:spt="4" type="#_x0000_t4" style="position:absolute;left:2025;top:7470;height:2160;width:637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rect id="矩形 1067" o:spid="_x0000_s1068" o:spt="1" style="position:absolute;left:3668;top:9434;height:472;width:812;"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同意</w:t>
                            </w:r>
                          </w:p>
                        </w:txbxContent>
                      </v:textbox>
                    </v:rect>
                    <v:rect id="矩形 1068" o:spid="_x0000_s1069" o:spt="1" style="position:absolute;left:7095;top:9322;height:584;width:1042;"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不同意</w:t>
                            </w:r>
                          </w:p>
                        </w:txbxContent>
                      </v:textbox>
                    </v:rect>
                    <v:shape id="直接连接符 1069" o:spid="_x0000_s1070" o:spt="32" type="#_x0000_t32" style="position:absolute;left:8400;top:8579;height:3027;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44"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249</w:t>
                </w:r>
                <w:r>
                  <w:rPr>
                    <w:rFonts w:hint="eastAsia"/>
                    <w:sz w:val="18"/>
                  </w:rPr>
                  <w:fldChar w:fldCharType="end"/>
                </w:r>
              </w:p>
            </w:txbxContent>
          </v:textbox>
        </v:rect>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rect id="文本框 45"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241</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3530B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28"/>
        <o:r id="V:Rule2" type="connector" idref="#直接连接符 1030"/>
        <o:r id="V:Rule3" type="connector" idref="#直接连接符 1031"/>
        <o:r id="V:Rule4" type="connector" idref="#直接连接符 1037"/>
        <o:r id="V:Rule5" type="connector" idref="#直接连接符 1039"/>
        <o:r id="V:Rule6" type="connector" idref="#直接连接符 1040"/>
        <o:r id="V:Rule7" type="connector" idref="#直接连接符 1042"/>
        <o:r id="V:Rule8" type="connector" idref="#肘形连接符 1045"/>
        <o:r id="V:Rule9" type="connector" idref="#直接连接符 1047"/>
        <o:r id="V:Rule10" type="connector" idref="#直接连接符 1049"/>
        <o:r id="V:Rule11" type="connector" idref="#直接连接符 1050"/>
        <o:r id="V:Rule12" type="connector" idref="#直接连接符 1052"/>
        <o:r id="V:Rule13" type="connector" idref="#直接连接符 1055"/>
        <o:r id="V:Rule14" type="connector" idref="#直接连接符 1056"/>
        <o:r id="V:Rule15" type="connector" idref="#直接连接符 1058"/>
        <o:r id="V:Rule16" type="connector" idref="#直接连接符 1059"/>
        <o:r id="V:Rule17" type="connector" idref="#直接连接符 1064"/>
        <o:r id="V:Rule18" type="connector" idref="#直接连接符 1065"/>
        <o:r id="V:Rule19" type="connector" idref="#直接连接符 106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5">
    <w:name w:val="Default Paragraph Font"/>
    <w:semiHidden/>
    <w:qFormat/>
    <w:uiPriority w:val="0"/>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9" textRotate="1"/>
    <customShpInfo spid="_x0000_s1031" textRotate="1"/>
    <customShpInfo spid="_x0000_s1032" textRotate="1"/>
    <customShpInfo spid="_x0000_s1034"/>
    <customShpInfo spid="_x0000_s1036"/>
    <customShpInfo spid="_x0000_s1037"/>
    <customShpInfo spid="_x0000_s1038" textRotate="1"/>
    <customShpInfo spid="_x0000_s1039"/>
    <customShpInfo spid="_x0000_s1040" textRotate="1"/>
    <customShpInfo spid="_x0000_s1041" textRotate="1"/>
    <customShpInfo spid="_x0000_s1043" textRotate="1"/>
    <customShpInfo spid="_x0000_s1044"/>
    <customShpInfo spid="_x0000_s1046" textRotate="1"/>
    <customShpInfo spid="_x0000_s1048" textRotate="1"/>
    <customShpInfo spid="_x0000_s1049"/>
    <customShpInfo spid="_x0000_s1050" textRotate="1"/>
    <customShpInfo spid="_x0000_s1051" textRotate="1"/>
    <customShpInfo spid="_x0000_s1052"/>
    <customShpInfo spid="_x0000_s1053" textRotate="1"/>
    <customShpInfo spid="_x0000_s1054"/>
    <customShpInfo spid="_x0000_s1055"/>
    <customShpInfo spid="_x0000_s1056" textRotate="1"/>
    <customShpInfo spid="_x0000_s1057" textRotate="1"/>
    <customShpInfo spid="_x0000_s1058"/>
    <customShpInfo spid="_x0000_s1059" textRotate="1"/>
    <customShpInfo spid="_x0000_s1060" textRotate="1"/>
    <customShpInfo spid="_x0000_s1061"/>
    <customShpInfo spid="_x0000_s1062"/>
    <customShpInfo spid="_x0000_s1063"/>
    <customShpInfo spid="_x0000_s1064"/>
    <customShpInfo spid="_x0000_s1065" textRotate="1"/>
    <customShpInfo spid="_x0000_s1047"/>
    <customShpInfo spid="_x0000_s1045"/>
    <customShpInfo spid="_x0000_s1066" textRotate="1"/>
    <customShpInfo spid="_x0000_s1067"/>
    <customShpInfo spid="_x0000_s1068"/>
    <customShpInfo spid="_x0000_s1069"/>
    <customShpInfo spid="_x0000_s1070" textRotate="1"/>
    <customShpInfo spid="_x0000_s1042"/>
    <customShpInfo spid="_x0000_s1035"/>
    <customShpInfo spid="_x0000_s1033"/>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2023-08-17T09:32:00Z</dcterms:created>
  <dc:creator>悲伤还是快乐</dc:creator>
  <cp:lastModifiedBy>匿名用户</cp:lastModifiedBy>
  <dcterms:modified xsi:type="dcterms:W3CDTF">2023-08-18T02:33:57Z</dcterms:modified>
  <dc:title>“非银行金融机构（不含保险公司）结售汇业务资格审批（含初审）”行政审批服务指南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0092EE0CA2784525A138BEBB88CDFBE9_11</vt:lpwstr>
  </property>
</Properties>
</file>