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 w:hAnsi="仿宋" w:eastAsia="仿宋" w:cs="仿宋"/>
          <w:color w:val="auto"/>
          <w:sz w:val="28"/>
          <w:szCs w:val="28"/>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资本项目外汇业务办事指南</w:t>
      </w:r>
    </w:p>
    <w:p>
      <w:pPr>
        <w:rPr>
          <w:color w:val="auto"/>
        </w:rPr>
      </w:pPr>
      <w:r>
        <w:rPr>
          <w:rFonts w:hint="eastAsia"/>
          <w:color w:val="auto"/>
        </w:rPr>
        <w:t>【申请条件】符合本办事指南中法规规定的具体业务资格的主体均可申请办理相应业务。</w:t>
      </w:r>
    </w:p>
    <w:p>
      <w:pPr>
        <w:rPr>
          <w:color w:val="auto"/>
        </w:rPr>
      </w:pPr>
      <w:r>
        <w:rPr>
          <w:rFonts w:hint="eastAsia"/>
          <w:color w:val="auto"/>
        </w:rPr>
        <w:t>【办理流程】申请主体根据具体业务提交所需材料，外汇局按规定程序审核后办理。</w:t>
      </w:r>
    </w:p>
    <w:p>
      <w:pPr>
        <w:rPr>
          <w:color w:val="auto"/>
        </w:rPr>
      </w:pPr>
      <w:r>
        <w:rPr>
          <w:rFonts w:hint="eastAsia"/>
          <w:color w:val="auto"/>
        </w:rPr>
        <w:t>【办理时间】周一至周五（节假日除外）</w:t>
      </w:r>
    </w:p>
    <w:p>
      <w:pPr>
        <w:rPr>
          <w:rFonts w:hint="eastAsia"/>
          <w:color w:val="auto"/>
        </w:rPr>
      </w:pPr>
      <w:r>
        <w:rPr>
          <w:rFonts w:hint="eastAsia"/>
          <w:color w:val="auto"/>
          <w:lang w:val="en-US" w:eastAsia="zh-CN"/>
        </w:rPr>
        <w:t xml:space="preserve">            </w:t>
      </w:r>
      <w:r>
        <w:rPr>
          <w:rFonts w:hint="eastAsia"/>
          <w:color w:val="auto"/>
        </w:rPr>
        <w:t>上午8:30-12:00，下午2:00-5:00</w:t>
      </w:r>
    </w:p>
    <w:p>
      <w:pPr>
        <w:rPr>
          <w:color w:val="auto"/>
        </w:rPr>
      </w:pPr>
      <w:r>
        <w:rPr>
          <w:rFonts w:hint="eastAsia"/>
          <w:color w:val="auto"/>
        </w:rPr>
        <w:t>【办理地点】</w:t>
      </w:r>
      <w:r>
        <w:rPr>
          <w:rFonts w:hint="eastAsia"/>
          <w:color w:val="auto"/>
          <w:lang w:eastAsia="zh-CN"/>
        </w:rPr>
        <w:t>安徽省合肥市</w:t>
      </w:r>
      <w:r>
        <w:rPr>
          <w:rFonts w:hint="eastAsia"/>
          <w:color w:val="auto"/>
        </w:rPr>
        <w:t>滨湖新区洞庭湖路3366号国家外汇管理局安徽省分局14楼。</w:t>
      </w:r>
    </w:p>
    <w:p>
      <w:pPr>
        <w:rPr>
          <w:color w:val="auto"/>
        </w:rPr>
      </w:pPr>
      <w:r>
        <w:rPr>
          <w:rFonts w:hint="eastAsia"/>
          <w:color w:val="auto"/>
        </w:rPr>
        <w:t>【办理部门】国家外汇管理局安徽省分局资本项目管理处。</w:t>
      </w:r>
    </w:p>
    <w:p>
      <w:pPr>
        <w:rPr>
          <w:color w:val="auto"/>
        </w:rPr>
      </w:pPr>
      <w:r>
        <w:rPr>
          <w:rFonts w:hint="eastAsia"/>
          <w:color w:val="auto"/>
        </w:rPr>
        <w:t>【办理时限】见下述具体业务。</w:t>
      </w:r>
    </w:p>
    <w:p>
      <w:pPr>
        <w:rPr>
          <w:color w:val="auto"/>
        </w:rPr>
      </w:pPr>
      <w:r>
        <w:rPr>
          <w:rFonts w:hint="eastAsia"/>
          <w:color w:val="auto"/>
        </w:rPr>
        <w:t>【办理材料】见下述具体业务。</w:t>
      </w:r>
    </w:p>
    <w:p>
      <w:pPr>
        <w:rPr>
          <w:color w:val="auto"/>
        </w:rPr>
      </w:pPr>
      <w:r>
        <w:rPr>
          <w:rFonts w:hint="eastAsia"/>
          <w:color w:val="auto"/>
        </w:rPr>
        <w:t>【设定依据】见下述具体业务。</w:t>
      </w:r>
    </w:p>
    <w:p>
      <w:pPr>
        <w:rPr>
          <w:color w:val="auto"/>
        </w:rPr>
      </w:pPr>
      <w:r>
        <w:rPr>
          <w:rFonts w:hint="eastAsia"/>
          <w:color w:val="auto"/>
        </w:rPr>
        <w:t>【联系电话】见下述具体业务。</w:t>
      </w: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目录</w:t>
      </w:r>
    </w:p>
    <w:p>
      <w:pPr>
        <w:pStyle w:val="14"/>
        <w:tabs>
          <w:tab w:val="right" w:leader="dot" w:pos="8306"/>
        </w:tabs>
        <w:rPr>
          <w:color w:val="auto"/>
        </w:rPr>
      </w:pPr>
      <w:r>
        <w:rPr>
          <w:rFonts w:hint="eastAsia" w:ascii="仿宋" w:hAnsi="仿宋" w:eastAsia="仿宋" w:cs="仿宋"/>
          <w:b/>
          <w:bCs/>
          <w:color w:val="auto"/>
          <w:sz w:val="44"/>
          <w:szCs w:val="44"/>
        </w:rPr>
        <w:fldChar w:fldCharType="begin"/>
      </w:r>
      <w:r>
        <w:rPr>
          <w:rFonts w:hint="eastAsia" w:ascii="仿宋" w:hAnsi="仿宋" w:eastAsia="仿宋" w:cs="仿宋"/>
          <w:b/>
          <w:bCs/>
          <w:color w:val="auto"/>
          <w:sz w:val="44"/>
          <w:szCs w:val="44"/>
        </w:rPr>
        <w:instrText xml:space="preserve">TOC \o "1-2" \h \u </w:instrText>
      </w:r>
      <w:r>
        <w:rPr>
          <w:rFonts w:hint="eastAsia" w:ascii="仿宋" w:hAnsi="仿宋" w:eastAsia="仿宋" w:cs="仿宋"/>
          <w:b/>
          <w:bCs/>
          <w:color w:val="auto"/>
          <w:sz w:val="44"/>
          <w:szCs w:val="44"/>
        </w:rPr>
        <w:fldChar w:fldCharType="separate"/>
      </w:r>
      <w:r>
        <w:rPr>
          <w:color w:val="auto"/>
        </w:rPr>
        <w:fldChar w:fldCharType="begin"/>
      </w:r>
      <w:r>
        <w:rPr>
          <w:color w:val="auto"/>
        </w:rPr>
        <w:instrText xml:space="preserve">HYPERLINK  \l "_Toc21304" </w:instrText>
      </w:r>
      <w:r>
        <w:rPr>
          <w:color w:val="auto"/>
        </w:rPr>
        <w:fldChar w:fldCharType="separate"/>
      </w:r>
      <w:r>
        <w:rPr>
          <w:rFonts w:hint="eastAsia"/>
          <w:color w:val="auto"/>
        </w:rPr>
        <w:t>一、跨境从事有价证券、衍生产品发行、交易外汇登记</w:t>
      </w:r>
      <w:r>
        <w:rPr>
          <w:color w:val="auto"/>
        </w:rPr>
        <w:tab/>
      </w:r>
      <w:r>
        <w:rPr>
          <w:color w:val="auto"/>
        </w:rPr>
        <w:fldChar w:fldCharType="begin"/>
      </w:r>
      <w:r>
        <w:rPr>
          <w:color w:val="auto"/>
        </w:rPr>
        <w:instrText xml:space="preserve"> PAGEREF _Toc21304 </w:instrText>
      </w:r>
      <w:r>
        <w:rPr>
          <w:color w:val="auto"/>
        </w:rPr>
        <w:fldChar w:fldCharType="separate"/>
      </w:r>
      <w:r>
        <w:rPr>
          <w:color w:val="auto"/>
        </w:rPr>
        <w:t>3</w:t>
      </w:r>
      <w:r>
        <w:rPr>
          <w:color w:val="auto"/>
        </w:rPr>
        <w:fldChar w:fldCharType="end"/>
      </w:r>
      <w:r>
        <w:rPr>
          <w:color w:val="auto"/>
        </w:rPr>
        <w:fldChar w:fldCharType="end"/>
      </w:r>
    </w:p>
    <w:p>
      <w:pPr>
        <w:pStyle w:val="18"/>
        <w:tabs>
          <w:tab w:val="right" w:leader="dot" w:pos="8306"/>
        </w:tabs>
        <w:rPr>
          <w:rFonts w:ascii="仿宋" w:hAnsi="仿宋" w:eastAsia="仿宋" w:cs="仿宋"/>
          <w:bCs/>
          <w:color w:val="auto"/>
          <w:szCs w:val="44"/>
        </w:rPr>
      </w:pPr>
      <w:r>
        <w:rPr>
          <w:color w:val="auto"/>
        </w:rPr>
        <w:fldChar w:fldCharType="begin"/>
      </w:r>
      <w:r>
        <w:rPr>
          <w:color w:val="auto"/>
        </w:rPr>
        <w:instrText xml:space="preserve">HYPERLINK  \l "_Toc12807" </w:instrText>
      </w:r>
      <w:r>
        <w:rPr>
          <w:color w:val="auto"/>
        </w:rPr>
        <w:fldChar w:fldCharType="separate"/>
      </w:r>
      <w:r>
        <w:rPr>
          <w:rFonts w:hint="eastAsia"/>
          <w:color w:val="auto"/>
        </w:rPr>
        <w:t>（一）、境内公司境外上市登记及变更、注销登记</w:t>
      </w:r>
      <w:r>
        <w:rPr>
          <w:color w:val="auto"/>
        </w:rPr>
        <w:tab/>
      </w:r>
      <w:r>
        <w:rPr>
          <w:color w:val="auto"/>
        </w:rPr>
        <w:fldChar w:fldCharType="begin"/>
      </w:r>
      <w:r>
        <w:rPr>
          <w:color w:val="auto"/>
        </w:rPr>
        <w:instrText xml:space="preserve"> PAGEREF _Toc12807 </w:instrText>
      </w:r>
      <w:r>
        <w:rPr>
          <w:color w:val="auto"/>
        </w:rPr>
        <w:fldChar w:fldCharType="separate"/>
      </w:r>
      <w:r>
        <w:rPr>
          <w:color w:val="auto"/>
        </w:rPr>
        <w:t>3</w:t>
      </w:r>
      <w:r>
        <w:rPr>
          <w:color w:val="auto"/>
        </w:rPr>
        <w:fldChar w:fldCharType="end"/>
      </w:r>
      <w:r>
        <w:rPr>
          <w:color w:val="auto"/>
        </w:rPr>
        <w:fldChar w:fldCharType="end"/>
      </w:r>
    </w:p>
    <w:p>
      <w:pPr>
        <w:rPr>
          <w:color w:val="auto"/>
        </w:rPr>
      </w:pPr>
      <w:r>
        <w:rPr>
          <w:rStyle w:val="46"/>
          <w:rFonts w:hint="eastAsia"/>
          <w:color w:val="auto"/>
          <w:lang w:val="en-US" w:eastAsia="zh-CN"/>
        </w:rPr>
        <w:t xml:space="preserve">    </w:t>
      </w:r>
      <w:r>
        <w:rPr>
          <w:rStyle w:val="46"/>
          <w:rFonts w:hint="eastAsia"/>
          <w:color w:val="auto"/>
        </w:rPr>
        <w:t>（二）、境外上市公司境内股东持股登记及变更登记.........................................................6</w:t>
      </w:r>
    </w:p>
    <w:p>
      <w:pPr>
        <w:pStyle w:val="18"/>
        <w:tabs>
          <w:tab w:val="right" w:leader="dot" w:pos="8306"/>
        </w:tabs>
        <w:rPr>
          <w:color w:val="auto"/>
        </w:rPr>
      </w:pPr>
      <w:r>
        <w:rPr>
          <w:color w:val="auto"/>
        </w:rPr>
        <w:fldChar w:fldCharType="begin"/>
      </w:r>
      <w:r>
        <w:rPr>
          <w:color w:val="auto"/>
        </w:rPr>
        <w:instrText xml:space="preserve">HYPERLINK  \l "_Toc26963" </w:instrText>
      </w:r>
      <w:r>
        <w:rPr>
          <w:color w:val="auto"/>
        </w:rPr>
        <w:fldChar w:fldCharType="separate"/>
      </w:r>
      <w:r>
        <w:rPr>
          <w:rFonts w:hint="eastAsia"/>
          <w:color w:val="auto"/>
        </w:rPr>
        <w:t>（三）、境内个人参与境外上市公司股权激励计划外汇登记及变更、注销登记</w:t>
      </w:r>
      <w:r>
        <w:rPr>
          <w:color w:val="auto"/>
        </w:rPr>
        <w:tab/>
      </w:r>
      <w:r>
        <w:rPr>
          <w:rFonts w:hint="eastAsia"/>
          <w:color w:val="auto"/>
          <w:lang w:val="en-US" w:eastAsia="zh-CN"/>
        </w:rPr>
        <w:t>9</w:t>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"_Toc24183" </w:instrText>
      </w:r>
      <w:r>
        <w:rPr>
          <w:color w:val="auto"/>
        </w:rPr>
        <w:fldChar w:fldCharType="separate"/>
      </w:r>
      <w:r>
        <w:rPr>
          <w:rFonts w:hint="eastAsia"/>
          <w:color w:val="auto"/>
        </w:rPr>
        <w:t>（四）、境内机构境外衍生业务外汇登记及变更、注销登记</w:t>
      </w:r>
      <w:r>
        <w:rPr>
          <w:color w:val="auto"/>
        </w:rPr>
        <w:tab/>
      </w:r>
      <w:r>
        <w:rPr>
          <w:rFonts w:hint="eastAsia"/>
          <w:color w:val="auto"/>
        </w:rPr>
        <w:t>1</w:t>
      </w:r>
      <w:r>
        <w:rPr>
          <w:color w:val="auto"/>
        </w:rPr>
        <w:fldChar w:fldCharType="end"/>
      </w:r>
      <w:r>
        <w:rPr>
          <w:rFonts w:hint="eastAsia"/>
          <w:color w:val="auto"/>
          <w:lang w:val="en-US" w:eastAsia="zh-CN"/>
        </w:rPr>
        <w:t>4</w:t>
      </w:r>
    </w:p>
    <w:p>
      <w:pPr>
        <w:pStyle w:val="18"/>
        <w:tabs>
          <w:tab w:val="right" w:leader="dot" w:pos="8306"/>
        </w:tabs>
        <w:rPr>
          <w:color w:val="auto"/>
        </w:rPr>
      </w:pPr>
      <w:r>
        <w:rPr>
          <w:color w:val="auto"/>
        </w:rPr>
        <w:fldChar w:fldCharType="begin"/>
      </w:r>
      <w:r>
        <w:rPr>
          <w:color w:val="auto"/>
        </w:rPr>
        <w:instrText xml:space="preserve">HYPERLINK  \l "_Toc22456" </w:instrText>
      </w:r>
      <w:r>
        <w:rPr>
          <w:color w:val="auto"/>
        </w:rPr>
        <w:fldChar w:fldCharType="separate"/>
      </w:r>
      <w:r>
        <w:rPr>
          <w:rFonts w:hint="eastAsia"/>
          <w:color w:val="auto"/>
        </w:rPr>
        <w:t>（五）、上市公司回购B 股股份购汇额度审批</w:t>
      </w:r>
      <w:r>
        <w:rPr>
          <w:color w:val="auto"/>
        </w:rPr>
        <w:tab/>
      </w:r>
      <w:r>
        <w:rPr>
          <w:rFonts w:hint="eastAsia"/>
          <w:color w:val="auto"/>
        </w:rPr>
        <w:t>1</w:t>
      </w:r>
      <w:r>
        <w:rPr>
          <w:color w:val="auto"/>
        </w:rPr>
        <w:fldChar w:fldCharType="end"/>
      </w:r>
      <w:r>
        <w:rPr>
          <w:rFonts w:hint="eastAsia"/>
          <w:color w:val="auto"/>
          <w:lang w:val="en-US" w:eastAsia="zh-CN"/>
        </w:rPr>
        <w:t>7</w:t>
      </w:r>
    </w:p>
    <w:p>
      <w:pPr>
        <w:rPr>
          <w:color w:val="auto"/>
        </w:rPr>
      </w:pPr>
      <w:r>
        <w:rPr>
          <w:rFonts w:hint="eastAsia"/>
          <w:color w:val="auto"/>
          <w:lang w:val="en-US" w:eastAsia="zh-CN"/>
        </w:rPr>
        <w:t xml:space="preserve">    </w:t>
      </w:r>
      <w:r>
        <w:rPr>
          <w:color w:val="auto"/>
        </w:rPr>
        <w:fldChar w:fldCharType="begin"/>
      </w:r>
      <w:r>
        <w:rPr>
          <w:color w:val="auto"/>
        </w:rPr>
        <w:instrText xml:space="preserve">HYPERLINK  \l "_Toc7023" </w:instrText>
      </w:r>
      <w:r>
        <w:rPr>
          <w:color w:val="auto"/>
        </w:rPr>
        <w:fldChar w:fldCharType="separate"/>
      </w:r>
      <w:r>
        <w:rPr>
          <w:rFonts w:hint="eastAsia"/>
          <w:color w:val="auto"/>
        </w:rPr>
        <w:t>（六）、银行人民币结构性存款业务外汇登记</w:t>
      </w:r>
      <w:r>
        <w:rPr>
          <w:color w:val="auto"/>
        </w:rPr>
        <w:fldChar w:fldCharType="end"/>
      </w:r>
      <w:r>
        <w:rPr>
          <w:rFonts w:hint="eastAsia" w:ascii="仿宋" w:hAnsi="仿宋" w:eastAsia="仿宋" w:cs="仿宋"/>
          <w:bCs/>
          <w:color w:val="auto"/>
          <w:szCs w:val="44"/>
        </w:rPr>
        <w:t>..................................</w:t>
      </w:r>
      <w:r>
        <w:rPr>
          <w:rFonts w:hint="eastAsia" w:ascii="仿宋" w:hAnsi="仿宋" w:eastAsia="仿宋" w:cs="仿宋"/>
          <w:bCs/>
          <w:color w:val="auto"/>
          <w:szCs w:val="44"/>
          <w:lang w:val="en-US" w:eastAsia="zh-CN"/>
        </w:rPr>
        <w:t>20</w:t>
      </w:r>
    </w:p>
    <w:p>
      <w:pPr>
        <w:pStyle w:val="14"/>
        <w:tabs>
          <w:tab w:val="right" w:leader="dot" w:pos="8306"/>
        </w:tabs>
        <w:rPr>
          <w:color w:val="auto"/>
        </w:rPr>
      </w:pPr>
      <w:r>
        <w:rPr>
          <w:color w:val="auto"/>
        </w:rPr>
        <w:fldChar w:fldCharType="begin"/>
      </w:r>
      <w:r>
        <w:rPr>
          <w:color w:val="auto"/>
        </w:rPr>
        <w:instrText xml:space="preserve">HYPERLINK  \l "_Toc23113" </w:instrText>
      </w:r>
      <w:r>
        <w:rPr>
          <w:color w:val="auto"/>
        </w:rPr>
        <w:fldChar w:fldCharType="separate"/>
      </w:r>
      <w:r>
        <w:rPr>
          <w:rFonts w:hint="eastAsia"/>
          <w:color w:val="auto"/>
          <w:szCs w:val="32"/>
        </w:rPr>
        <w:t>二、境内机构外债、对外或有负债审批、登记及履约核准</w:t>
      </w:r>
      <w:r>
        <w:rPr>
          <w:color w:val="auto"/>
        </w:rPr>
        <w:tab/>
      </w:r>
      <w:r>
        <w:rPr>
          <w:color w:val="auto"/>
        </w:rPr>
        <w:fldChar w:fldCharType="begin"/>
      </w:r>
      <w:r>
        <w:rPr>
          <w:color w:val="auto"/>
        </w:rPr>
        <w:instrText xml:space="preserve"> PAGEREF _Toc23113 </w:instrText>
      </w:r>
      <w:r>
        <w:rPr>
          <w:color w:val="auto"/>
        </w:rPr>
        <w:fldChar w:fldCharType="separate"/>
      </w:r>
      <w:r>
        <w:rPr>
          <w:color w:val="auto"/>
        </w:rPr>
        <w:t>2</w:t>
      </w:r>
      <w:r>
        <w:rPr>
          <w:rFonts w:hint="eastAsia"/>
          <w:color w:val="auto"/>
          <w:lang w:val="en-US" w:eastAsia="zh-CN"/>
        </w:rPr>
        <w:t>2</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"_Toc11302" </w:instrText>
      </w:r>
      <w:r>
        <w:rPr>
          <w:color w:val="auto"/>
        </w:rPr>
        <w:fldChar w:fldCharType="separate"/>
      </w:r>
      <w:r>
        <w:rPr>
          <w:rFonts w:hint="eastAsia"/>
          <w:color w:val="auto"/>
        </w:rPr>
        <w:t>（一）、境内机构短期外债余额指标核准</w:t>
      </w:r>
      <w:r>
        <w:rPr>
          <w:color w:val="auto"/>
        </w:rPr>
        <w:tab/>
      </w:r>
      <w:r>
        <w:rPr>
          <w:color w:val="auto"/>
        </w:rPr>
        <w:fldChar w:fldCharType="begin"/>
      </w:r>
      <w:r>
        <w:rPr>
          <w:color w:val="auto"/>
        </w:rPr>
        <w:instrText xml:space="preserve"> PAGEREF _Toc11302 </w:instrText>
      </w:r>
      <w:r>
        <w:rPr>
          <w:color w:val="auto"/>
        </w:rPr>
        <w:fldChar w:fldCharType="separate"/>
      </w:r>
      <w:r>
        <w:rPr>
          <w:color w:val="auto"/>
        </w:rPr>
        <w:t>2</w:t>
      </w:r>
      <w:r>
        <w:rPr>
          <w:rFonts w:hint="eastAsia"/>
          <w:color w:val="auto"/>
          <w:lang w:val="en-US" w:eastAsia="zh-CN"/>
        </w:rPr>
        <w:t>3</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"_Toc1916" </w:instrText>
      </w:r>
      <w:r>
        <w:rPr>
          <w:color w:val="auto"/>
        </w:rPr>
        <w:fldChar w:fldCharType="separate"/>
      </w:r>
      <w:r>
        <w:rPr>
          <w:rFonts w:hint="eastAsia"/>
          <w:color w:val="auto"/>
        </w:rPr>
        <w:t>（二）、非银行债务人外债登记</w:t>
      </w:r>
      <w:r>
        <w:rPr>
          <w:color w:val="auto"/>
        </w:rPr>
        <w:tab/>
      </w:r>
      <w:r>
        <w:rPr>
          <w:color w:val="auto"/>
        </w:rPr>
        <w:fldChar w:fldCharType="begin"/>
      </w:r>
      <w:r>
        <w:rPr>
          <w:color w:val="auto"/>
        </w:rPr>
        <w:instrText xml:space="preserve"> PAGEREF _Toc1916 </w:instrText>
      </w:r>
      <w:r>
        <w:rPr>
          <w:color w:val="auto"/>
        </w:rPr>
        <w:fldChar w:fldCharType="separate"/>
      </w:r>
      <w:r>
        <w:rPr>
          <w:color w:val="auto"/>
        </w:rPr>
        <w:t>2</w:t>
      </w:r>
      <w:r>
        <w:rPr>
          <w:rFonts w:hint="eastAsia"/>
          <w:color w:val="auto"/>
          <w:lang w:val="en-US" w:eastAsia="zh-CN"/>
        </w:rPr>
        <w:t>6</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"_Toc26963" </w:instrText>
      </w:r>
      <w:r>
        <w:rPr>
          <w:color w:val="auto"/>
        </w:rPr>
        <w:fldChar w:fldCharType="separate"/>
      </w:r>
      <w:r>
        <w:rPr>
          <w:rFonts w:hint="eastAsia"/>
          <w:color w:val="auto"/>
        </w:rPr>
        <w:t>（三）、非银行债务人非资金划转类提款、还本付息备案</w:t>
      </w:r>
      <w:r>
        <w:rPr>
          <w:color w:val="auto"/>
        </w:rPr>
        <w:tab/>
      </w:r>
      <w:r>
        <w:rPr>
          <w:color w:val="auto"/>
        </w:rPr>
        <w:fldChar w:fldCharType="begin"/>
      </w:r>
      <w:r>
        <w:rPr>
          <w:color w:val="auto"/>
        </w:rPr>
        <w:instrText xml:space="preserve"> PAGEREF _Toc26963 </w:instrText>
      </w:r>
      <w:r>
        <w:rPr>
          <w:color w:val="auto"/>
        </w:rPr>
        <w:fldChar w:fldCharType="separate"/>
      </w:r>
      <w:r>
        <w:rPr>
          <w:color w:val="auto"/>
        </w:rPr>
        <w:t>3</w:t>
      </w:r>
      <w:r>
        <w:rPr>
          <w:rFonts w:hint="eastAsia"/>
          <w:color w:val="auto"/>
          <w:lang w:val="en-US" w:eastAsia="zh-CN"/>
        </w:rPr>
        <w:t>3</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"_Toc24183" </w:instrText>
      </w:r>
      <w:r>
        <w:rPr>
          <w:color w:val="auto"/>
        </w:rPr>
        <w:fldChar w:fldCharType="separate"/>
      </w:r>
      <w:r>
        <w:rPr>
          <w:rFonts w:hint="eastAsia"/>
          <w:color w:val="auto"/>
        </w:rPr>
        <w:t>（四）、内保外贷登记</w:t>
      </w:r>
      <w:r>
        <w:rPr>
          <w:color w:val="auto"/>
        </w:rPr>
        <w:tab/>
      </w:r>
      <w:r>
        <w:rPr>
          <w:color w:val="auto"/>
        </w:rPr>
        <w:fldChar w:fldCharType="begin"/>
      </w:r>
      <w:r>
        <w:rPr>
          <w:color w:val="auto"/>
        </w:rPr>
        <w:instrText xml:space="preserve"> PAGEREF _Toc24183 </w:instrText>
      </w:r>
      <w:r>
        <w:rPr>
          <w:color w:val="auto"/>
        </w:rPr>
        <w:fldChar w:fldCharType="separate"/>
      </w:r>
      <w:r>
        <w:rPr>
          <w:color w:val="auto"/>
        </w:rPr>
        <w:t>3</w:t>
      </w:r>
      <w:r>
        <w:rPr>
          <w:rFonts w:hint="eastAsia"/>
          <w:color w:val="auto"/>
          <w:lang w:val="en-US" w:eastAsia="zh-CN"/>
        </w:rPr>
        <w:t>7</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"_Toc22456" </w:instrText>
      </w:r>
      <w:r>
        <w:rPr>
          <w:color w:val="auto"/>
        </w:rPr>
        <w:fldChar w:fldCharType="separate"/>
      </w:r>
      <w:r>
        <w:rPr>
          <w:rFonts w:hint="eastAsia"/>
          <w:color w:val="auto"/>
        </w:rPr>
        <w:t>（五）、非银行机构内保外贷业务集中登记</w:t>
      </w:r>
      <w:r>
        <w:rPr>
          <w:color w:val="auto"/>
        </w:rPr>
        <w:tab/>
      </w:r>
      <w:r>
        <w:rPr>
          <w:color w:val="auto"/>
        </w:rPr>
        <w:fldChar w:fldCharType="begin"/>
      </w:r>
      <w:r>
        <w:rPr>
          <w:color w:val="auto"/>
        </w:rPr>
        <w:instrText xml:space="preserve"> PAGEREF _Toc22456 </w:instrText>
      </w:r>
      <w:r>
        <w:rPr>
          <w:color w:val="auto"/>
        </w:rPr>
        <w:fldChar w:fldCharType="separate"/>
      </w:r>
      <w:r>
        <w:rPr>
          <w:color w:val="auto"/>
        </w:rPr>
        <w:t>4</w:t>
      </w:r>
      <w:r>
        <w:rPr>
          <w:rFonts w:hint="eastAsia"/>
          <w:color w:val="auto"/>
          <w:lang w:val="en-US" w:eastAsia="zh-CN"/>
        </w:rPr>
        <w:t>3</w:t>
      </w:r>
      <w:r>
        <w:rPr>
          <w:color w:val="auto"/>
        </w:rPr>
        <w:fldChar w:fldCharType="end"/>
      </w:r>
      <w:r>
        <w:rPr>
          <w:color w:val="auto"/>
        </w:rPr>
        <w:fldChar w:fldCharType="end"/>
      </w:r>
    </w:p>
    <w:p>
      <w:pPr>
        <w:pStyle w:val="14"/>
        <w:tabs>
          <w:tab w:val="right" w:leader="dot" w:pos="8306"/>
        </w:tabs>
        <w:rPr>
          <w:color w:val="auto"/>
        </w:rPr>
      </w:pPr>
      <w:r>
        <w:rPr>
          <w:rFonts w:hint="eastAsia"/>
          <w:color w:val="auto"/>
          <w:lang w:val="en-US" w:eastAsia="zh-CN"/>
        </w:rPr>
        <w:t xml:space="preserve">    </w:t>
      </w:r>
      <w:r>
        <w:rPr>
          <w:color w:val="auto"/>
        </w:rPr>
        <w:fldChar w:fldCharType="begin"/>
      </w:r>
      <w:r>
        <w:rPr>
          <w:color w:val="auto"/>
        </w:rPr>
        <w:instrText xml:space="preserve">HYPERLINK  \l "_Toc7023" </w:instrText>
      </w:r>
      <w:r>
        <w:rPr>
          <w:color w:val="auto"/>
        </w:rPr>
        <w:fldChar w:fldCharType="separate"/>
      </w:r>
      <w:r>
        <w:rPr>
          <w:rFonts w:hint="eastAsia"/>
          <w:color w:val="auto"/>
        </w:rPr>
        <w:t>（六）、外保内贷履约外债登记</w:t>
      </w:r>
      <w:r>
        <w:rPr>
          <w:color w:val="auto"/>
        </w:rPr>
        <w:tab/>
      </w:r>
      <w:r>
        <w:rPr>
          <w:color w:val="auto"/>
        </w:rPr>
        <w:fldChar w:fldCharType="begin"/>
      </w:r>
      <w:r>
        <w:rPr>
          <w:color w:val="auto"/>
        </w:rPr>
        <w:instrText xml:space="preserve"> PAGEREF _Toc7023 </w:instrText>
      </w:r>
      <w:r>
        <w:rPr>
          <w:color w:val="auto"/>
        </w:rPr>
        <w:fldChar w:fldCharType="separate"/>
      </w:r>
      <w:r>
        <w:rPr>
          <w:color w:val="auto"/>
        </w:rPr>
        <w:t>4</w:t>
      </w:r>
      <w:r>
        <w:rPr>
          <w:rFonts w:hint="eastAsia"/>
          <w:color w:val="auto"/>
          <w:lang w:val="en-US" w:eastAsia="zh-CN"/>
        </w:rPr>
        <w:t>8</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HYPERLINK  \l "_Toc23743" </w:instrText>
      </w:r>
      <w:r>
        <w:rPr>
          <w:color w:val="auto"/>
        </w:rPr>
        <w:fldChar w:fldCharType="separate"/>
      </w:r>
      <w:r>
        <w:rPr>
          <w:rFonts w:hint="eastAsia"/>
          <w:color w:val="auto"/>
          <w:szCs w:val="32"/>
        </w:rPr>
        <w:t>三、境内机构（不含商业银行）向境外提供商业贷款审批与登记</w:t>
      </w:r>
      <w:r>
        <w:rPr>
          <w:color w:val="auto"/>
        </w:rPr>
        <w:tab/>
      </w:r>
      <w:r>
        <w:rPr>
          <w:color w:val="auto"/>
        </w:rPr>
        <w:fldChar w:fldCharType="begin"/>
      </w:r>
      <w:r>
        <w:rPr>
          <w:color w:val="auto"/>
        </w:rPr>
        <w:instrText xml:space="preserve"> PAGEREF _Toc23743 </w:instrText>
      </w:r>
      <w:r>
        <w:rPr>
          <w:color w:val="auto"/>
        </w:rPr>
        <w:fldChar w:fldCharType="separate"/>
      </w:r>
      <w:r>
        <w:rPr>
          <w:color w:val="auto"/>
        </w:rPr>
        <w:t>5</w:t>
      </w:r>
      <w:r>
        <w:rPr>
          <w:rFonts w:hint="eastAsia"/>
          <w:color w:val="auto"/>
          <w:lang w:val="en-US" w:eastAsia="zh-CN"/>
        </w:rPr>
        <w:t>1</w:t>
      </w:r>
      <w:r>
        <w:rPr>
          <w:color w:val="auto"/>
        </w:rPr>
        <w:fldChar w:fldCharType="end"/>
      </w:r>
      <w:r>
        <w:rPr>
          <w:color w:val="auto"/>
        </w:rPr>
        <w:fldChar w:fldCharType="end"/>
      </w:r>
    </w:p>
    <w:p>
      <w:pPr>
        <w:pStyle w:val="18"/>
        <w:tabs>
          <w:tab w:val="right" w:leader="dot" w:pos="8306"/>
        </w:tabs>
        <w:rPr>
          <w:rFonts w:ascii="仿宋" w:hAnsi="仿宋" w:eastAsia="仿宋" w:cs="仿宋"/>
          <w:bCs/>
          <w:color w:val="auto"/>
          <w:szCs w:val="44"/>
        </w:rPr>
      </w:pPr>
      <w:r>
        <w:rPr>
          <w:color w:val="auto"/>
        </w:rPr>
        <w:fldChar w:fldCharType="begin"/>
      </w:r>
      <w:r>
        <w:rPr>
          <w:color w:val="auto"/>
        </w:rPr>
        <w:instrText xml:space="preserve">HYPERLINK  \l "_Toc23414" </w:instrText>
      </w:r>
      <w:r>
        <w:rPr>
          <w:color w:val="auto"/>
        </w:rPr>
        <w:fldChar w:fldCharType="separate"/>
      </w:r>
      <w:r>
        <w:rPr>
          <w:rFonts w:hint="eastAsia"/>
          <w:color w:val="auto"/>
        </w:rPr>
        <w:t>（一）、境内机构境外放款额度登记</w:t>
      </w:r>
      <w:r>
        <w:rPr>
          <w:color w:val="auto"/>
        </w:rPr>
        <w:tab/>
      </w:r>
      <w:r>
        <w:rPr>
          <w:color w:val="auto"/>
        </w:rPr>
        <w:fldChar w:fldCharType="begin"/>
      </w:r>
      <w:r>
        <w:rPr>
          <w:color w:val="auto"/>
        </w:rPr>
        <w:instrText xml:space="preserve"> PAGEREF _Toc23414 </w:instrText>
      </w:r>
      <w:r>
        <w:rPr>
          <w:color w:val="auto"/>
        </w:rPr>
        <w:fldChar w:fldCharType="separate"/>
      </w:r>
      <w:r>
        <w:rPr>
          <w:color w:val="auto"/>
        </w:rPr>
        <w:t>5</w:t>
      </w:r>
      <w:r>
        <w:rPr>
          <w:rFonts w:hint="eastAsia"/>
          <w:color w:val="auto"/>
          <w:lang w:val="en-US" w:eastAsia="zh-CN"/>
        </w:rPr>
        <w:t>1</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"_Toc7168" </w:instrText>
      </w:r>
      <w:r>
        <w:rPr>
          <w:color w:val="auto"/>
        </w:rPr>
        <w:fldChar w:fldCharType="separate"/>
      </w:r>
      <w:r>
        <w:rPr>
          <w:rFonts w:hint="eastAsia"/>
          <w:color w:val="auto"/>
        </w:rPr>
        <w:t>（二）、融资租赁对外债权登记</w:t>
      </w:r>
      <w:r>
        <w:rPr>
          <w:color w:val="auto"/>
        </w:rPr>
        <w:tab/>
      </w:r>
      <w:r>
        <w:rPr>
          <w:rFonts w:hint="eastAsia"/>
          <w:color w:val="auto"/>
        </w:rPr>
        <w:t>5</w:t>
      </w:r>
      <w:r>
        <w:rPr>
          <w:color w:val="auto"/>
        </w:rPr>
        <w:fldChar w:fldCharType="end"/>
      </w:r>
      <w:r>
        <w:rPr>
          <w:rFonts w:hint="eastAsia" w:ascii="仿宋" w:hAnsi="仿宋" w:eastAsia="仿宋" w:cs="仿宋"/>
          <w:bCs/>
          <w:color w:val="auto"/>
          <w:szCs w:val="44"/>
          <w:lang w:val="en-US" w:eastAsia="zh-CN"/>
        </w:rPr>
        <w:t>8</w:t>
      </w:r>
    </w:p>
    <w:p>
      <w:pPr>
        <w:rPr>
          <w:color w:val="auto"/>
        </w:rPr>
      </w:pPr>
      <w:r>
        <w:rPr>
          <w:rFonts w:hint="eastAsia"/>
          <w:color w:val="auto"/>
          <w:lang w:val="en-US" w:eastAsia="zh-CN"/>
        </w:rPr>
        <w:t xml:space="preserve">    </w:t>
      </w:r>
      <w:r>
        <w:rPr>
          <w:color w:val="auto"/>
        </w:rPr>
        <w:fldChar w:fldCharType="begin"/>
      </w:r>
      <w:r>
        <w:rPr>
          <w:color w:val="auto"/>
        </w:rPr>
        <w:instrText xml:space="preserve">HYPERLINK  \l "_Toc5475" </w:instrText>
      </w:r>
      <w:r>
        <w:rPr>
          <w:color w:val="auto"/>
        </w:rPr>
        <w:fldChar w:fldCharType="separate"/>
      </w:r>
      <w:r>
        <w:rPr>
          <w:rFonts w:hint="eastAsia"/>
          <w:color w:val="auto"/>
        </w:rPr>
        <w:t>（三）、内保外贷担保履约对外债权登记</w:t>
      </w:r>
      <w:r>
        <w:rPr>
          <w:color w:val="auto"/>
        </w:rPr>
        <w:fldChar w:fldCharType="end"/>
      </w:r>
      <w:r>
        <w:rPr>
          <w:rFonts w:hint="eastAsia" w:ascii="仿宋" w:hAnsi="仿宋" w:eastAsia="仿宋" w:cs="仿宋"/>
          <w:bCs/>
          <w:color w:val="auto"/>
          <w:szCs w:val="44"/>
        </w:rPr>
        <w:t>......................................</w:t>
      </w:r>
      <w:r>
        <w:rPr>
          <w:rFonts w:hint="eastAsia" w:ascii="仿宋" w:hAnsi="仿宋" w:eastAsia="仿宋" w:cs="仿宋"/>
          <w:bCs/>
          <w:color w:val="auto"/>
          <w:szCs w:val="44"/>
          <w:lang w:val="en-US" w:eastAsia="zh-CN"/>
        </w:rPr>
        <w:t>61</w:t>
      </w:r>
    </w:p>
    <w:p>
      <w:pPr>
        <w:pStyle w:val="14"/>
        <w:tabs>
          <w:tab w:val="right" w:leader="dot" w:pos="8306"/>
        </w:tabs>
        <w:rPr>
          <w:color w:val="auto"/>
        </w:rPr>
      </w:pPr>
      <w:r>
        <w:rPr>
          <w:color w:val="auto"/>
        </w:rPr>
        <w:fldChar w:fldCharType="begin"/>
      </w:r>
      <w:r>
        <w:rPr>
          <w:color w:val="auto"/>
        </w:rPr>
        <w:instrText xml:space="preserve">HYPERLINK  \l "_Toc6494" </w:instrText>
      </w:r>
      <w:r>
        <w:rPr>
          <w:color w:val="auto"/>
        </w:rPr>
        <w:fldChar w:fldCharType="separate"/>
      </w:r>
      <w:r>
        <w:rPr>
          <w:rFonts w:hint="eastAsia"/>
          <w:color w:val="auto"/>
          <w:szCs w:val="32"/>
        </w:rPr>
        <w:t>四、资本项目外汇资金汇出境外的购付汇核准</w:t>
      </w:r>
      <w:r>
        <w:rPr>
          <w:color w:val="auto"/>
        </w:rPr>
        <w:tab/>
      </w:r>
      <w:r>
        <w:rPr>
          <w:color w:val="auto"/>
        </w:rPr>
        <w:fldChar w:fldCharType="begin"/>
      </w:r>
      <w:r>
        <w:rPr>
          <w:color w:val="auto"/>
        </w:rPr>
        <w:instrText xml:space="preserve"> PAGEREF _Toc6494 </w:instrText>
      </w:r>
      <w:r>
        <w:rPr>
          <w:color w:val="auto"/>
        </w:rPr>
        <w:fldChar w:fldCharType="separate"/>
      </w:r>
      <w:r>
        <w:rPr>
          <w:color w:val="auto"/>
        </w:rPr>
        <w:t>6</w:t>
      </w:r>
      <w:r>
        <w:rPr>
          <w:rFonts w:hint="eastAsia"/>
          <w:color w:val="auto"/>
          <w:lang w:val="en-US" w:eastAsia="zh-CN"/>
        </w:rPr>
        <w:t>4</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"_Toc21618" </w:instrText>
      </w:r>
      <w:r>
        <w:rPr>
          <w:color w:val="auto"/>
        </w:rPr>
        <w:fldChar w:fldCharType="separate"/>
      </w:r>
      <w:r>
        <w:rPr>
          <w:rFonts w:hint="eastAsia"/>
          <w:color w:val="auto"/>
        </w:rPr>
        <w:t>（一）、特殊目的公司项下境内个人购付汇核准</w:t>
      </w:r>
      <w:r>
        <w:rPr>
          <w:color w:val="auto"/>
        </w:rPr>
        <w:tab/>
      </w:r>
      <w:r>
        <w:rPr>
          <w:color w:val="auto"/>
        </w:rPr>
        <w:fldChar w:fldCharType="begin"/>
      </w:r>
      <w:r>
        <w:rPr>
          <w:color w:val="auto"/>
        </w:rPr>
        <w:instrText xml:space="preserve"> PAGEREF _Toc21618 </w:instrText>
      </w:r>
      <w:r>
        <w:rPr>
          <w:color w:val="auto"/>
        </w:rPr>
        <w:fldChar w:fldCharType="separate"/>
      </w:r>
      <w:r>
        <w:rPr>
          <w:color w:val="auto"/>
        </w:rPr>
        <w:t>6</w:t>
      </w:r>
      <w:r>
        <w:rPr>
          <w:rFonts w:hint="eastAsia"/>
          <w:color w:val="auto"/>
          <w:lang w:val="en-US" w:eastAsia="zh-CN"/>
        </w:rPr>
        <w:t>4</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"_Toc7168" </w:instrText>
      </w:r>
      <w:r>
        <w:rPr>
          <w:color w:val="auto"/>
        </w:rPr>
        <w:fldChar w:fldCharType="separate"/>
      </w:r>
      <w:r>
        <w:rPr>
          <w:rFonts w:hint="eastAsia"/>
          <w:color w:val="auto"/>
        </w:rPr>
        <w:t>（二）、移民财产转移核准</w:t>
      </w:r>
      <w:r>
        <w:rPr>
          <w:color w:val="auto"/>
        </w:rPr>
        <w:tab/>
      </w:r>
      <w:r>
        <w:rPr>
          <w:color w:val="auto"/>
        </w:rPr>
        <w:fldChar w:fldCharType="begin"/>
      </w:r>
      <w:r>
        <w:rPr>
          <w:color w:val="auto"/>
        </w:rPr>
        <w:instrText xml:space="preserve"> PAGEREF _Toc7168 </w:instrText>
      </w:r>
      <w:r>
        <w:rPr>
          <w:color w:val="auto"/>
        </w:rPr>
        <w:fldChar w:fldCharType="separate"/>
      </w:r>
      <w:r>
        <w:rPr>
          <w:color w:val="auto"/>
        </w:rPr>
        <w:t>6</w:t>
      </w:r>
      <w:r>
        <w:rPr>
          <w:rFonts w:hint="eastAsia"/>
          <w:color w:val="auto"/>
          <w:lang w:val="en-US" w:eastAsia="zh-CN"/>
        </w:rPr>
        <w:t>7</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"_Toc5475" </w:instrText>
      </w:r>
      <w:r>
        <w:rPr>
          <w:color w:val="auto"/>
        </w:rPr>
        <w:fldChar w:fldCharType="separate"/>
      </w:r>
      <w:r>
        <w:rPr>
          <w:rFonts w:hint="eastAsia"/>
          <w:color w:val="auto"/>
        </w:rPr>
        <w:t>（三）、继承财产转移核准</w:t>
      </w:r>
      <w:r>
        <w:rPr>
          <w:color w:val="auto"/>
        </w:rPr>
        <w:tab/>
      </w:r>
      <w:r>
        <w:rPr>
          <w:rFonts w:hint="eastAsia"/>
          <w:color w:val="auto"/>
          <w:lang w:val="en-US" w:eastAsia="zh-CN"/>
        </w:rPr>
        <w:t>7</w:t>
      </w:r>
      <w:r>
        <w:rPr>
          <w:color w:val="auto"/>
        </w:rPr>
        <w:fldChar w:fldCharType="end"/>
      </w:r>
      <w:r>
        <w:rPr>
          <w:rFonts w:hint="eastAsia"/>
          <w:color w:val="auto"/>
          <w:lang w:val="en-US" w:eastAsia="zh-CN"/>
        </w:rPr>
        <w:t>2</w:t>
      </w:r>
    </w:p>
    <w:p>
      <w:pPr>
        <w:pStyle w:val="18"/>
        <w:tabs>
          <w:tab w:val="right" w:leader="dot" w:pos="8306"/>
        </w:tabs>
        <w:rPr>
          <w:color w:val="auto"/>
        </w:rPr>
      </w:pPr>
      <w:r>
        <w:rPr>
          <w:color w:val="auto"/>
        </w:rPr>
        <w:fldChar w:fldCharType="begin"/>
      </w:r>
      <w:r>
        <w:rPr>
          <w:color w:val="auto"/>
        </w:rPr>
        <w:instrText xml:space="preserve">HYPERLINK  \l "_Toc18885" </w:instrText>
      </w:r>
      <w:r>
        <w:rPr>
          <w:color w:val="auto"/>
        </w:rPr>
        <w:fldChar w:fldCharType="separate"/>
      </w:r>
      <w:r>
        <w:rPr>
          <w:rFonts w:hint="eastAsia"/>
          <w:color w:val="auto"/>
        </w:rPr>
        <w:t>（四）、金融机构内保外贷履约购付汇备案</w:t>
      </w:r>
      <w:r>
        <w:rPr>
          <w:color w:val="auto"/>
        </w:rPr>
        <w:tab/>
      </w:r>
      <w:r>
        <w:rPr>
          <w:color w:val="auto"/>
        </w:rPr>
        <w:fldChar w:fldCharType="begin"/>
      </w:r>
      <w:r>
        <w:rPr>
          <w:color w:val="auto"/>
        </w:rPr>
        <w:instrText xml:space="preserve"> PAGEREF _Toc18885 </w:instrText>
      </w:r>
      <w:r>
        <w:rPr>
          <w:color w:val="auto"/>
        </w:rPr>
        <w:fldChar w:fldCharType="separate"/>
      </w:r>
      <w:r>
        <w:rPr>
          <w:color w:val="auto"/>
        </w:rPr>
        <w:t>7</w:t>
      </w:r>
      <w:r>
        <w:rPr>
          <w:rFonts w:hint="eastAsia"/>
          <w:color w:val="auto"/>
          <w:lang w:val="en-US" w:eastAsia="zh-CN"/>
        </w:rPr>
        <w:t>6</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"_Toc22766" </w:instrText>
      </w:r>
      <w:r>
        <w:rPr>
          <w:color w:val="auto"/>
        </w:rPr>
        <w:fldChar w:fldCharType="separate"/>
      </w:r>
      <w:r>
        <w:rPr>
          <w:rFonts w:hint="eastAsia"/>
          <w:color w:val="auto"/>
        </w:rPr>
        <w:t>（五）、购汇偿还已结汇使用的国内外汇贷款备案</w:t>
      </w:r>
      <w:r>
        <w:rPr>
          <w:color w:val="auto"/>
        </w:rPr>
        <w:tab/>
      </w:r>
      <w:r>
        <w:rPr>
          <w:color w:val="auto"/>
        </w:rPr>
        <w:fldChar w:fldCharType="begin"/>
      </w:r>
      <w:r>
        <w:rPr>
          <w:color w:val="auto"/>
        </w:rPr>
        <w:instrText xml:space="preserve"> PAGEREF _Toc22766 </w:instrText>
      </w:r>
      <w:r>
        <w:rPr>
          <w:color w:val="auto"/>
        </w:rPr>
        <w:fldChar w:fldCharType="separate"/>
      </w:r>
      <w:r>
        <w:rPr>
          <w:color w:val="auto"/>
        </w:rPr>
        <w:t>7</w:t>
      </w:r>
      <w:r>
        <w:rPr>
          <w:rFonts w:hint="eastAsia"/>
          <w:color w:val="auto"/>
          <w:lang w:val="en-US" w:eastAsia="zh-CN"/>
        </w:rPr>
        <w:t>9</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HYPERLINK  \l "_Toc23311" </w:instrText>
      </w:r>
      <w:r>
        <w:rPr>
          <w:color w:val="auto"/>
        </w:rPr>
        <w:fldChar w:fldCharType="separate"/>
      </w:r>
      <w:r>
        <w:rPr>
          <w:rFonts w:hint="eastAsia"/>
          <w:color w:val="auto"/>
          <w:szCs w:val="32"/>
        </w:rPr>
        <w:t>五、资本项目外汇资金结汇核准</w:t>
      </w:r>
      <w:r>
        <w:rPr>
          <w:color w:val="auto"/>
        </w:rPr>
        <w:tab/>
      </w:r>
      <w:r>
        <w:rPr>
          <w:color w:val="auto"/>
        </w:rPr>
        <w:fldChar w:fldCharType="begin"/>
      </w:r>
      <w:r>
        <w:rPr>
          <w:color w:val="auto"/>
        </w:rPr>
        <w:instrText xml:space="preserve"> PAGEREF _Toc23311 </w:instrText>
      </w:r>
      <w:r>
        <w:rPr>
          <w:color w:val="auto"/>
        </w:rPr>
        <w:fldChar w:fldCharType="separate"/>
      </w:r>
      <w:r>
        <w:rPr>
          <w:rFonts w:hint="eastAsia"/>
          <w:color w:val="auto"/>
          <w:lang w:val="en-US" w:eastAsia="zh-CN"/>
        </w:rPr>
        <w:t>82</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"_Toc27300" </w:instrText>
      </w:r>
      <w:r>
        <w:rPr>
          <w:color w:val="auto"/>
        </w:rPr>
        <w:fldChar w:fldCharType="separate"/>
      </w:r>
      <w:r>
        <w:rPr>
          <w:rFonts w:hint="eastAsia"/>
          <w:color w:val="auto"/>
        </w:rPr>
        <w:t>（一）、外保内贷境外担保履约款结汇核准</w:t>
      </w:r>
      <w:r>
        <w:rPr>
          <w:color w:val="auto"/>
        </w:rPr>
        <w:tab/>
      </w:r>
      <w:r>
        <w:rPr>
          <w:color w:val="auto"/>
        </w:rPr>
        <w:fldChar w:fldCharType="begin"/>
      </w:r>
      <w:r>
        <w:rPr>
          <w:color w:val="auto"/>
        </w:rPr>
        <w:instrText xml:space="preserve"> PAGEREF _Toc27300 </w:instrText>
      </w:r>
      <w:r>
        <w:rPr>
          <w:color w:val="auto"/>
        </w:rPr>
        <w:fldChar w:fldCharType="separate"/>
      </w:r>
      <w:r>
        <w:rPr>
          <w:rFonts w:hint="eastAsia"/>
          <w:color w:val="auto"/>
          <w:lang w:val="en-US" w:eastAsia="zh-CN"/>
        </w:rPr>
        <w:t>82</w:t>
      </w:r>
      <w:r>
        <w:rPr>
          <w:color w:val="auto"/>
        </w:rPr>
        <w:fldChar w:fldCharType="end"/>
      </w:r>
      <w:r>
        <w:rPr>
          <w:color w:val="auto"/>
        </w:rPr>
        <w:fldChar w:fldCharType="end"/>
      </w:r>
    </w:p>
    <w:p>
      <w:pPr>
        <w:pStyle w:val="18"/>
        <w:tabs>
          <w:tab w:val="right" w:leader="dot" w:pos="8306"/>
        </w:tabs>
        <w:rPr>
          <w:color w:val="auto"/>
        </w:rPr>
      </w:pPr>
      <w:r>
        <w:rPr>
          <w:color w:val="auto"/>
        </w:rPr>
        <w:fldChar w:fldCharType="begin"/>
      </w:r>
      <w:r>
        <w:rPr>
          <w:color w:val="auto"/>
        </w:rPr>
        <w:instrText xml:space="preserve">HYPERLINK  \l "_Toc25830" </w:instrText>
      </w:r>
      <w:r>
        <w:rPr>
          <w:color w:val="auto"/>
        </w:rPr>
        <w:fldChar w:fldCharType="separate"/>
      </w:r>
      <w:r>
        <w:rPr>
          <w:rFonts w:hint="eastAsia"/>
          <w:color w:val="auto"/>
        </w:rPr>
        <w:t>（二）、金融机构外债结汇核准</w:t>
      </w:r>
      <w:r>
        <w:rPr>
          <w:color w:val="auto"/>
        </w:rPr>
        <w:tab/>
      </w:r>
      <w:r>
        <w:rPr>
          <w:color w:val="auto"/>
        </w:rPr>
        <w:fldChar w:fldCharType="begin"/>
      </w:r>
      <w:r>
        <w:rPr>
          <w:color w:val="auto"/>
        </w:rPr>
        <w:instrText xml:space="preserve"> PAGEREF _Toc25830 </w:instrText>
      </w:r>
      <w:r>
        <w:rPr>
          <w:color w:val="auto"/>
        </w:rPr>
        <w:fldChar w:fldCharType="separate"/>
      </w:r>
      <w:r>
        <w:rPr>
          <w:color w:val="auto"/>
        </w:rPr>
        <w:t>8</w:t>
      </w:r>
      <w:r>
        <w:rPr>
          <w:rFonts w:hint="eastAsia"/>
          <w:color w:val="auto"/>
          <w:lang w:val="en-US" w:eastAsia="zh-CN"/>
        </w:rPr>
        <w:t>5</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HYPERLINK  \l "_Toc80" </w:instrText>
      </w:r>
      <w:r>
        <w:rPr>
          <w:color w:val="auto"/>
        </w:rPr>
        <w:fldChar w:fldCharType="separate"/>
      </w:r>
      <w:r>
        <w:rPr>
          <w:rFonts w:hint="eastAsia"/>
          <w:color w:val="auto"/>
          <w:szCs w:val="32"/>
        </w:rPr>
        <w:t>六、保险、证券公司等非银行金融机构外汇业务市场准入、退出审批</w:t>
      </w:r>
      <w:r>
        <w:rPr>
          <w:color w:val="auto"/>
        </w:rPr>
        <w:tab/>
      </w:r>
      <w:r>
        <w:rPr>
          <w:color w:val="auto"/>
        </w:rPr>
        <w:fldChar w:fldCharType="begin"/>
      </w:r>
      <w:r>
        <w:rPr>
          <w:color w:val="auto"/>
        </w:rPr>
        <w:instrText xml:space="preserve"> PAGEREF _Toc80 </w:instrText>
      </w:r>
      <w:r>
        <w:rPr>
          <w:color w:val="auto"/>
        </w:rPr>
        <w:fldChar w:fldCharType="separate"/>
      </w:r>
      <w:r>
        <w:rPr>
          <w:color w:val="auto"/>
        </w:rPr>
        <w:t>8</w:t>
      </w:r>
      <w:r>
        <w:rPr>
          <w:rFonts w:hint="eastAsia"/>
          <w:color w:val="auto"/>
          <w:lang w:val="en-US" w:eastAsia="zh-CN"/>
        </w:rPr>
        <w:t>8</w:t>
      </w:r>
      <w:r>
        <w:rPr>
          <w:color w:val="auto"/>
        </w:rPr>
        <w:fldChar w:fldCharType="end"/>
      </w:r>
      <w:r>
        <w:rPr>
          <w:color w:val="auto"/>
        </w:rPr>
        <w:fldChar w:fldCharType="end"/>
      </w:r>
    </w:p>
    <w:p>
      <w:pPr>
        <w:pStyle w:val="18"/>
        <w:tabs>
          <w:tab w:val="right" w:leader="dot" w:pos="8306"/>
        </w:tabs>
        <w:rPr>
          <w:rFonts w:ascii="仿宋" w:hAnsi="仿宋" w:eastAsia="仿宋" w:cs="仿宋"/>
          <w:bCs/>
          <w:color w:val="auto"/>
          <w:szCs w:val="44"/>
        </w:rPr>
      </w:pPr>
      <w:r>
        <w:rPr>
          <w:color w:val="auto"/>
        </w:rPr>
        <w:fldChar w:fldCharType="begin"/>
      </w:r>
      <w:r>
        <w:rPr>
          <w:color w:val="auto"/>
        </w:rPr>
        <w:instrText xml:space="preserve">HYPERLINK  \l "_Toc16368" </w:instrText>
      </w:r>
      <w:r>
        <w:rPr>
          <w:color w:val="auto"/>
        </w:rPr>
        <w:fldChar w:fldCharType="separate"/>
      </w:r>
      <w:r>
        <w:rPr>
          <w:rFonts w:hint="eastAsia"/>
          <w:color w:val="auto"/>
        </w:rPr>
        <w:t>（一）、非银行金融机构（不含保险公司）外汇业务备案管理</w:t>
      </w:r>
      <w:r>
        <w:rPr>
          <w:color w:val="auto"/>
        </w:rPr>
        <w:tab/>
      </w:r>
      <w:r>
        <w:rPr>
          <w:color w:val="auto"/>
        </w:rPr>
        <w:fldChar w:fldCharType="begin"/>
      </w:r>
      <w:r>
        <w:rPr>
          <w:color w:val="auto"/>
        </w:rPr>
        <w:instrText xml:space="preserve"> PAGEREF _Toc16368 </w:instrText>
      </w:r>
      <w:r>
        <w:rPr>
          <w:color w:val="auto"/>
        </w:rPr>
        <w:fldChar w:fldCharType="separate"/>
      </w:r>
      <w:r>
        <w:rPr>
          <w:color w:val="auto"/>
        </w:rPr>
        <w:t>8</w:t>
      </w:r>
      <w:r>
        <w:rPr>
          <w:rFonts w:hint="eastAsia"/>
          <w:color w:val="auto"/>
          <w:lang w:val="en-US" w:eastAsia="zh-CN"/>
        </w:rPr>
        <w:t>8</w:t>
      </w:r>
      <w:r>
        <w:rPr>
          <w:color w:val="auto"/>
        </w:rPr>
        <w:fldChar w:fldCharType="end"/>
      </w:r>
      <w:r>
        <w:rPr>
          <w:color w:val="auto"/>
        </w:rPr>
        <w:fldChar w:fldCharType="end"/>
      </w:r>
    </w:p>
    <w:p>
      <w:pPr>
        <w:rPr>
          <w:color w:val="auto"/>
        </w:rPr>
      </w:pPr>
      <w:r>
        <w:rPr>
          <w:rFonts w:hint="eastAsia"/>
          <w:color w:val="auto"/>
          <w:lang w:val="en-US" w:eastAsia="zh-CN"/>
        </w:rPr>
        <w:t xml:space="preserve">    </w:t>
      </w:r>
      <w:r>
        <w:rPr>
          <w:rFonts w:hint="eastAsia"/>
          <w:color w:val="auto"/>
        </w:rPr>
        <w:t>（二）、非银行金融机构（不含保险公司）结售汇业务资格审批（含初审）................</w:t>
      </w:r>
      <w:r>
        <w:rPr>
          <w:rFonts w:hint="eastAsia"/>
          <w:color w:val="auto"/>
          <w:lang w:val="en-US" w:eastAsia="zh-CN"/>
        </w:rPr>
        <w:t>91</w:t>
      </w:r>
    </w:p>
    <w:p>
      <w:pPr>
        <w:pStyle w:val="18"/>
        <w:tabs>
          <w:tab w:val="right" w:leader="dot" w:pos="8306"/>
        </w:tabs>
        <w:rPr>
          <w:color w:val="auto"/>
        </w:rPr>
      </w:pPr>
      <w:r>
        <w:rPr>
          <w:color w:val="auto"/>
        </w:rPr>
        <w:fldChar w:fldCharType="begin"/>
      </w:r>
      <w:r>
        <w:rPr>
          <w:color w:val="auto"/>
        </w:rPr>
        <w:instrText xml:space="preserve">HYPERLINK  \l "_Toc5144" </w:instrText>
      </w:r>
      <w:r>
        <w:rPr>
          <w:color w:val="auto"/>
        </w:rPr>
        <w:fldChar w:fldCharType="separate"/>
      </w:r>
      <w:r>
        <w:rPr>
          <w:rFonts w:hint="eastAsia"/>
          <w:color w:val="auto"/>
        </w:rPr>
        <w:t>（三）、非银行金融机构（不含保险公司）主体信息登记及变更登记</w:t>
      </w:r>
      <w:r>
        <w:rPr>
          <w:color w:val="auto"/>
        </w:rPr>
        <w:tab/>
      </w:r>
      <w:r>
        <w:rPr>
          <w:color w:val="auto"/>
        </w:rPr>
        <w:fldChar w:fldCharType="begin"/>
      </w:r>
      <w:r>
        <w:rPr>
          <w:color w:val="auto"/>
        </w:rPr>
        <w:instrText xml:space="preserve"> PAGEREF _Toc5144 </w:instrText>
      </w:r>
      <w:r>
        <w:rPr>
          <w:color w:val="auto"/>
        </w:rPr>
        <w:fldChar w:fldCharType="separate"/>
      </w:r>
      <w:r>
        <w:rPr>
          <w:color w:val="auto"/>
        </w:rPr>
        <w:t>9</w:t>
      </w:r>
      <w:r>
        <w:rPr>
          <w:rFonts w:hint="eastAsia"/>
          <w:color w:val="auto"/>
          <w:lang w:val="en-US" w:eastAsia="zh-CN"/>
        </w:rPr>
        <w:t>5</w:t>
      </w:r>
      <w:r>
        <w:rPr>
          <w:color w:val="auto"/>
        </w:rPr>
        <w:fldChar w:fldCharType="end"/>
      </w:r>
      <w:r>
        <w:rPr>
          <w:color w:val="auto"/>
        </w:rPr>
        <w:fldChar w:fldCharType="end"/>
      </w:r>
    </w:p>
    <w:p>
      <w:pPr>
        <w:pStyle w:val="14"/>
        <w:tabs>
          <w:tab w:val="right" w:leader="dot" w:pos="8306"/>
        </w:tabs>
        <w:rPr>
          <w:color w:val="auto"/>
        </w:rPr>
      </w:pPr>
      <w:r>
        <w:rPr>
          <w:color w:val="auto"/>
        </w:rPr>
        <w:fldChar w:fldCharType="begin"/>
      </w:r>
      <w:r>
        <w:rPr>
          <w:color w:val="auto"/>
        </w:rPr>
        <w:instrText xml:space="preserve">HYPERLINK  \l "_Toc3906" </w:instrText>
      </w:r>
      <w:r>
        <w:rPr>
          <w:color w:val="auto"/>
        </w:rPr>
        <w:fldChar w:fldCharType="separate"/>
      </w:r>
      <w:r>
        <w:rPr>
          <w:rFonts w:hint="eastAsia"/>
          <w:color w:val="auto"/>
          <w:szCs w:val="32"/>
        </w:rPr>
        <w:t>七、非银行金融机构（不含保险公司）资本金（或营运资金）本外币转换管理</w:t>
      </w:r>
      <w:r>
        <w:rPr>
          <w:color w:val="auto"/>
        </w:rPr>
        <w:tab/>
      </w:r>
      <w:r>
        <w:rPr>
          <w:color w:val="auto"/>
        </w:rPr>
        <w:fldChar w:fldCharType="begin"/>
      </w:r>
      <w:r>
        <w:rPr>
          <w:color w:val="auto"/>
        </w:rPr>
        <w:instrText xml:space="preserve"> PAGEREF _Toc3906 </w:instrText>
      </w:r>
      <w:r>
        <w:rPr>
          <w:color w:val="auto"/>
        </w:rPr>
        <w:fldChar w:fldCharType="separate"/>
      </w:r>
      <w:r>
        <w:rPr>
          <w:color w:val="auto"/>
        </w:rPr>
        <w:t>9</w:t>
      </w:r>
      <w:r>
        <w:rPr>
          <w:rFonts w:hint="eastAsia"/>
          <w:color w:val="auto"/>
          <w:lang w:val="en-US" w:eastAsia="zh-CN"/>
        </w:rPr>
        <w:t>7</w:t>
      </w:r>
      <w:r>
        <w:rPr>
          <w:color w:val="auto"/>
        </w:rPr>
        <w:fldChar w:fldCharType="end"/>
      </w:r>
      <w:r>
        <w:rPr>
          <w:color w:val="auto"/>
        </w:rPr>
        <w:fldChar w:fldCharType="end"/>
      </w:r>
    </w:p>
    <w:p>
      <w:pPr>
        <w:rPr>
          <w:rFonts w:ascii="仿宋" w:hAnsi="仿宋" w:eastAsia="仿宋" w:cs="仿宋"/>
          <w:b/>
          <w:bCs/>
          <w:color w:val="auto"/>
          <w:sz w:val="44"/>
          <w:szCs w:val="44"/>
        </w:rPr>
      </w:pPr>
      <w:r>
        <w:rPr>
          <w:rFonts w:hint="eastAsia" w:ascii="仿宋" w:hAnsi="仿宋" w:eastAsia="仿宋" w:cs="仿宋"/>
          <w:bCs/>
          <w:color w:val="auto"/>
          <w:szCs w:val="44"/>
        </w:rPr>
        <w:fldChar w:fldCharType="end"/>
      </w: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rPr>
          <w:rFonts w:ascii="仿宋" w:hAnsi="仿宋" w:eastAsia="仿宋" w:cs="仿宋"/>
          <w:b/>
          <w:bCs/>
          <w:color w:val="auto"/>
          <w:sz w:val="44"/>
          <w:szCs w:val="44"/>
        </w:rPr>
      </w:pPr>
    </w:p>
    <w:p>
      <w:pPr>
        <w:pStyle w:val="2"/>
        <w:ind w:firstLine="0" w:firstLineChars="0"/>
        <w:rPr>
          <w:rFonts w:hint="eastAsia"/>
          <w:color w:val="auto"/>
        </w:rPr>
      </w:pPr>
      <w:bookmarkStart w:id="0" w:name="_Toc30954"/>
      <w:bookmarkStart w:id="1" w:name="_Toc3242"/>
      <w:bookmarkStart w:id="2" w:name="_Toc10128"/>
      <w:bookmarkStart w:id="3" w:name="_Toc21304"/>
      <w:bookmarkStart w:id="4" w:name="_Toc19736"/>
      <w:bookmarkStart w:id="5" w:name="_Toc25371"/>
      <w:bookmarkStart w:id="6" w:name="_Toc8619"/>
      <w:bookmarkStart w:id="7" w:name="_Toc14120"/>
      <w:bookmarkStart w:id="8" w:name="_Toc8172"/>
      <w:bookmarkStart w:id="9" w:name="_Toc23113"/>
    </w:p>
    <w:p>
      <w:pPr>
        <w:pStyle w:val="2"/>
        <w:ind w:firstLine="0" w:firstLineChars="0"/>
        <w:rPr>
          <w:color w:val="auto"/>
          <w:szCs w:val="32"/>
        </w:rPr>
      </w:pPr>
      <w:r>
        <w:rPr>
          <w:rFonts w:hint="eastAsia"/>
          <w:color w:val="auto"/>
        </w:rPr>
        <w:t>一、跨境从事有价证券、衍生产品发行、交易外汇登记</w:t>
      </w:r>
      <w:bookmarkEnd w:id="0"/>
      <w:bookmarkEnd w:id="1"/>
      <w:bookmarkEnd w:id="2"/>
      <w:bookmarkEnd w:id="3"/>
      <w:bookmarkEnd w:id="4"/>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hAnsi="Times New Roman" w:eastAsia="仿宋_GB2312"/>
          <w:color w:val="auto"/>
          <w:sz w:val="30"/>
          <w:szCs w:val="30"/>
        </w:rPr>
      </w:pPr>
      <w:r>
        <w:rPr>
          <w:rFonts w:hint="eastAsia" w:ascii="仿宋_GB2312" w:eastAsia="仿宋_GB2312"/>
          <w:color w:val="auto"/>
          <w:sz w:val="30"/>
          <w:szCs w:val="30"/>
        </w:rPr>
        <w:t>（一）</w:t>
      </w:r>
      <w:r>
        <w:rPr>
          <w:rFonts w:hint="eastAsia" w:ascii="仿宋_GB2312" w:hAnsi="Times New Roman" w:eastAsia="仿宋_GB2312"/>
          <w:color w:val="auto"/>
          <w:sz w:val="30"/>
          <w:szCs w:val="30"/>
        </w:rPr>
        <w:t>《中华人民共和国外汇管理条例》（国务院令第532号）第十六条：“</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境外机构、境外个人在境内从事有价证券或者衍生产品发行、交易，应当遵守国家关于市场准入的规定，并按照国务院外汇管理部门的规定办理登记”。</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门批准或者备案的，应当在外汇登记前办理批准或者备案手续”。</w:t>
      </w:r>
    </w:p>
    <w:p>
      <w:pPr>
        <w:pStyle w:val="3"/>
        <w:rPr>
          <w:color w:val="auto"/>
        </w:rPr>
      </w:pPr>
      <w:bookmarkStart w:id="10" w:name="_Toc26843"/>
      <w:bookmarkStart w:id="11" w:name="_Toc28889"/>
      <w:bookmarkStart w:id="12" w:name="_Toc9158"/>
      <w:bookmarkStart w:id="13" w:name="_Toc28914"/>
      <w:bookmarkStart w:id="14" w:name="_Toc12807"/>
      <w:r>
        <w:rPr>
          <w:rFonts w:hint="eastAsia"/>
          <w:color w:val="auto"/>
        </w:rPr>
        <w:t>（一）、境内公司境外上市登记及变更、注销登记</w:t>
      </w:r>
      <w:bookmarkEnd w:id="10"/>
      <w:bookmarkEnd w:id="11"/>
      <w:bookmarkEnd w:id="12"/>
      <w:bookmarkEnd w:id="13"/>
      <w:bookmarkEnd w:id="14"/>
    </w:p>
    <w:p>
      <w:pPr>
        <w:ind w:right="-58"/>
        <w:rPr>
          <w:rFonts w:ascii="黑体" w:eastAsia="黑体"/>
          <w:color w:val="auto"/>
          <w:sz w:val="30"/>
          <w:szCs w:val="30"/>
        </w:rPr>
      </w:pPr>
      <w:r>
        <w:rPr>
          <w:rFonts w:hint="eastAsia" w:ascii="黑体" w:eastAsia="黑体"/>
          <w:color w:val="auto"/>
          <w:sz w:val="30"/>
          <w:szCs w:val="30"/>
        </w:rPr>
        <w:t>办理依据</w:t>
      </w:r>
    </w:p>
    <w:p>
      <w:pPr>
        <w:widowControl/>
        <w:ind w:right="-58"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widowControl/>
        <w:ind w:right="-58" w:firstLine="600" w:firstLineChars="200"/>
        <w:rPr>
          <w:rFonts w:ascii="仿宋_GB2312" w:eastAsia="仿宋_GB2312"/>
          <w:color w:val="auto"/>
          <w:sz w:val="30"/>
          <w:szCs w:val="30"/>
        </w:rPr>
      </w:pPr>
      <w:r>
        <w:rPr>
          <w:rFonts w:hint="eastAsia" w:ascii="仿宋_GB2312" w:eastAsia="仿宋_GB2312"/>
          <w:color w:val="auto"/>
          <w:sz w:val="30"/>
          <w:szCs w:val="30"/>
        </w:rPr>
        <w:t>2.《减持国有股筹集社会保障资金管理暂行办法》（国发〔2001〕22号）。</w:t>
      </w:r>
    </w:p>
    <w:p>
      <w:pPr>
        <w:widowControl/>
        <w:ind w:right="-58"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3.《国家外汇管理局关于境外上市外汇管理有关问题的通知》（汇发〔2014〕54号）。</w:t>
      </w:r>
    </w:p>
    <w:p>
      <w:pPr>
        <w:widowControl/>
        <w:ind w:right="-58" w:firstLine="600" w:firstLineChars="200"/>
        <w:rPr>
          <w:rFonts w:ascii="仿宋_GB2312" w:eastAsia="仿宋_GB2312"/>
          <w:color w:val="auto"/>
          <w:sz w:val="30"/>
          <w:szCs w:val="30"/>
        </w:rPr>
      </w:pPr>
      <w:r>
        <w:rPr>
          <w:rFonts w:hint="eastAsia" w:ascii="仿宋_GB2312" w:eastAsia="仿宋_GB2312"/>
          <w:color w:val="auto"/>
          <w:sz w:val="30"/>
          <w:szCs w:val="30"/>
        </w:rPr>
        <w:t>4.其他相关法规。</w:t>
      </w:r>
    </w:p>
    <w:p>
      <w:pPr>
        <w:ind w:right="-58"/>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申请人为境外上市发行股票上市流通交易的境内公司，境内公司应在境外上市发行结束之日起15个工作日内，到其注册所在地外汇局办理境外上市登记。</w:t>
      </w:r>
    </w:p>
    <w:p>
      <w:pPr>
        <w:ind w:right="-58"/>
        <w:rPr>
          <w:rFonts w:ascii="黑体" w:hAnsi="Times New Roman" w:eastAsia="黑体"/>
          <w:color w:val="auto"/>
          <w:sz w:val="30"/>
          <w:szCs w:val="30"/>
        </w:rPr>
      </w:pPr>
      <w:r>
        <w:rPr>
          <w:rFonts w:hint="eastAsia" w:ascii="黑体" w:hAnsi="Times New Roman" w:eastAsia="黑体"/>
          <w:color w:val="auto"/>
          <w:sz w:val="30"/>
          <w:szCs w:val="30"/>
        </w:rPr>
        <w:t>申请材料</w:t>
      </w:r>
    </w:p>
    <w:p>
      <w:pPr>
        <w:ind w:right="-58" w:firstLine="600" w:firstLineChars="200"/>
        <w:rPr>
          <w:rFonts w:ascii="黑体" w:hAnsi="Times New Roman" w:eastAsia="黑体"/>
          <w:color w:val="auto"/>
          <w:sz w:val="30"/>
          <w:szCs w:val="30"/>
        </w:rPr>
      </w:pPr>
      <w:r>
        <w:rPr>
          <w:rFonts w:hint="eastAsia" w:ascii="黑体" w:hAnsi="Times New Roman" w:eastAsia="黑体"/>
          <w:color w:val="auto"/>
          <w:sz w:val="30"/>
          <w:szCs w:val="30"/>
        </w:rPr>
        <w:t>1、登记申请材料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中国证监会许可境内公司境外上市的证明文件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sz w:val="24"/>
                <w:szCs w:val="24"/>
              </w:rPr>
            </w:pPr>
            <w:r>
              <w:rPr>
                <w:rFonts w:hint="eastAsia" w:ascii="仿宋_GB2312" w:hAnsi="华文仿宋" w:eastAsia="仿宋_GB2312"/>
                <w:color w:val="auto"/>
                <w:sz w:val="24"/>
                <w:szCs w:val="24"/>
              </w:rPr>
              <w:t>验原件，留存加盖公章的复印件</w:t>
            </w:r>
          </w:p>
        </w:tc>
      </w:tr>
    </w:tbl>
    <w:p>
      <w:pPr>
        <w:ind w:right="-58" w:firstLine="600" w:firstLineChars="200"/>
        <w:rPr>
          <w:rFonts w:ascii="黑体" w:hAnsi="Times New Roman" w:eastAsia="黑体"/>
          <w:color w:val="auto"/>
          <w:sz w:val="30"/>
          <w:szCs w:val="30"/>
        </w:rPr>
      </w:pPr>
      <w:r>
        <w:rPr>
          <w:rFonts w:hint="eastAsia" w:ascii="黑体" w:hAnsi="Times New Roman" w:eastAsia="黑体"/>
          <w:color w:val="auto"/>
          <w:sz w:val="30"/>
          <w:szCs w:val="30"/>
        </w:rPr>
        <w:t>2、变更、注销登记申请材料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书面申请（含变更或注销有关情况的说明）</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原业务登记凭证及最新填写的《境外上市登记表》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主管部门关于变更（注销）事项的相关批复或备案文件（如有）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相关账户和资金处理情况说明，相关账户销户证明材料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注销登记时需提供</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5</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验原件，留存加盖公章的复印件</w:t>
            </w:r>
          </w:p>
        </w:tc>
      </w:tr>
    </w:tbl>
    <w:p>
      <w:pPr>
        <w:ind w:right="-58"/>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ind w:right="-58"/>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tabs>
          <w:tab w:val="center" w:pos="4363"/>
        </w:tabs>
        <w:rPr>
          <w:rFonts w:ascii="黑体" w:hAnsi="Times New Roman" w:eastAsia="黑体"/>
          <w:color w:val="auto"/>
          <w:sz w:val="30"/>
          <w:szCs w:val="30"/>
        </w:rPr>
      </w:pPr>
      <w:r>
        <w:rPr>
          <w:rFonts w:ascii="Calibri" w:hAnsi="Calibri" w:eastAsia="宋体" w:cs="Times New Roman"/>
          <w:color w:val="auto"/>
          <w:kern w:val="2"/>
          <w:sz w:val="21"/>
          <w:szCs w:val="22"/>
          <w:lang w:val="en-US" w:eastAsia="zh-CN" w:bidi="ar-SA"/>
        </w:rPr>
        <w:pict>
          <v:roundrect id="Rounded Rectangle 68" o:spid="_x0000_s1026" style="position:absolute;left:0;margin-left:202.4pt;margin-top:277.65pt;height:71.35pt;width:180.85pt;rotation:0f;z-index:251721728;"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华文仿宋" w:hAnsi="华文仿宋" w:eastAsia="华文仿宋"/>
          <w:color w:val="auto"/>
        </w:rPr>
        <w:br w:type="page"/>
      </w:r>
      <w:r>
        <w:rPr>
          <w:rStyle w:val="37"/>
          <w:rFonts w:hint="eastAsia"/>
          <w:color w:val="auto"/>
        </w:rPr>
        <w:t>（二）、境外上市公司境内股东持股登记及变更登记</w:t>
      </w:r>
    </w:p>
    <w:p>
      <w:pPr>
        <w:rPr>
          <w:rFonts w:ascii="黑体" w:eastAsia="黑体"/>
          <w:color w:val="auto"/>
          <w:sz w:val="30"/>
          <w:szCs w:val="30"/>
        </w:rPr>
      </w:pPr>
      <w:r>
        <w:rPr>
          <w:rFonts w:hint="eastAsia" w:ascii="黑体" w:eastAsia="黑体"/>
          <w:color w:val="auto"/>
          <w:sz w:val="30"/>
          <w:szCs w:val="30"/>
        </w:rPr>
        <w:t>办理依据</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2.《减持国有股筹集社会保障资金管理暂行办法》（国发[2001]22号）；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3.《国家外汇管理局关于境外上市外汇管理有关问题的通知》（汇发[2014]54号）；</w:t>
      </w:r>
    </w:p>
    <w:p>
      <w:pPr>
        <w:ind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4.其他相关法规。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firstLineChars="200"/>
        <w:rPr>
          <w:rFonts w:hint="eastAsia" w:ascii="仿宋_GB2312" w:eastAsia="仿宋_GB2312"/>
          <w:color w:val="auto"/>
          <w:sz w:val="30"/>
          <w:szCs w:val="30"/>
        </w:rPr>
      </w:pPr>
      <w:r>
        <w:rPr>
          <w:rFonts w:hint="eastAsia" w:ascii="仿宋_GB2312" w:eastAsia="仿宋_GB2312"/>
          <w:color w:val="auto"/>
          <w:sz w:val="30"/>
          <w:szCs w:val="30"/>
        </w:rPr>
        <w:t>申请人为持有境外上市公司股份的境内股东，应在拟增持或减持前20个工作日内，到境内股东所在地外汇局办理境外持股登记。</w:t>
      </w:r>
    </w:p>
    <w:p>
      <w:pPr>
        <w:ind w:right="-58"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境内股东应在其持有境内公司境外上市股份发生重大变更（如</w:t>
      </w:r>
      <w:r>
        <w:rPr>
          <w:rFonts w:hint="eastAsia" w:ascii="仿宋_GB2312" w:eastAsia="仿宋_GB2312"/>
          <w:color w:val="auto"/>
          <w:sz w:val="30"/>
          <w:szCs w:val="30"/>
        </w:rPr>
        <w:t>增持或减持</w:t>
      </w:r>
      <w:r>
        <w:rPr>
          <w:rFonts w:hint="eastAsia" w:ascii="仿宋_GB2312" w:eastAsia="仿宋_GB2312"/>
          <w:color w:val="auto"/>
          <w:sz w:val="30"/>
          <w:szCs w:val="30"/>
          <w:lang w:eastAsia="zh-CN"/>
        </w:rPr>
        <w:t>股份数量、比例等发生变化）</w:t>
      </w:r>
      <w:r>
        <w:rPr>
          <w:rFonts w:hint="eastAsia" w:ascii="仿宋_GB2312" w:eastAsia="仿宋_GB2312"/>
          <w:color w:val="auto"/>
          <w:sz w:val="30"/>
          <w:szCs w:val="30"/>
          <w:lang w:val="en-US" w:eastAsia="zh-CN"/>
        </w:rPr>
        <w:t>15个工作日内</w:t>
      </w:r>
      <w:r>
        <w:rPr>
          <w:rFonts w:hint="eastAsia" w:ascii="仿宋_GB2312" w:eastAsia="仿宋_GB2312"/>
          <w:color w:val="auto"/>
          <w:sz w:val="30"/>
          <w:szCs w:val="30"/>
        </w:rPr>
        <w:t>到境内股东所在地外汇局</w:t>
      </w:r>
      <w:r>
        <w:rPr>
          <w:rFonts w:hint="eastAsia" w:ascii="仿宋_GB2312" w:eastAsia="仿宋_GB2312"/>
          <w:color w:val="auto"/>
          <w:sz w:val="30"/>
          <w:szCs w:val="30"/>
          <w:lang w:val="en-US" w:eastAsia="zh-CN"/>
        </w:rPr>
        <w:t>办理变更登记。</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p>
      <w:pPr>
        <w:ind w:firstLine="600" w:firstLineChars="200"/>
        <w:rPr>
          <w:rFonts w:ascii="黑体" w:hAnsi="Times New Roman" w:eastAsia="黑体"/>
          <w:color w:val="auto"/>
          <w:sz w:val="30"/>
          <w:szCs w:val="30"/>
        </w:rPr>
      </w:pPr>
      <w:r>
        <w:rPr>
          <w:rFonts w:hint="eastAsia" w:ascii="黑体" w:hAnsi="Times New Roman" w:eastAsia="黑体"/>
          <w:color w:val="auto"/>
          <w:sz w:val="30"/>
          <w:szCs w:val="30"/>
        </w:rPr>
        <w:t>1、登记申请材料</w:t>
      </w:r>
    </w:p>
    <w:tbl>
      <w:tblPr>
        <w:tblW w:w="8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需经财政部门、国有资产管理部门等相关部门批准的，应提供相关部门的批准文件</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前述材料内容不一致或不能说明交易真实性时，要求提供的补充材料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ind w:firstLine="600" w:firstLineChars="200"/>
        <w:rPr>
          <w:rFonts w:ascii="黑体" w:hAnsi="Times New Roman" w:eastAsia="黑体"/>
          <w:color w:val="auto"/>
          <w:sz w:val="30"/>
          <w:szCs w:val="30"/>
        </w:rPr>
      </w:pPr>
      <w:r>
        <w:rPr>
          <w:rFonts w:hint="eastAsia" w:ascii="黑体" w:hAnsi="Times New Roman" w:eastAsia="黑体"/>
          <w:color w:val="auto"/>
          <w:sz w:val="30"/>
          <w:szCs w:val="30"/>
        </w:rPr>
        <w:t>2、变更登记申请材料</w:t>
      </w:r>
    </w:p>
    <w:tbl>
      <w:tblPr>
        <w:tblW w:w="8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b/>
                <w:color w:val="auto"/>
                <w:kern w:val="0"/>
                <w:sz w:val="24"/>
                <w:szCs w:val="24"/>
              </w:rPr>
            </w:pPr>
            <w:r>
              <w:rPr>
                <w:rFonts w:hint="eastAsia" w:ascii="仿宋_GB2312" w:hAnsi="华文仿宋" w:eastAsia="仿宋_GB2312"/>
                <w:b/>
                <w:color w:val="auto"/>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境内股东书面申请（持股基本情况、变更事项等）</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原业务登记凭证以及最新填写的《境外持股登记表》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color w:val="auto"/>
              </w:rPr>
            </w:pPr>
          </w:p>
          <w:p>
            <w:pPr>
              <w:jc w:val="left"/>
              <w:rPr>
                <w:rFonts w:ascii="仿宋_GB2312" w:hAnsi="华文仿宋" w:eastAsia="仿宋_GB2312"/>
                <w:color w:val="auto"/>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前述材料内容不一致或不能说明交易真实性时，要求提供的补充材料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bookmarkStart w:id="15" w:name="_Toc485285483"/>
      <w:bookmarkStart w:id="16" w:name="_Toc492328428"/>
      <w:bookmarkStart w:id="17" w:name="_Toc428779974"/>
      <w:bookmarkStart w:id="18" w:name="_Toc495992545"/>
      <w:bookmarkStart w:id="19" w:name="_Toc487492186"/>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rPr>
          <w:rFonts w:ascii="仿宋_GB2312" w:eastAsia="仿宋_GB2312"/>
          <w:color w:val="auto"/>
          <w:sz w:val="30"/>
          <w:szCs w:val="30"/>
        </w:rPr>
      </w:pPr>
      <w:r>
        <w:rPr>
          <w:rFonts w:ascii="仿宋_GB2312" w:eastAsia="仿宋_GB2312"/>
          <w:color w:val="auto"/>
          <w:sz w:val="30"/>
          <w:szCs w:val="30"/>
        </w:rPr>
        <w:br w:type="page"/>
      </w:r>
      <w:bookmarkEnd w:id="15"/>
      <w:bookmarkEnd w:id="16"/>
      <w:bookmarkEnd w:id="17"/>
      <w:bookmarkEnd w:id="18"/>
      <w:bookmarkEnd w:id="19"/>
      <w:r>
        <w:rPr>
          <w:rStyle w:val="37"/>
          <w:rFonts w:hint="eastAsia"/>
          <w:color w:val="auto"/>
        </w:rPr>
        <w:t>（三）、境内个人参与境外上市公司股权激励计划外汇登记及变更、注销登记</w:t>
      </w:r>
    </w:p>
    <w:p>
      <w:pPr>
        <w:rPr>
          <w:rFonts w:ascii="黑体" w:eastAsia="黑体"/>
          <w:color w:val="auto"/>
          <w:sz w:val="30"/>
          <w:szCs w:val="30"/>
        </w:rPr>
      </w:pPr>
      <w:r>
        <w:rPr>
          <w:rFonts w:hint="eastAsia" w:ascii="黑体" w:eastAsia="黑体"/>
          <w:color w:val="auto"/>
          <w:sz w:val="30"/>
          <w:szCs w:val="30"/>
        </w:rPr>
        <w:t>办理依据</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2.《个人外汇管理办法》（中国人民银行令2006年第3号）。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3.《国家外汇管理局关于印发〈个人外汇管理办法实施细则〉的通知》（汇发〔2007〕1号）。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4.《国家外汇管理局关于境内个人参与境外上市公司股权激励计划外汇管理有关问题的通知》（汇发〔2012〕7号）。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5.《</w:t>
      </w:r>
      <w:r>
        <w:rPr>
          <w:rFonts w:ascii="仿宋_GB2312" w:eastAsia="仿宋_GB2312"/>
          <w:color w:val="auto"/>
          <w:sz w:val="30"/>
          <w:szCs w:val="30"/>
        </w:rPr>
        <w:t>国家外汇管理局关于美国银行有限公司中国区分行为境内个人参与境外上市公司股权激励计划境内代理机构开立结汇待支付专用账户的批复</w:t>
      </w:r>
      <w:r>
        <w:rPr>
          <w:rFonts w:hint="eastAsia" w:ascii="仿宋_GB2312" w:eastAsia="仿宋_GB2312"/>
          <w:color w:val="auto"/>
          <w:sz w:val="30"/>
          <w:szCs w:val="30"/>
        </w:rPr>
        <w:t>》（</w:t>
      </w:r>
      <w:r>
        <w:rPr>
          <w:rFonts w:ascii="仿宋_GB2312" w:eastAsia="仿宋_GB2312"/>
          <w:color w:val="auto"/>
          <w:sz w:val="30"/>
          <w:szCs w:val="30"/>
        </w:rPr>
        <w:t>汇复〔2017〕1号</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6.其他相关法规。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rPr>
          <w:rFonts w:ascii="仿宋_GB2312" w:eastAsia="仿宋_GB2312"/>
          <w:color w:val="auto"/>
          <w:sz w:val="30"/>
          <w:szCs w:val="30"/>
        </w:rPr>
      </w:pPr>
      <w:r>
        <w:rPr>
          <w:rFonts w:hint="eastAsia" w:ascii="仿宋_GB2312" w:eastAsia="仿宋_GB2312"/>
          <w:color w:val="auto"/>
          <w:sz w:val="30"/>
          <w:szCs w:val="30"/>
        </w:rPr>
        <w:t>“</w:t>
      </w:r>
      <w:r>
        <w:rPr>
          <w:rFonts w:ascii="仿宋_GB2312" w:eastAsia="仿宋_GB2312"/>
          <w:color w:val="auto"/>
          <w:sz w:val="30"/>
          <w:szCs w:val="30"/>
        </w:rPr>
        <w:t>股权激励计划</w:t>
      </w:r>
      <w:r>
        <w:rPr>
          <w:rFonts w:hint="eastAsia" w:ascii="仿宋_GB2312" w:eastAsia="仿宋_GB2312"/>
          <w:color w:val="auto"/>
          <w:sz w:val="30"/>
          <w:szCs w:val="30"/>
        </w:rPr>
        <w:t>”</w:t>
      </w:r>
      <w:r>
        <w:rPr>
          <w:rFonts w:ascii="仿宋_GB2312" w:eastAsia="仿宋_GB2312"/>
          <w:color w:val="auto"/>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hint="eastAsia" w:ascii="仿宋_GB2312" w:eastAsia="仿宋_GB2312"/>
          <w:color w:val="auto"/>
          <w:sz w:val="30"/>
          <w:szCs w:val="30"/>
        </w:rPr>
        <w:t>“</w:t>
      </w:r>
      <w:r>
        <w:rPr>
          <w:rFonts w:ascii="仿宋_GB2312" w:eastAsia="仿宋_GB2312"/>
          <w:color w:val="auto"/>
          <w:sz w:val="30"/>
          <w:szCs w:val="30"/>
        </w:rPr>
        <w:t>境内公司</w:t>
      </w:r>
      <w:r>
        <w:rPr>
          <w:rFonts w:hint="eastAsia" w:ascii="仿宋_GB2312" w:eastAsia="仿宋_GB2312"/>
          <w:color w:val="auto"/>
          <w:sz w:val="30"/>
          <w:szCs w:val="30"/>
        </w:rPr>
        <w:t>”</w:t>
      </w:r>
      <w:r>
        <w:rPr>
          <w:rFonts w:ascii="仿宋_GB2312" w:eastAsia="仿宋_GB2312"/>
          <w:color w:val="auto"/>
          <w:sz w:val="30"/>
          <w:szCs w:val="30"/>
        </w:rPr>
        <w:t>是在境内注册的境外上市公司、境外上市公司在境内的分支机构（含代表处）以及与境外上市公司有控股关系或实际控制关系的境内各级母、子公司或合伙企业等境内机构。</w:t>
      </w:r>
      <w:r>
        <w:rPr>
          <w:rFonts w:hint="eastAsia" w:ascii="仿宋_GB2312" w:eastAsia="仿宋_GB2312"/>
          <w:color w:val="auto"/>
          <w:sz w:val="30"/>
          <w:szCs w:val="30"/>
        </w:rPr>
        <w:t>“</w:t>
      </w:r>
      <w:r>
        <w:rPr>
          <w:rFonts w:ascii="仿宋_GB2312" w:eastAsia="仿宋_GB2312"/>
          <w:color w:val="auto"/>
          <w:sz w:val="30"/>
          <w:szCs w:val="30"/>
        </w:rPr>
        <w:t>境内个人</w:t>
      </w:r>
      <w:r>
        <w:rPr>
          <w:rFonts w:hint="eastAsia" w:ascii="仿宋_GB2312" w:eastAsia="仿宋_GB2312"/>
          <w:color w:val="auto"/>
          <w:sz w:val="30"/>
          <w:szCs w:val="30"/>
        </w:rPr>
        <w:t>”</w:t>
      </w:r>
      <w:r>
        <w:rPr>
          <w:rFonts w:ascii="仿宋_GB2312" w:eastAsia="仿宋_GB2312"/>
          <w:color w:val="auto"/>
          <w:sz w:val="30"/>
          <w:szCs w:val="30"/>
        </w:rPr>
        <w:t>（以下简称个人）是指符合《</w:t>
      </w:r>
      <w:r>
        <w:rPr>
          <w:color w:val="auto"/>
        </w:rPr>
        <w:fldChar w:fldCharType="begin"/>
      </w:r>
      <w:r>
        <w:rPr>
          <w:color w:val="auto"/>
        </w:rPr>
        <w:instrText xml:space="preserve"> HYPERLINK "javascript:SLC(107240,0)" </w:instrText>
      </w:r>
      <w:r>
        <w:rPr>
          <w:color w:val="auto"/>
        </w:rPr>
        <w:fldChar w:fldCharType="separate"/>
      </w:r>
      <w:r>
        <w:rPr>
          <w:rFonts w:ascii="仿宋_GB2312" w:eastAsia="仿宋_GB2312"/>
          <w:color w:val="auto"/>
          <w:sz w:val="30"/>
          <w:szCs w:val="30"/>
        </w:rPr>
        <w:t>中华人民共和国外汇管理条例</w:t>
      </w:r>
      <w:r>
        <w:rPr>
          <w:rFonts w:ascii="仿宋_GB2312" w:eastAsia="仿宋_GB2312"/>
          <w:color w:val="auto"/>
          <w:sz w:val="30"/>
          <w:szCs w:val="30"/>
        </w:rPr>
        <w:fldChar w:fldCharType="end"/>
      </w:r>
      <w:r>
        <w:rPr>
          <w:rFonts w:ascii="仿宋_GB2312" w:eastAsia="仿宋_GB2312"/>
          <w:color w:val="auto"/>
          <w:sz w:val="30"/>
          <w:szCs w:val="30"/>
        </w:rPr>
        <w:t>》第</w:t>
      </w:r>
      <w:r>
        <w:rPr>
          <w:color w:val="auto"/>
        </w:rPr>
        <w:fldChar w:fldCharType="begin"/>
      </w:r>
      <w:r>
        <w:rPr>
          <w:color w:val="auto"/>
        </w:rPr>
        <w:instrText xml:space="preserve"> HYPERLINK "javascript:SLC(107240,52)" </w:instrText>
      </w:r>
      <w:r>
        <w:rPr>
          <w:color w:val="auto"/>
        </w:rPr>
        <w:fldChar w:fldCharType="separate"/>
      </w:r>
      <w:r>
        <w:rPr>
          <w:rFonts w:ascii="仿宋_GB2312" w:eastAsia="仿宋_GB2312"/>
          <w:color w:val="auto"/>
          <w:sz w:val="30"/>
          <w:szCs w:val="30"/>
        </w:rPr>
        <w:t>五十二条</w:t>
      </w:r>
      <w:r>
        <w:rPr>
          <w:rFonts w:ascii="仿宋_GB2312" w:eastAsia="仿宋_GB2312"/>
          <w:color w:val="auto"/>
          <w:sz w:val="30"/>
          <w:szCs w:val="30"/>
        </w:rPr>
        <w:fldChar w:fldCharType="end"/>
      </w:r>
      <w:r>
        <w:rPr>
          <w:rFonts w:ascii="仿宋_GB2312" w:eastAsia="仿宋_GB2312"/>
          <w:color w:val="auto"/>
          <w:sz w:val="30"/>
          <w:szCs w:val="30"/>
        </w:rPr>
        <w:t>规定的境内公司董事、监事、高级管理人员及其他员工，包括中国公民（含港澳台籍）及外籍个人。</w:t>
      </w:r>
    </w:p>
    <w:p>
      <w:pPr>
        <w:ind w:right="-58" w:firstLine="600"/>
        <w:rPr>
          <w:rFonts w:ascii="仿宋_GB2312" w:eastAsia="仿宋_GB2312"/>
          <w:color w:val="auto"/>
          <w:sz w:val="30"/>
          <w:szCs w:val="30"/>
        </w:rPr>
      </w:pPr>
      <w:r>
        <w:rPr>
          <w:rFonts w:ascii="仿宋_GB2312" w:eastAsia="仿宋_GB2312"/>
          <w:color w:val="auto"/>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ind w:right="-58" w:firstLine="600"/>
        <w:rPr>
          <w:rFonts w:ascii="仿宋_GB2312" w:eastAsia="仿宋_GB2312"/>
          <w:b/>
          <w:color w:val="auto"/>
          <w:sz w:val="30"/>
          <w:szCs w:val="30"/>
        </w:rPr>
      </w:pPr>
      <w:r>
        <w:rPr>
          <w:rFonts w:hint="eastAsia" w:ascii="仿宋_GB2312" w:eastAsia="仿宋_GB2312"/>
          <w:b/>
          <w:color w:val="auto"/>
          <w:sz w:val="30"/>
          <w:szCs w:val="30"/>
        </w:rPr>
        <w:t>不得以参与股权激励计划名义从事非股权激励项下境外证券、基金等资本项下投资。</w:t>
      </w:r>
    </w:p>
    <w:p>
      <w:pPr>
        <w:rPr>
          <w:rFonts w:hint="eastAsia" w:ascii="黑体" w:hAnsi="Times New Roman" w:eastAsia="黑体"/>
          <w:color w:val="auto"/>
          <w:sz w:val="30"/>
          <w:szCs w:val="30"/>
        </w:rPr>
      </w:pPr>
      <w:r>
        <w:rPr>
          <w:rFonts w:hint="eastAsia" w:ascii="黑体" w:hAnsi="Times New Roman" w:eastAsia="黑体"/>
          <w:color w:val="auto"/>
          <w:sz w:val="30"/>
          <w:szCs w:val="30"/>
        </w:rPr>
        <w:t>申请材料</w:t>
      </w:r>
    </w:p>
    <w:p>
      <w:pPr>
        <w:ind w:firstLine="600" w:firstLineChars="200"/>
        <w:rPr>
          <w:rFonts w:hint="eastAsia" w:ascii="黑体" w:hAnsi="Times New Roman" w:eastAsia="黑体"/>
          <w:color w:val="auto"/>
          <w:sz w:val="30"/>
          <w:szCs w:val="30"/>
          <w:lang w:val="en-US" w:eastAsia="zh-CN"/>
        </w:rPr>
      </w:pPr>
      <w:r>
        <w:rPr>
          <w:rFonts w:hint="eastAsia" w:ascii="黑体" w:hAnsi="Times New Roman" w:eastAsia="黑体"/>
          <w:color w:val="auto"/>
          <w:sz w:val="30"/>
          <w:szCs w:val="30"/>
          <w:lang w:val="en-US" w:eastAsia="zh-CN"/>
        </w:rPr>
        <w:t>1.登记申请材料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96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70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0"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70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75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书面申请（如涉及额度的，首次申请：年度付汇额度的具体币种、数额以及额度的计算依据，再次申请：除首次申请所需内容外，增加上年度付汇额度使用情况以及股权激励计划开展情况），变更时应包括重大变更事项的描述，并附《境内个人参与境外上市公司股权激励计划外汇登记表》</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境外上市公司相关公告等能够证明股权激励计划真实性的证明材料（涉及国有企业等需经主管部门批准的，另需出具有关主管部门的认可文件）</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境内公司授权境内代理机构统一办理个人参与股权激励计划的授权书或协议</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境内公司出具的个人与其雇佣或劳务关系属实的承诺函（附个人名单、身份证件号码、所涉股权激励类型等）</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5</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参与公司（含境内代理机构）营业执照、组织机构代码</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各1份</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bottom w:val="single" w:color="auto" w:sz="4" w:space="0"/>
            </w:tcBorders>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6</w:t>
            </w:r>
          </w:p>
        </w:tc>
        <w:tc>
          <w:tcPr>
            <w:tcW w:w="3969"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kern w:val="0"/>
                <w:sz w:val="24"/>
                <w:szCs w:val="24"/>
              </w:rPr>
              <w:t>前述材料内容不一致或不能说明交易真实性时，要求提供的补充材料</w:t>
            </w:r>
          </w:p>
        </w:tc>
        <w:tc>
          <w:tcPr>
            <w:tcW w:w="992"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kern w:val="0"/>
                <w:sz w:val="24"/>
                <w:szCs w:val="24"/>
              </w:rPr>
              <w:t>1</w:t>
            </w:r>
          </w:p>
        </w:tc>
        <w:tc>
          <w:tcPr>
            <w:tcW w:w="850"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kern w:val="0"/>
                <w:sz w:val="24"/>
                <w:szCs w:val="24"/>
              </w:rPr>
              <w:t>纸质</w:t>
            </w:r>
          </w:p>
        </w:tc>
        <w:tc>
          <w:tcPr>
            <w:tcW w:w="709" w:type="dxa"/>
            <w:tcBorders>
              <w:bottom w:val="single" w:color="auto" w:sz="4" w:space="0"/>
            </w:tcBorders>
            <w:vAlign w:val="center"/>
          </w:tcPr>
          <w:p>
            <w:pPr>
              <w:jc w:val="left"/>
              <w:rPr>
                <w:rFonts w:ascii="仿宋_GB2312" w:hAnsi="华文仿宋" w:eastAsia="仿宋_GB2312"/>
                <w:color w:val="auto"/>
                <w:sz w:val="24"/>
                <w:szCs w:val="24"/>
              </w:rPr>
            </w:pPr>
          </w:p>
        </w:tc>
        <w:tc>
          <w:tcPr>
            <w:tcW w:w="759" w:type="dxa"/>
            <w:tcBorders>
              <w:bottom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trHeight w:val="517" w:hRule="atLeast"/>
        </w:trPr>
        <w:tc>
          <w:tcPr>
            <w:tcW w:w="534" w:type="dxa"/>
            <w:tcBorders>
              <w:top w:val="single" w:color="auto" w:sz="4" w:space="0"/>
              <w:left w:val="nil"/>
              <w:bottom w:val="single" w:color="auto" w:sz="4" w:space="0"/>
              <w:right w:val="nil"/>
            </w:tcBorders>
            <w:vAlign w:val="center"/>
          </w:tcPr>
          <w:p>
            <w:pPr>
              <w:jc w:val="center"/>
              <w:rPr>
                <w:rFonts w:hint="eastAsia" w:ascii="仿宋_GB2312" w:hAnsi="华文仿宋" w:eastAsia="仿宋_GB2312"/>
                <w:color w:val="auto"/>
                <w:sz w:val="24"/>
                <w:szCs w:val="24"/>
              </w:rPr>
            </w:pPr>
          </w:p>
        </w:tc>
        <w:tc>
          <w:tcPr>
            <w:tcW w:w="3969" w:type="dxa"/>
            <w:tcBorders>
              <w:top w:val="single" w:color="auto" w:sz="4" w:space="0"/>
              <w:left w:val="nil"/>
              <w:bottom w:val="single" w:color="auto" w:sz="4" w:space="0"/>
              <w:right w:val="nil"/>
            </w:tcBorders>
            <w:vAlign w:val="center"/>
          </w:tcPr>
          <w:p>
            <w:pPr>
              <w:rPr>
                <w:rFonts w:hint="eastAsia" w:ascii="仿宋_GB2312" w:hAnsi="华文仿宋" w:eastAsia="仿宋_GB2312"/>
                <w:color w:val="auto"/>
                <w:sz w:val="24"/>
                <w:szCs w:val="24"/>
              </w:rPr>
            </w:pPr>
            <w:r>
              <w:rPr>
                <w:rFonts w:hint="eastAsia" w:ascii="黑体" w:hAnsi="Times New Roman" w:eastAsia="黑体"/>
                <w:color w:val="auto"/>
                <w:sz w:val="30"/>
                <w:szCs w:val="30"/>
                <w:lang w:val="en-US" w:eastAsia="zh-CN"/>
              </w:rPr>
              <w:t>2．变更登记申请材料</w:t>
            </w:r>
          </w:p>
        </w:tc>
        <w:tc>
          <w:tcPr>
            <w:tcW w:w="992"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sz w:val="24"/>
                <w:szCs w:val="24"/>
              </w:rPr>
            </w:pPr>
          </w:p>
        </w:tc>
        <w:tc>
          <w:tcPr>
            <w:tcW w:w="709"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sz w:val="24"/>
                <w:szCs w:val="24"/>
              </w:rPr>
            </w:pPr>
          </w:p>
        </w:tc>
        <w:tc>
          <w:tcPr>
            <w:tcW w:w="850"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sz w:val="24"/>
                <w:szCs w:val="24"/>
              </w:rPr>
            </w:pPr>
          </w:p>
        </w:tc>
        <w:tc>
          <w:tcPr>
            <w:tcW w:w="709" w:type="dxa"/>
            <w:tcBorders>
              <w:top w:val="single" w:color="auto" w:sz="4" w:space="0"/>
              <w:left w:val="nil"/>
              <w:bottom w:val="single" w:color="auto" w:sz="4" w:space="0"/>
              <w:right w:val="nil"/>
            </w:tcBorders>
            <w:vAlign w:val="center"/>
          </w:tcPr>
          <w:p>
            <w:pPr>
              <w:jc w:val="left"/>
              <w:rPr>
                <w:rFonts w:ascii="仿宋_GB2312" w:hAnsi="华文仿宋" w:eastAsia="仿宋_GB2312"/>
                <w:color w:val="auto"/>
                <w:sz w:val="24"/>
                <w:szCs w:val="24"/>
              </w:rPr>
            </w:pPr>
          </w:p>
        </w:tc>
        <w:tc>
          <w:tcPr>
            <w:tcW w:w="759" w:type="dxa"/>
            <w:tcBorders>
              <w:top w:val="single" w:color="auto" w:sz="4" w:space="0"/>
              <w:left w:val="nil"/>
              <w:bottom w:val="single" w:color="auto" w:sz="4" w:space="0"/>
              <w:right w:val="nil"/>
            </w:tcBorders>
            <w:vAlign w:val="center"/>
          </w:tcPr>
          <w:p>
            <w:pPr>
              <w:jc w:val="left"/>
              <w:rPr>
                <w:rFonts w:ascii="仿宋_GB2312" w:hAnsi="华文仿宋" w:eastAsia="仿宋_GB2312"/>
                <w:color w:val="auto"/>
                <w:sz w:val="24"/>
                <w:szCs w:val="24"/>
              </w:rPr>
            </w:pPr>
          </w:p>
        </w:tc>
      </w:tr>
      <w:tr>
        <w:tc>
          <w:tcPr>
            <w:tcW w:w="534"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序号</w:t>
            </w:r>
          </w:p>
        </w:tc>
        <w:tc>
          <w:tcPr>
            <w:tcW w:w="3969"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提交材料名称</w:t>
            </w:r>
          </w:p>
        </w:tc>
        <w:tc>
          <w:tcPr>
            <w:tcW w:w="992"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原件/复印件</w:t>
            </w:r>
          </w:p>
        </w:tc>
        <w:tc>
          <w:tcPr>
            <w:tcW w:w="709"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份数</w:t>
            </w:r>
          </w:p>
        </w:tc>
        <w:tc>
          <w:tcPr>
            <w:tcW w:w="850"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纸质/电子</w:t>
            </w:r>
          </w:p>
        </w:tc>
        <w:tc>
          <w:tcPr>
            <w:tcW w:w="709" w:type="dxa"/>
            <w:tcBorders>
              <w:top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b/>
                <w:color w:val="auto"/>
                <w:sz w:val="24"/>
                <w:szCs w:val="24"/>
              </w:rPr>
              <w:t>要求</w:t>
            </w:r>
          </w:p>
        </w:tc>
        <w:tc>
          <w:tcPr>
            <w:tcW w:w="759" w:type="dxa"/>
            <w:tcBorders>
              <w:top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b/>
                <w:color w:val="auto"/>
                <w:sz w:val="24"/>
                <w:szCs w:val="24"/>
              </w:rPr>
              <w:t>备注</w:t>
            </w: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1</w:t>
            </w:r>
          </w:p>
        </w:tc>
        <w:tc>
          <w:tcPr>
            <w:tcW w:w="3969"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书面申请</w:t>
            </w:r>
          </w:p>
        </w:tc>
        <w:tc>
          <w:tcPr>
            <w:tcW w:w="992"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hint="eastAsia" w:ascii="仿宋_GB2312" w:hAnsi="华文仿宋" w:eastAsia="仿宋_GB2312"/>
                <w:color w:val="auto"/>
                <w:sz w:val="24"/>
                <w:szCs w:val="24"/>
                <w:lang w:eastAsia="zh-CN"/>
              </w:rPr>
            </w:pPr>
            <w:r>
              <w:rPr>
                <w:rFonts w:hint="eastAsia" w:ascii="仿宋_GB2312" w:hAnsi="华文仿宋" w:eastAsia="仿宋_GB2312"/>
                <w:color w:val="auto"/>
                <w:sz w:val="24"/>
                <w:szCs w:val="24"/>
                <w:lang w:val="en-US" w:eastAsia="zh-CN"/>
              </w:rPr>
              <w:t>2</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原业务登记凭证</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3</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最新填写的《境内个人参与境外上市公司股权激励计划外汇登记表》</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4</w:t>
            </w:r>
          </w:p>
        </w:tc>
        <w:tc>
          <w:tcPr>
            <w:tcW w:w="3969" w:type="dxa"/>
            <w:vAlign w:val="center"/>
          </w:tcPr>
          <w:p>
            <w:pPr>
              <w:jc w:val="left"/>
              <w:rPr>
                <w:rFonts w:hint="eastAsia" w:ascii="仿宋_GB2312" w:hAnsi="华文仿宋" w:eastAsia="仿宋_GB2312"/>
                <w:color w:val="auto"/>
                <w:sz w:val="24"/>
                <w:lang w:eastAsia="zh-CN"/>
              </w:rPr>
            </w:pPr>
            <w:r>
              <w:rPr>
                <w:rFonts w:hint="eastAsia" w:ascii="仿宋_GB2312" w:hAnsi="华文仿宋" w:eastAsia="仿宋_GB2312"/>
                <w:color w:val="auto"/>
                <w:sz w:val="24"/>
                <w:lang w:eastAsia="zh-CN"/>
              </w:rPr>
              <w:t>变更事项相关真实性证明材料</w:t>
            </w:r>
          </w:p>
        </w:tc>
        <w:tc>
          <w:tcPr>
            <w:tcW w:w="992"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ascii="仿宋_GB2312" w:hAnsi="华文仿宋" w:eastAsia="仿宋_GB2312"/>
                <w:color w:val="auto"/>
                <w:sz w:val="24"/>
                <w:szCs w:val="24"/>
              </w:rPr>
              <w:t xml:space="preserve">1 </w:t>
            </w:r>
          </w:p>
        </w:tc>
        <w:tc>
          <w:tcPr>
            <w:tcW w:w="850"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hint="eastAsia"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5</w:t>
            </w:r>
          </w:p>
        </w:tc>
        <w:tc>
          <w:tcPr>
            <w:tcW w:w="3969" w:type="dxa"/>
            <w:tcBorders>
              <w:bottom w:val="single" w:color="auto" w:sz="4" w:space="0"/>
            </w:tcBorders>
            <w:vAlign w:val="center"/>
          </w:tcPr>
          <w:p>
            <w:pPr>
              <w:jc w:val="left"/>
              <w:rPr>
                <w:rFonts w:hint="eastAsia" w:ascii="仿宋_GB2312" w:hAnsi="华文仿宋" w:eastAsia="仿宋_GB2312"/>
                <w:color w:val="auto"/>
                <w:sz w:val="24"/>
              </w:rPr>
            </w:pPr>
            <w:r>
              <w:rPr>
                <w:rFonts w:hint="eastAsia" w:ascii="仿宋_GB2312" w:hAnsi="华文仿宋" w:eastAsia="仿宋_GB2312"/>
                <w:color w:val="auto"/>
                <w:kern w:val="0"/>
                <w:sz w:val="24"/>
                <w:szCs w:val="24"/>
              </w:rPr>
              <w:t>前述材料内容不一致或不能说明交易真实性时，要求提供的补充材料</w:t>
            </w:r>
          </w:p>
        </w:tc>
        <w:tc>
          <w:tcPr>
            <w:tcW w:w="992"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tcBorders>
              <w:bottom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1</w:t>
            </w:r>
          </w:p>
        </w:tc>
        <w:tc>
          <w:tcPr>
            <w:tcW w:w="850" w:type="dxa"/>
            <w:tcBorders>
              <w:bottom w:val="single" w:color="auto" w:sz="4" w:space="0"/>
            </w:tcBorders>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kern w:val="0"/>
                <w:sz w:val="24"/>
                <w:szCs w:val="24"/>
              </w:rPr>
              <w:t>纸质</w:t>
            </w:r>
          </w:p>
        </w:tc>
        <w:tc>
          <w:tcPr>
            <w:tcW w:w="709" w:type="dxa"/>
            <w:tcBorders>
              <w:bottom w:val="single" w:color="auto" w:sz="4" w:space="0"/>
            </w:tcBorders>
            <w:vAlign w:val="center"/>
          </w:tcPr>
          <w:p>
            <w:pPr>
              <w:jc w:val="left"/>
              <w:rPr>
                <w:rFonts w:ascii="仿宋_GB2312" w:hAnsi="华文仿宋" w:eastAsia="仿宋_GB2312"/>
                <w:color w:val="auto"/>
                <w:sz w:val="24"/>
                <w:szCs w:val="24"/>
              </w:rPr>
            </w:pPr>
          </w:p>
        </w:tc>
        <w:tc>
          <w:tcPr>
            <w:tcW w:w="759" w:type="dxa"/>
            <w:tcBorders>
              <w:bottom w:val="single" w:color="auto" w:sz="4" w:space="0"/>
            </w:tcBorders>
            <w:vAlign w:val="center"/>
          </w:tcPr>
          <w:p>
            <w:pPr>
              <w:jc w:val="left"/>
              <w:rPr>
                <w:rFonts w:hint="eastAsia"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rPr>
          <w:trHeight w:val="617" w:hRule="atLeast"/>
        </w:trPr>
        <w:tc>
          <w:tcPr>
            <w:tcW w:w="534" w:type="dxa"/>
            <w:tcBorders>
              <w:left w:val="nil"/>
              <w:bottom w:val="single" w:color="auto" w:sz="4" w:space="0"/>
              <w:right w:val="nil"/>
            </w:tcBorders>
            <w:vAlign w:val="center"/>
          </w:tcPr>
          <w:p>
            <w:pPr>
              <w:jc w:val="center"/>
              <w:rPr>
                <w:rFonts w:ascii="仿宋_GB2312" w:hAnsi="华文仿宋" w:eastAsia="仿宋_GB2312"/>
                <w:color w:val="auto"/>
                <w:sz w:val="24"/>
                <w:szCs w:val="24"/>
              </w:rPr>
            </w:pPr>
          </w:p>
        </w:tc>
        <w:tc>
          <w:tcPr>
            <w:tcW w:w="3969" w:type="dxa"/>
            <w:tcBorders>
              <w:top w:val="single" w:color="auto" w:sz="4" w:space="0"/>
              <w:left w:val="nil"/>
              <w:bottom w:val="single" w:color="auto" w:sz="4" w:space="0"/>
              <w:right w:val="nil"/>
            </w:tcBorders>
            <w:vAlign w:val="center"/>
          </w:tcPr>
          <w:p>
            <w:pPr>
              <w:rPr>
                <w:rFonts w:hint="eastAsia" w:ascii="黑体" w:hAnsi="Times New Roman" w:eastAsia="黑体"/>
                <w:color w:val="auto"/>
                <w:sz w:val="30"/>
                <w:szCs w:val="30"/>
                <w:lang w:val="en-US" w:eastAsia="zh-CN"/>
              </w:rPr>
            </w:pPr>
            <w:r>
              <w:rPr>
                <w:rFonts w:hint="eastAsia" w:ascii="黑体" w:hAnsi="Times New Roman" w:eastAsia="黑体"/>
                <w:color w:val="auto"/>
                <w:sz w:val="30"/>
                <w:szCs w:val="30"/>
                <w:lang w:val="en-US" w:eastAsia="zh-CN"/>
              </w:rPr>
              <w:t>3.注销登记申请材料</w:t>
            </w:r>
          </w:p>
        </w:tc>
        <w:tc>
          <w:tcPr>
            <w:tcW w:w="992"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sz w:val="24"/>
                <w:szCs w:val="24"/>
              </w:rPr>
            </w:pPr>
          </w:p>
        </w:tc>
        <w:tc>
          <w:tcPr>
            <w:tcW w:w="709" w:type="dxa"/>
            <w:tcBorders>
              <w:top w:val="single" w:color="auto" w:sz="4" w:space="0"/>
              <w:left w:val="nil"/>
              <w:bottom w:val="single" w:color="auto" w:sz="4" w:space="0"/>
              <w:right w:val="nil"/>
            </w:tcBorders>
            <w:vAlign w:val="center"/>
          </w:tcPr>
          <w:p>
            <w:pPr>
              <w:jc w:val="left"/>
              <w:rPr>
                <w:rFonts w:ascii="仿宋_GB2312" w:hAnsi="华文仿宋" w:eastAsia="仿宋_GB2312"/>
                <w:color w:val="auto"/>
                <w:sz w:val="24"/>
                <w:szCs w:val="24"/>
              </w:rPr>
            </w:pPr>
          </w:p>
        </w:tc>
        <w:tc>
          <w:tcPr>
            <w:tcW w:w="850"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sz w:val="24"/>
                <w:szCs w:val="24"/>
              </w:rPr>
            </w:pPr>
          </w:p>
        </w:tc>
        <w:tc>
          <w:tcPr>
            <w:tcW w:w="709" w:type="dxa"/>
            <w:tcBorders>
              <w:top w:val="single" w:color="auto" w:sz="4" w:space="0"/>
              <w:left w:val="nil"/>
              <w:bottom w:val="single" w:color="auto" w:sz="4" w:space="0"/>
              <w:right w:val="nil"/>
            </w:tcBorders>
            <w:vAlign w:val="center"/>
          </w:tcPr>
          <w:p>
            <w:pPr>
              <w:jc w:val="left"/>
              <w:rPr>
                <w:rFonts w:ascii="仿宋_GB2312" w:hAnsi="华文仿宋" w:eastAsia="仿宋_GB2312"/>
                <w:color w:val="auto"/>
                <w:sz w:val="24"/>
                <w:szCs w:val="24"/>
              </w:rPr>
            </w:pPr>
          </w:p>
        </w:tc>
        <w:tc>
          <w:tcPr>
            <w:tcW w:w="759" w:type="dxa"/>
            <w:tcBorders>
              <w:top w:val="single" w:color="auto" w:sz="4" w:space="0"/>
              <w:left w:val="nil"/>
              <w:bottom w:val="single" w:color="auto" w:sz="4" w:space="0"/>
              <w:right w:val="nil"/>
            </w:tcBorders>
            <w:vAlign w:val="center"/>
          </w:tcPr>
          <w:p>
            <w:pPr>
              <w:jc w:val="left"/>
              <w:rPr>
                <w:rFonts w:hint="eastAsia" w:ascii="仿宋_GB2312" w:hAnsi="华文仿宋" w:eastAsia="仿宋_GB2312"/>
                <w:color w:val="auto"/>
                <w:kern w:val="0"/>
                <w:sz w:val="24"/>
                <w:szCs w:val="24"/>
              </w:rPr>
            </w:pPr>
          </w:p>
        </w:tc>
      </w:tr>
      <w:tr>
        <w:tc>
          <w:tcPr>
            <w:tcW w:w="534" w:type="dxa"/>
            <w:tcBorders>
              <w:top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b/>
                <w:color w:val="auto"/>
                <w:sz w:val="24"/>
                <w:szCs w:val="24"/>
              </w:rPr>
              <w:t>序号</w:t>
            </w:r>
          </w:p>
        </w:tc>
        <w:tc>
          <w:tcPr>
            <w:tcW w:w="3969" w:type="dxa"/>
            <w:tcBorders>
              <w:top w:val="single" w:color="auto" w:sz="4" w:space="0"/>
            </w:tcBorders>
            <w:vAlign w:val="center"/>
          </w:tcPr>
          <w:p>
            <w:pPr>
              <w:jc w:val="center"/>
              <w:rPr>
                <w:rFonts w:hint="eastAsia" w:ascii="仿宋_GB2312" w:hAnsi="华文仿宋" w:eastAsia="仿宋_GB2312"/>
                <w:color w:val="auto"/>
                <w:sz w:val="24"/>
              </w:rPr>
            </w:pPr>
            <w:r>
              <w:rPr>
                <w:rFonts w:hint="eastAsia" w:ascii="仿宋_GB2312" w:hAnsi="华文仿宋" w:eastAsia="仿宋_GB2312"/>
                <w:b/>
                <w:color w:val="auto"/>
                <w:sz w:val="24"/>
                <w:szCs w:val="24"/>
              </w:rPr>
              <w:t>提交材料名称</w:t>
            </w:r>
          </w:p>
        </w:tc>
        <w:tc>
          <w:tcPr>
            <w:tcW w:w="992"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原件/复印件</w:t>
            </w:r>
          </w:p>
        </w:tc>
        <w:tc>
          <w:tcPr>
            <w:tcW w:w="709" w:type="dxa"/>
            <w:tcBorders>
              <w:top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b/>
                <w:color w:val="auto"/>
                <w:sz w:val="24"/>
                <w:szCs w:val="24"/>
              </w:rPr>
              <w:t>份数</w:t>
            </w:r>
          </w:p>
        </w:tc>
        <w:tc>
          <w:tcPr>
            <w:tcW w:w="850" w:type="dxa"/>
            <w:tcBorders>
              <w:top w:val="single" w:color="auto" w:sz="4" w:space="0"/>
            </w:tcBorders>
            <w:vAlign w:val="center"/>
          </w:tcPr>
          <w:p>
            <w:pPr>
              <w:jc w:val="center"/>
              <w:rPr>
                <w:rFonts w:hint="eastAsia" w:ascii="仿宋_GB2312" w:hAnsi="华文仿宋" w:eastAsia="仿宋_GB2312"/>
                <w:color w:val="auto"/>
                <w:sz w:val="24"/>
                <w:szCs w:val="24"/>
              </w:rPr>
            </w:pPr>
            <w:r>
              <w:rPr>
                <w:rFonts w:hint="eastAsia" w:ascii="仿宋_GB2312" w:hAnsi="华文仿宋" w:eastAsia="仿宋_GB2312"/>
                <w:b/>
                <w:color w:val="auto"/>
                <w:sz w:val="24"/>
                <w:szCs w:val="24"/>
              </w:rPr>
              <w:t>纸质/电子</w:t>
            </w:r>
          </w:p>
        </w:tc>
        <w:tc>
          <w:tcPr>
            <w:tcW w:w="709" w:type="dxa"/>
            <w:tcBorders>
              <w:top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b/>
                <w:color w:val="auto"/>
                <w:sz w:val="24"/>
                <w:szCs w:val="24"/>
              </w:rPr>
              <w:t>要求</w:t>
            </w:r>
          </w:p>
        </w:tc>
        <w:tc>
          <w:tcPr>
            <w:tcW w:w="759" w:type="dxa"/>
            <w:tcBorders>
              <w:top w:val="single" w:color="auto" w:sz="4" w:space="0"/>
            </w:tcBorders>
            <w:vAlign w:val="center"/>
          </w:tcPr>
          <w:p>
            <w:pPr>
              <w:jc w:val="center"/>
              <w:rPr>
                <w:rFonts w:hint="eastAsia" w:ascii="仿宋_GB2312" w:hAnsi="华文仿宋" w:eastAsia="仿宋_GB2312"/>
                <w:color w:val="auto"/>
                <w:kern w:val="0"/>
                <w:sz w:val="24"/>
                <w:szCs w:val="24"/>
              </w:rPr>
            </w:pPr>
            <w:r>
              <w:rPr>
                <w:rFonts w:hint="eastAsia" w:ascii="仿宋_GB2312" w:hAnsi="华文仿宋" w:eastAsia="仿宋_GB2312"/>
                <w:b/>
                <w:color w:val="auto"/>
                <w:sz w:val="24"/>
                <w:szCs w:val="24"/>
              </w:rPr>
              <w:t>备注</w:t>
            </w: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1</w:t>
            </w:r>
          </w:p>
        </w:tc>
        <w:tc>
          <w:tcPr>
            <w:tcW w:w="3969" w:type="dxa"/>
            <w:vAlign w:val="center"/>
          </w:tcPr>
          <w:p>
            <w:pPr>
              <w:jc w:val="left"/>
              <w:rPr>
                <w:rFonts w:hint="eastAsia" w:ascii="仿宋_GB2312" w:hAnsi="华文仿宋" w:eastAsia="仿宋_GB2312"/>
                <w:color w:val="auto"/>
                <w:sz w:val="24"/>
              </w:rPr>
            </w:pPr>
            <w:r>
              <w:rPr>
                <w:rFonts w:hint="eastAsia" w:ascii="仿宋_GB2312" w:hAnsi="华文仿宋" w:eastAsia="仿宋_GB2312"/>
                <w:color w:val="auto"/>
                <w:sz w:val="24"/>
                <w:szCs w:val="24"/>
              </w:rPr>
              <w:t>书面申请</w:t>
            </w:r>
          </w:p>
        </w:tc>
        <w:tc>
          <w:tcPr>
            <w:tcW w:w="992"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hint="eastAsia" w:ascii="仿宋_GB2312" w:hAnsi="华文仿宋" w:eastAsia="仿宋_GB2312"/>
                <w:color w:val="auto"/>
                <w:kern w:val="0"/>
                <w:sz w:val="24"/>
                <w:szCs w:val="24"/>
              </w:rPr>
            </w:pP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2</w:t>
            </w:r>
          </w:p>
        </w:tc>
        <w:tc>
          <w:tcPr>
            <w:tcW w:w="3969"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原业务登记凭证</w:t>
            </w:r>
          </w:p>
        </w:tc>
        <w:tc>
          <w:tcPr>
            <w:tcW w:w="992"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原件</w:t>
            </w:r>
          </w:p>
        </w:tc>
        <w:tc>
          <w:tcPr>
            <w:tcW w:w="709"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hint="eastAsia"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hint="eastAsia" w:ascii="仿宋_GB2312" w:hAnsi="华文仿宋" w:eastAsia="仿宋_GB2312"/>
                <w:color w:val="auto"/>
                <w:kern w:val="0"/>
                <w:sz w:val="24"/>
                <w:szCs w:val="24"/>
              </w:rPr>
            </w:pP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3</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rPr>
              <w:t>与股权激励计划终止相关的真实性证明材料</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ascii="仿宋_GB2312" w:hAnsi="华文仿宋" w:eastAsia="仿宋_GB2312"/>
                <w:color w:val="auto"/>
                <w:sz w:val="24"/>
                <w:szCs w:val="24"/>
              </w:rPr>
              <w:t xml:space="preserve">1 </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c>
          <w:tcPr>
            <w:tcW w:w="534" w:type="dxa"/>
            <w:vAlign w:val="center"/>
          </w:tcPr>
          <w:p>
            <w:pPr>
              <w:jc w:val="center"/>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4</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前述材料内容不一致或不能说明交易真实性时，要求提供的补充材料</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709" w:type="dxa"/>
            <w:vAlign w:val="center"/>
          </w:tcPr>
          <w:p>
            <w:pPr>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rPr>
          <w:rFonts w:hint="eastAsia" w:ascii="黑体" w:hAnsi="Times New Roman" w:eastAsia="黑体"/>
          <w:color w:val="auto"/>
          <w:sz w:val="30"/>
          <w:szCs w:val="30"/>
        </w:rPr>
      </w:pPr>
    </w:p>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ind w:right="-58" w:firstLine="600"/>
        <w:rPr>
          <w:rFonts w:ascii="仿宋_GB2312" w:eastAsia="仿宋_GB2312"/>
          <w:color w:val="auto"/>
          <w:sz w:val="30"/>
          <w:szCs w:val="30"/>
        </w:rPr>
      </w:pPr>
      <w:r>
        <w:rPr>
          <w:rFonts w:hint="eastAsia" w:ascii="仿宋_GB2312" w:eastAsia="仿宋_GB2312"/>
          <w:color w:val="auto"/>
          <w:sz w:val="30"/>
          <w:szCs w:val="30"/>
        </w:rPr>
        <w:t>1.申请人提交申请；</w:t>
      </w:r>
    </w:p>
    <w:p>
      <w:pPr>
        <w:ind w:right="-58" w:firstLine="600"/>
        <w:rPr>
          <w:rFonts w:ascii="仿宋_GB2312" w:eastAsia="仿宋_GB2312"/>
          <w:color w:val="auto"/>
          <w:sz w:val="30"/>
          <w:szCs w:val="30"/>
        </w:rPr>
      </w:pPr>
      <w:r>
        <w:rPr>
          <w:rFonts w:hint="eastAsia" w:ascii="仿宋_GB2312" w:eastAsia="仿宋_GB2312"/>
          <w:color w:val="auto"/>
          <w:sz w:val="30"/>
          <w:szCs w:val="30"/>
        </w:rPr>
        <w:t>2.审批部门决定是否予以受理；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300" w:firstLine="600"/>
        <w:rPr>
          <w:rFonts w:ascii="黑体" w:hAnsi="Times New Roman" w:eastAsia="黑体"/>
          <w:color w:val="auto"/>
          <w:sz w:val="30"/>
          <w:szCs w:val="30"/>
        </w:rPr>
      </w:pPr>
    </w:p>
    <w:p>
      <w:pPr>
        <w:ind w:right="-58"/>
        <w:rPr>
          <w:rFonts w:ascii="黑体" w:hAnsi="Times New Roman" w:eastAsia="黑体"/>
          <w:color w:val="auto"/>
          <w:sz w:val="30"/>
          <w:szCs w:val="30"/>
        </w:rPr>
      </w:pPr>
      <w:r>
        <w:rPr>
          <w:rFonts w:ascii="黑体" w:hAnsi="Times New Roman" w:eastAsia="黑体"/>
          <w:color w:val="auto"/>
          <w:sz w:val="30"/>
          <w:szCs w:val="30"/>
        </w:rPr>
        <w:br w:type="page"/>
      </w:r>
      <w:r>
        <w:rPr>
          <w:rStyle w:val="37"/>
          <w:rFonts w:hint="eastAsia"/>
          <w:color w:val="auto"/>
        </w:rPr>
        <w:t>（四）、境内机构境外衍生业务外汇登记及变更、注销登记</w:t>
      </w:r>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eastAsia="仿宋_GB2312"/>
          <w:color w:val="auto"/>
          <w:sz w:val="30"/>
          <w:szCs w:val="30"/>
        </w:rPr>
      </w:pPr>
      <w:r>
        <w:rPr>
          <w:rFonts w:ascii="仿宋_GB2312" w:eastAsia="仿宋_GB2312"/>
          <w:color w:val="auto"/>
          <w:sz w:val="30"/>
          <w:szCs w:val="30"/>
        </w:rPr>
        <w:t>1.《中华人民共和国外汇管理条例》（国务院令第532号）</w:t>
      </w:r>
      <w:r>
        <w:rPr>
          <w:rFonts w:hint="eastAsia" w:ascii="仿宋_GB2312" w:eastAsia="仿宋_GB2312"/>
          <w:color w:val="auto"/>
          <w:sz w:val="30"/>
          <w:szCs w:val="30"/>
        </w:rPr>
        <w:t>。</w:t>
      </w:r>
    </w:p>
    <w:p>
      <w:pPr>
        <w:ind w:right="-58" w:firstLine="600" w:firstLineChars="200"/>
        <w:rPr>
          <w:rFonts w:ascii="仿宋_GB2312" w:eastAsia="仿宋_GB2312"/>
          <w:color w:val="auto"/>
          <w:sz w:val="30"/>
          <w:szCs w:val="30"/>
        </w:rPr>
      </w:pPr>
      <w:r>
        <w:rPr>
          <w:rFonts w:ascii="仿宋_GB2312" w:eastAsia="仿宋_GB2312"/>
          <w:color w:val="auto"/>
          <w:sz w:val="30"/>
          <w:szCs w:val="30"/>
        </w:rPr>
        <w:t>2.《国有企业境外期货套期保值业务管理办法》（证监发[2001]81号）</w:t>
      </w:r>
      <w:r>
        <w:rPr>
          <w:rFonts w:hint="eastAsia" w:ascii="仿宋_GB2312" w:eastAsia="仿宋_GB2312"/>
          <w:color w:val="auto"/>
          <w:sz w:val="30"/>
          <w:szCs w:val="30"/>
        </w:rPr>
        <w:t>。</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3.</w:t>
      </w:r>
      <w:r>
        <w:rPr>
          <w:rFonts w:ascii="仿宋_GB2312" w:eastAsia="仿宋_GB2312"/>
          <w:color w:val="auto"/>
          <w:sz w:val="30"/>
          <w:szCs w:val="30"/>
        </w:rPr>
        <w:t>《国家外汇管理局关于国有企业境外期货套期保值业务外汇管理有关问题的通知》（汇发[2013]25号）</w:t>
      </w:r>
      <w:r>
        <w:rPr>
          <w:rFonts w:hint="eastAsia" w:ascii="仿宋_GB2312" w:eastAsia="仿宋_GB2312"/>
          <w:color w:val="auto"/>
          <w:sz w:val="30"/>
          <w:szCs w:val="30"/>
        </w:rPr>
        <w:t>。</w:t>
      </w:r>
    </w:p>
    <w:p>
      <w:pPr>
        <w:tabs>
          <w:tab w:val="left" w:pos="3525"/>
        </w:tabs>
        <w:ind w:right="-58" w:firstLine="600" w:firstLineChars="200"/>
        <w:rPr>
          <w:rFonts w:ascii="仿宋_GB2312" w:eastAsia="仿宋_GB2312"/>
          <w:color w:val="auto"/>
          <w:sz w:val="30"/>
          <w:szCs w:val="30"/>
        </w:rPr>
      </w:pPr>
      <w:r>
        <w:rPr>
          <w:rFonts w:hint="eastAsia" w:ascii="仿宋_GB2312" w:eastAsia="仿宋_GB2312"/>
          <w:color w:val="auto"/>
          <w:sz w:val="30"/>
          <w:szCs w:val="30"/>
        </w:rPr>
        <w:t>4.其他相关法规。</w:t>
      </w:r>
      <w:r>
        <w:rPr>
          <w:rFonts w:ascii="仿宋_GB2312" w:eastAsia="仿宋_GB2312"/>
          <w:color w:val="auto"/>
          <w:sz w:val="30"/>
          <w:szCs w:val="30"/>
        </w:rPr>
        <w:tab/>
      </w:r>
    </w:p>
    <w:p>
      <w:pPr>
        <w:ind w:right="-58"/>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申请人为经中国证监会批准从事境外期货套期保值业务的国有企业，或经国资委批准开展境外金融衍生业务的中央企业，以及上述中央企业授权的集团内成员公司。</w:t>
      </w:r>
    </w:p>
    <w:p>
      <w:pPr>
        <w:ind w:right="-58"/>
        <w:rPr>
          <w:rFonts w:ascii="黑体" w:hAnsi="Times New Roman" w:eastAsia="黑体"/>
          <w:color w:val="auto"/>
          <w:sz w:val="30"/>
          <w:szCs w:val="30"/>
        </w:rPr>
      </w:pPr>
      <w:r>
        <w:rPr>
          <w:rFonts w:hint="eastAsia" w:ascii="黑体" w:hAnsi="Times New Roman" w:eastAsia="黑体"/>
          <w:color w:val="auto"/>
          <w:sz w:val="30"/>
          <w:szCs w:val="30"/>
        </w:rPr>
        <w:t>申请材料</w:t>
      </w:r>
    </w:p>
    <w:p>
      <w:pPr>
        <w:ind w:right="-58" w:firstLine="600" w:firstLineChars="200"/>
        <w:rPr>
          <w:rFonts w:ascii="黑体" w:eastAsia="黑体"/>
          <w:color w:val="auto"/>
          <w:sz w:val="30"/>
          <w:szCs w:val="30"/>
        </w:rPr>
      </w:pPr>
      <w:r>
        <w:rPr>
          <w:rFonts w:hint="eastAsia" w:ascii="仿宋_GB2312" w:hAnsi="Times New Roman" w:eastAsia="仿宋_GB2312"/>
          <w:color w:val="auto"/>
          <w:sz w:val="30"/>
          <w:szCs w:val="30"/>
        </w:rPr>
        <w:t>1．登记申请材料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c>
          <w:tcPr>
            <w:tcW w:w="534"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96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70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0"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457"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011"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rPr>
          <w:trHeight w:val="1125" w:hRule="atLeast"/>
        </w:trP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rPr>
              <w:t>填写完备并加盖公章的《境内机构境外衍生业务登记申请表》。</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keepNext/>
              <w:keepLines/>
              <w:spacing w:before="340" w:after="330" w:line="578" w:lineRule="auto"/>
              <w:jc w:val="left"/>
              <w:rPr>
                <w:rFonts w:ascii="仿宋_GB2312" w:hAnsi="华文仿宋" w:eastAsia="仿宋_GB2312"/>
                <w:color w:val="auto"/>
                <w:sz w:val="24"/>
                <w:szCs w:val="24"/>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rPr>
              <w:t>中央企业集团内成员公司另需提交中央企业的额度分配文件。</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keepNext/>
              <w:keepLines/>
              <w:spacing w:before="340" w:after="330" w:line="578" w:lineRule="auto"/>
              <w:jc w:val="left"/>
              <w:rPr>
                <w:rFonts w:ascii="仿宋_GB2312" w:hAnsi="华文仿宋" w:eastAsia="仿宋_GB2312"/>
                <w:color w:val="auto"/>
                <w:sz w:val="24"/>
                <w:szCs w:val="24"/>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rPr>
              <w:t>前述材料内容不一致或不能说明交易真实性时，要求提供的补充材料。</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keepNext/>
              <w:keepLines/>
              <w:spacing w:before="340" w:after="330" w:line="578" w:lineRule="auto"/>
              <w:jc w:val="left"/>
              <w:rPr>
                <w:rFonts w:ascii="仿宋_GB2312" w:hAnsi="华文仿宋" w:eastAsia="仿宋_GB2312"/>
                <w:color w:val="auto"/>
                <w:sz w:val="24"/>
                <w:szCs w:val="24"/>
              </w:rPr>
            </w:pPr>
          </w:p>
        </w:tc>
      </w:tr>
    </w:tbl>
    <w:p>
      <w:pPr>
        <w:ind w:firstLine="600" w:firstLineChars="200"/>
        <w:rPr>
          <w:rFonts w:ascii="仿宋_GB2312" w:hAnsi="Times New Roman" w:eastAsia="仿宋_GB2312"/>
          <w:color w:val="auto"/>
          <w:sz w:val="30"/>
          <w:szCs w:val="30"/>
          <w:highlight w:val="yellow"/>
        </w:rPr>
      </w:pPr>
      <w:r>
        <w:rPr>
          <w:rFonts w:hint="eastAsia" w:ascii="仿宋_GB2312" w:hAnsi="Times New Roman" w:eastAsia="仿宋_GB2312"/>
          <w:color w:val="auto"/>
          <w:sz w:val="30"/>
          <w:szCs w:val="30"/>
        </w:rPr>
        <w:t>2．变更登记申请材料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c>
          <w:tcPr>
            <w:tcW w:w="534"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96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70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0"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457"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011"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c>
          <w:tcPr>
            <w:tcW w:w="534" w:type="dxa"/>
            <w:vAlign w:val="center"/>
          </w:tcPr>
          <w:p>
            <w:pPr>
              <w:jc w:val="center"/>
              <w:rPr>
                <w:rFonts w:ascii="仿宋_GB2312" w:hAnsi="华文仿宋" w:eastAsia="仿宋_GB2312"/>
                <w:color w:val="auto"/>
                <w:sz w:val="24"/>
                <w:szCs w:val="24"/>
                <w:highlight w:val="yellow"/>
              </w:rPr>
            </w:pPr>
            <w:r>
              <w:rPr>
                <w:rFonts w:hint="eastAsia" w:ascii="仿宋_GB2312" w:hAnsi="华文仿宋" w:eastAsia="仿宋_GB2312"/>
                <w:color w:val="auto"/>
                <w:sz w:val="24"/>
                <w:szCs w:val="24"/>
              </w:rPr>
              <w:t>1</w:t>
            </w:r>
          </w:p>
        </w:tc>
        <w:tc>
          <w:tcPr>
            <w:tcW w:w="3969" w:type="dxa"/>
            <w:vAlign w:val="center"/>
          </w:tcPr>
          <w:p>
            <w:pPr>
              <w:jc w:val="left"/>
              <w:rPr>
                <w:rFonts w:ascii="仿宋_GB2312" w:hAnsi="华文仿宋" w:eastAsia="仿宋_GB2312"/>
                <w:color w:val="auto"/>
                <w:sz w:val="24"/>
                <w:szCs w:val="24"/>
                <w:highlight w:val="yellow"/>
              </w:rPr>
            </w:pPr>
            <w:r>
              <w:rPr>
                <w:rFonts w:hint="eastAsia" w:ascii="仿宋_GB2312" w:hAnsi="宋体" w:eastAsia="仿宋_GB2312"/>
                <w:color w:val="auto"/>
                <w:sz w:val="24"/>
                <w:szCs w:val="24"/>
              </w:rPr>
              <w:t>原《业务登记凭证》及最新填写的《境内机构境外衍生业务登记申请表》。办理注销登记的，还需提供书面申请材料。</w:t>
            </w:r>
          </w:p>
        </w:tc>
        <w:tc>
          <w:tcPr>
            <w:tcW w:w="992" w:type="dxa"/>
            <w:vAlign w:val="center"/>
          </w:tcPr>
          <w:p>
            <w:pPr>
              <w:jc w:val="left"/>
              <w:rPr>
                <w:rFonts w:ascii="仿宋_GB2312" w:hAnsi="华文仿宋" w:eastAsia="仿宋_GB2312"/>
                <w:color w:val="auto"/>
                <w:sz w:val="24"/>
                <w:szCs w:val="24"/>
                <w:highlight w:val="yellow"/>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highlight w:val="yellow"/>
              </w:rPr>
            </w:pPr>
          </w:p>
        </w:tc>
        <w:tc>
          <w:tcPr>
            <w:tcW w:w="1011" w:type="dxa"/>
            <w:vAlign w:val="center"/>
          </w:tcPr>
          <w:p>
            <w:pPr>
              <w:keepNext/>
              <w:keepLines/>
              <w:spacing w:before="340" w:after="330" w:line="578" w:lineRule="auto"/>
              <w:jc w:val="left"/>
              <w:rPr>
                <w:rFonts w:ascii="仿宋_GB2312" w:hAnsi="华文仿宋" w:eastAsia="仿宋_GB2312"/>
                <w:color w:val="auto"/>
                <w:sz w:val="24"/>
                <w:szCs w:val="24"/>
                <w:highlight w:val="yellow"/>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969" w:type="dxa"/>
            <w:vAlign w:val="center"/>
          </w:tcPr>
          <w:p>
            <w:pPr>
              <w:pStyle w:val="27"/>
              <w:ind w:firstLine="0" w:firstLineChars="0"/>
              <w:jc w:val="left"/>
              <w:rPr>
                <w:rFonts w:ascii="仿宋_GB2312" w:hAnsi="华文仿宋" w:eastAsia="仿宋_GB2312"/>
                <w:color w:val="auto"/>
                <w:sz w:val="24"/>
                <w:szCs w:val="24"/>
              </w:rPr>
            </w:pPr>
            <w:r>
              <w:rPr>
                <w:rFonts w:hint="eastAsia" w:ascii="仿宋_GB2312" w:hAnsi="宋体" w:eastAsia="仿宋_GB2312"/>
                <w:color w:val="auto"/>
                <w:sz w:val="24"/>
                <w:szCs w:val="24"/>
              </w:rPr>
              <w:t>证监</w:t>
            </w:r>
            <w:r>
              <w:rPr>
                <w:rFonts w:hint="eastAsia" w:ascii="仿宋_GB2312" w:hAnsi="宋体" w:eastAsia="仿宋_GB2312"/>
                <w:color w:val="auto"/>
                <w:sz w:val="24"/>
              </w:rPr>
              <w:t>部门（证监会或地方证监局）</w:t>
            </w:r>
            <w:r>
              <w:rPr>
                <w:rFonts w:hint="eastAsia" w:ascii="仿宋_GB2312" w:hAnsi="宋体" w:eastAsia="仿宋_GB2312"/>
                <w:color w:val="auto"/>
                <w:sz w:val="24"/>
                <w:szCs w:val="24"/>
              </w:rPr>
              <w:t>或国资委关于境内机构境外衍生业务变更（注销）的证明性文件或无异议函。</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szCs w:val="24"/>
              </w:rPr>
              <w:t>中央企业集团内成员公司分配的对外付汇额度发生变更的，另需提供中央企业对集团内成员公司额度分配变更的相关证明性文件。</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keepNext/>
              <w:keepLines/>
              <w:spacing w:before="340" w:after="330" w:line="578" w:lineRule="auto"/>
              <w:jc w:val="left"/>
              <w:rPr>
                <w:rFonts w:ascii="仿宋_GB2312" w:hAnsi="华文仿宋" w:eastAsia="仿宋_GB2312"/>
                <w:color w:val="auto"/>
                <w:sz w:val="24"/>
                <w:szCs w:val="24"/>
                <w:highlight w:val="green"/>
              </w:rPr>
            </w:pP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969" w:type="dxa"/>
            <w:vAlign w:val="center"/>
          </w:tcPr>
          <w:p>
            <w:pPr>
              <w:pStyle w:val="27"/>
              <w:ind w:firstLine="0" w:firstLineChars="0"/>
              <w:jc w:val="left"/>
              <w:rPr>
                <w:rFonts w:ascii="仿宋_GB2312" w:hAnsi="华文仿宋" w:eastAsia="仿宋_GB2312"/>
                <w:color w:val="auto"/>
                <w:sz w:val="24"/>
                <w:szCs w:val="24"/>
              </w:rPr>
            </w:pPr>
            <w:r>
              <w:rPr>
                <w:rFonts w:hint="eastAsia" w:ascii="仿宋_GB2312" w:hAnsi="宋体" w:eastAsia="仿宋_GB2312"/>
                <w:color w:val="auto"/>
                <w:sz w:val="24"/>
                <w:szCs w:val="24"/>
              </w:rPr>
              <w:t>前述材料内容不一致或不能说明交易真实性时，要求提供的补充材料。</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原件及加盖公章的复印件</w:t>
            </w:r>
          </w:p>
        </w:tc>
        <w:tc>
          <w:tcPr>
            <w:tcW w:w="70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011" w:type="dxa"/>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ind w:firstLine="600"/>
        <w:jc w:val="left"/>
        <w:rPr>
          <w:rFonts w:ascii="仿宋_GB2312" w:eastAsia="仿宋_GB2312"/>
          <w:color w:val="auto"/>
          <w:sz w:val="30"/>
          <w:szCs w:val="30"/>
        </w:rPr>
      </w:pPr>
      <w:r>
        <w:rPr>
          <w:rFonts w:hint="eastAsia" w:ascii="仿宋_GB2312" w:eastAsia="仿宋_GB2312"/>
          <w:color w:val="auto"/>
          <w:sz w:val="30"/>
          <w:szCs w:val="30"/>
        </w:rPr>
        <w:t>1.申请人提交申请；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rPr>
          <w:rFonts w:ascii="黑体" w:eastAsia="黑体"/>
          <w:color w:val="auto"/>
          <w:sz w:val="30"/>
          <w:szCs w:val="30"/>
        </w:rPr>
      </w:pPr>
      <w:r>
        <w:rPr>
          <w:rFonts w:ascii="仿宋_GB2312" w:eastAsia="仿宋_GB2312"/>
          <w:color w:val="auto"/>
          <w:sz w:val="30"/>
          <w:szCs w:val="30"/>
        </w:rPr>
        <w:br w:type="page"/>
      </w:r>
      <w:r>
        <w:rPr>
          <w:rStyle w:val="37"/>
          <w:rFonts w:hint="eastAsia"/>
          <w:color w:val="auto"/>
        </w:rPr>
        <w:t>（五）、上市公司回购B股股份购汇额度审批</w:t>
      </w:r>
    </w:p>
    <w:p>
      <w:pPr>
        <w:rPr>
          <w:rFonts w:ascii="黑体" w:eastAsia="黑体"/>
          <w:color w:val="auto"/>
          <w:sz w:val="30"/>
          <w:szCs w:val="30"/>
        </w:rPr>
      </w:pPr>
      <w:r>
        <w:rPr>
          <w:rFonts w:hint="eastAsia" w:ascii="黑体" w:eastAsia="黑体"/>
          <w:color w:val="auto"/>
          <w:sz w:val="30"/>
          <w:szCs w:val="30"/>
        </w:rPr>
        <w:t>办理依据</w:t>
      </w:r>
    </w:p>
    <w:p>
      <w:pPr>
        <w:pStyle w:val="27"/>
        <w:ind w:firstLine="600"/>
        <w:rPr>
          <w:rFonts w:ascii="仿宋_GB2312" w:eastAsia="仿宋_GB2312"/>
          <w:color w:val="auto"/>
          <w:sz w:val="30"/>
          <w:szCs w:val="30"/>
        </w:rPr>
      </w:pPr>
      <w:r>
        <w:rPr>
          <w:rFonts w:ascii="仿宋_GB2312" w:eastAsia="仿宋_GB2312"/>
          <w:color w:val="auto"/>
          <w:sz w:val="30"/>
          <w:szCs w:val="30"/>
        </w:rPr>
        <w:t>1.《中华人民共和国外汇管理条例》（国务院令第532号）</w:t>
      </w:r>
      <w:r>
        <w:rPr>
          <w:rFonts w:hint="eastAsia" w:ascii="仿宋_GB2312" w:eastAsia="仿宋_GB2312"/>
          <w:color w:val="auto"/>
          <w:sz w:val="30"/>
          <w:szCs w:val="30"/>
        </w:rPr>
        <w:t>。</w:t>
      </w:r>
    </w:p>
    <w:p>
      <w:pPr>
        <w:pStyle w:val="27"/>
        <w:ind w:firstLine="600"/>
        <w:rPr>
          <w:rFonts w:ascii="仿宋_GB2312" w:eastAsia="仿宋_GB2312"/>
          <w:color w:val="auto"/>
          <w:sz w:val="30"/>
          <w:szCs w:val="30"/>
        </w:rPr>
      </w:pPr>
      <w:r>
        <w:rPr>
          <w:rFonts w:ascii="仿宋_GB2312" w:eastAsia="仿宋_GB2312"/>
          <w:color w:val="auto"/>
          <w:sz w:val="30"/>
          <w:szCs w:val="30"/>
        </w:rPr>
        <w:t>2.《个人外汇管理办法》（中国人民银行令2006年第3号）</w:t>
      </w:r>
      <w:r>
        <w:rPr>
          <w:rFonts w:hint="eastAsia" w:ascii="仿宋_GB2312" w:eastAsia="仿宋_GB2312"/>
          <w:color w:val="auto"/>
          <w:sz w:val="30"/>
          <w:szCs w:val="30"/>
        </w:rPr>
        <w:t>。</w:t>
      </w:r>
    </w:p>
    <w:p>
      <w:pPr>
        <w:pStyle w:val="27"/>
        <w:ind w:firstLine="600"/>
        <w:rPr>
          <w:rFonts w:ascii="仿宋_GB2312" w:eastAsia="仿宋_GB2312"/>
          <w:color w:val="auto"/>
          <w:sz w:val="30"/>
          <w:szCs w:val="30"/>
        </w:rPr>
      </w:pPr>
      <w:r>
        <w:rPr>
          <w:rFonts w:ascii="仿宋_GB2312" w:eastAsia="仿宋_GB2312"/>
          <w:color w:val="auto"/>
          <w:sz w:val="30"/>
          <w:szCs w:val="30"/>
        </w:rPr>
        <w:t>3.《国家外汇管理局关于印发〈个人外汇管理办法实施细则〉的通知》（汇发〔2007〕1号）</w:t>
      </w:r>
      <w:r>
        <w:rPr>
          <w:rFonts w:hint="eastAsia" w:ascii="仿宋_GB2312" w:eastAsia="仿宋_GB2312"/>
          <w:color w:val="auto"/>
          <w:sz w:val="30"/>
          <w:szCs w:val="30"/>
        </w:rPr>
        <w:t>。</w:t>
      </w:r>
    </w:p>
    <w:p>
      <w:pPr>
        <w:pStyle w:val="27"/>
        <w:ind w:firstLine="600"/>
        <w:rPr>
          <w:rFonts w:ascii="仿宋_GB2312" w:eastAsia="仿宋_GB2312"/>
          <w:color w:val="auto"/>
          <w:sz w:val="30"/>
          <w:szCs w:val="30"/>
        </w:rPr>
      </w:pPr>
      <w:r>
        <w:rPr>
          <w:rFonts w:ascii="仿宋_GB2312" w:eastAsia="仿宋_GB2312"/>
          <w:color w:val="auto"/>
          <w:sz w:val="30"/>
          <w:szCs w:val="30"/>
        </w:rPr>
        <w:t>4.《国家外汇管理局关于重庆长安汽车股份有限公司回购B股股份购汇额度等外汇管理事项的批复》（汇复〔2012〕21号）</w:t>
      </w:r>
      <w:r>
        <w:rPr>
          <w:rFonts w:hint="eastAsia" w:ascii="仿宋_GB2312" w:eastAsia="仿宋_GB2312"/>
          <w:color w:val="auto"/>
          <w:sz w:val="30"/>
          <w:szCs w:val="30"/>
        </w:rPr>
        <w:t>。</w:t>
      </w:r>
    </w:p>
    <w:p>
      <w:pPr>
        <w:pStyle w:val="27"/>
        <w:ind w:firstLine="600"/>
        <w:rPr>
          <w:rFonts w:ascii="仿宋_GB2312" w:eastAsia="仿宋_GB2312"/>
          <w:color w:val="auto"/>
          <w:sz w:val="30"/>
          <w:szCs w:val="30"/>
        </w:rPr>
      </w:pPr>
      <w:r>
        <w:rPr>
          <w:rFonts w:hint="eastAsia" w:ascii="仿宋_GB2312" w:eastAsia="仿宋_GB2312"/>
          <w:color w:val="auto"/>
          <w:sz w:val="30"/>
          <w:szCs w:val="30"/>
        </w:rPr>
        <w:t>5.其他相关法规。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firstLineChars="200"/>
        <w:rPr>
          <w:rFonts w:ascii="仿宋_GB2312" w:eastAsia="仿宋_GB2312"/>
          <w:color w:val="auto"/>
          <w:sz w:val="30"/>
          <w:szCs w:val="30"/>
        </w:rPr>
      </w:pPr>
      <w:r>
        <w:rPr>
          <w:rFonts w:ascii="仿宋_GB2312" w:eastAsia="仿宋_GB2312"/>
          <w:color w:val="auto"/>
          <w:sz w:val="30"/>
          <w:szCs w:val="30"/>
        </w:rPr>
        <w:t>上市公司回购事项</w:t>
      </w:r>
      <w:r>
        <w:rPr>
          <w:rFonts w:hint="eastAsia" w:ascii="仿宋_GB2312" w:eastAsia="仿宋_GB2312"/>
          <w:color w:val="auto"/>
          <w:sz w:val="30"/>
          <w:szCs w:val="30"/>
        </w:rPr>
        <w:t>是否</w:t>
      </w:r>
      <w:r>
        <w:rPr>
          <w:rFonts w:ascii="仿宋_GB2312" w:eastAsia="仿宋_GB2312"/>
          <w:color w:val="auto"/>
          <w:sz w:val="30"/>
          <w:szCs w:val="30"/>
        </w:rPr>
        <w:t>已获得董事会和股东大会批准</w:t>
      </w:r>
      <w:r>
        <w:rPr>
          <w:rFonts w:hint="eastAsia" w:ascii="仿宋_GB2312" w:eastAsia="仿宋_GB2312"/>
          <w:color w:val="auto"/>
          <w:sz w:val="30"/>
          <w:szCs w:val="30"/>
        </w:rPr>
        <w:t>。</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457"/>
        <w:gridCol w:w="1153"/>
      </w:tblGrid>
      <w:tr>
        <w:tc>
          <w:tcPr>
            <w:tcW w:w="534"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969"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567"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0"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457"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153" w:type="dxa"/>
            <w:vAlign w:val="center"/>
          </w:tcPr>
          <w:p>
            <w:pPr>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c>
          <w:tcPr>
            <w:tcW w:w="534" w:type="dxa"/>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969" w:type="dxa"/>
            <w:vAlign w:val="center"/>
          </w:tcPr>
          <w:p>
            <w:pPr>
              <w:jc w:val="left"/>
              <w:rPr>
                <w:rFonts w:ascii="仿宋_GB2312" w:hAnsi="华文仿宋" w:eastAsia="仿宋_GB2312"/>
                <w:color w:val="auto"/>
                <w:sz w:val="24"/>
                <w:szCs w:val="24"/>
              </w:rPr>
            </w:pPr>
            <w:r>
              <w:rPr>
                <w:rFonts w:hint="eastAsia" w:ascii="仿宋_GB2312" w:hAnsi="宋体" w:eastAsia="仿宋_GB2312"/>
                <w:color w:val="auto"/>
                <w:sz w:val="24"/>
                <w:szCs w:val="24"/>
              </w:rPr>
              <w:t>书面申请（说明回购的原因、方案，是否已向国家证券监督主管部门报备等情况）</w:t>
            </w:r>
          </w:p>
        </w:tc>
        <w:tc>
          <w:tcPr>
            <w:tcW w:w="992"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67"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vAlign w:val="center"/>
          </w:tcPr>
          <w:p>
            <w:pPr>
              <w:keepNext/>
              <w:keepLines/>
              <w:spacing w:before="340" w:after="330" w:line="578" w:lineRule="auto"/>
              <w:jc w:val="left"/>
              <w:rPr>
                <w:rFonts w:ascii="仿宋_GB2312" w:hAnsi="华文仿宋" w:eastAsia="仿宋_GB2312"/>
                <w:color w:val="auto"/>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工商营业执照（尚未办理“五证合一”的机构，还需提供组织机构代码证）</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经公告的有关回购事项的股东大会决议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经公告的回购报告书</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kern w:val="0"/>
                <w:sz w:val="24"/>
                <w:szCs w:val="24"/>
              </w:rPr>
            </w:pPr>
            <w:r>
              <w:rPr>
                <w:rFonts w:hint="eastAsia" w:ascii="仿宋_GB2312" w:hAnsi="华文仿宋" w:eastAsia="仿宋_GB2312"/>
                <w:color w:val="auto"/>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5</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主管部门的批复文件（若有）</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6</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8" w:lineRule="auto"/>
              <w:jc w:val="left"/>
              <w:rPr>
                <w:rFonts w:ascii="仿宋_GB2312" w:hAnsi="华文仿宋" w:eastAsia="仿宋_GB2312"/>
                <w:color w:val="auto"/>
                <w:sz w:val="24"/>
                <w:szCs w:val="24"/>
              </w:rPr>
            </w:pPr>
          </w:p>
        </w:tc>
        <w:tc>
          <w:tcPr>
            <w:tcW w:w="11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ind w:firstLine="600"/>
        <w:rPr>
          <w:rFonts w:ascii="仿宋_GB2312" w:eastAsia="仿宋_GB2312"/>
          <w:color w:val="auto"/>
          <w:sz w:val="30"/>
          <w:szCs w:val="30"/>
        </w:rPr>
      </w:pPr>
      <w:r>
        <w:rPr>
          <w:rFonts w:hint="eastAsia" w:ascii="仿宋_GB2312" w:eastAsia="仿宋_GB2312"/>
          <w:color w:val="auto"/>
          <w:sz w:val="30"/>
          <w:szCs w:val="30"/>
        </w:rPr>
        <w:t>1.申请人提交申请；</w:t>
      </w:r>
    </w:p>
    <w:p>
      <w:pPr>
        <w:ind w:firstLine="600"/>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rPr>
          <w:rFonts w:ascii="仿宋_GB2312" w:eastAsia="仿宋_GB2312"/>
          <w:color w:val="auto"/>
          <w:sz w:val="30"/>
          <w:szCs w:val="30"/>
        </w:rPr>
      </w:pPr>
      <w:r>
        <w:rPr>
          <w:rFonts w:hint="eastAsia" w:ascii="仿宋_GB2312" w:eastAsia="仿宋_GB2312"/>
          <w:color w:val="auto"/>
          <w:sz w:val="30"/>
          <w:szCs w:val="30"/>
        </w:rPr>
        <w:t xml:space="preserve">3.不予受理的，出具不予受理通知书； </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rPr>
          <w:rFonts w:ascii="黑体" w:eastAsia="黑体"/>
          <w:color w:val="auto"/>
          <w:sz w:val="30"/>
          <w:szCs w:val="30"/>
        </w:rPr>
      </w:pPr>
      <w:r>
        <w:rPr>
          <w:rFonts w:ascii="仿宋_GB2312" w:eastAsia="仿宋_GB2312"/>
          <w:color w:val="auto"/>
          <w:sz w:val="30"/>
          <w:szCs w:val="30"/>
        </w:rPr>
        <w:br w:type="page"/>
      </w:r>
      <w:r>
        <w:rPr>
          <w:rStyle w:val="37"/>
          <w:rFonts w:hint="eastAsia"/>
          <w:color w:val="auto"/>
        </w:rPr>
        <w:t>（六）、银行人民币结构性存款业务外汇登记</w:t>
      </w:r>
    </w:p>
    <w:p>
      <w:pPr>
        <w:rPr>
          <w:rFonts w:ascii="黑体" w:eastAsia="黑体"/>
          <w:color w:val="auto"/>
          <w:sz w:val="30"/>
          <w:szCs w:val="30"/>
        </w:rPr>
      </w:pPr>
      <w:r>
        <w:rPr>
          <w:rFonts w:hint="eastAsia" w:ascii="黑体" w:eastAsia="黑体"/>
          <w:color w:val="auto"/>
          <w:sz w:val="30"/>
          <w:szCs w:val="30"/>
        </w:rPr>
        <w:t>办理依据</w:t>
      </w:r>
    </w:p>
    <w:p>
      <w:pPr>
        <w:pStyle w:val="27"/>
        <w:ind w:firstLine="6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2.其他相关法规。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办理登记的银行已经银监部门批准获得开办衍生品交易业务资格。</w:t>
      </w:r>
    </w:p>
    <w:p>
      <w:pPr>
        <w:rPr>
          <w:rFonts w:ascii="黑体" w:eastAsia="黑体"/>
          <w:color w:val="auto"/>
          <w:sz w:val="30"/>
          <w:szCs w:val="30"/>
        </w:rPr>
      </w:pPr>
      <w:r>
        <w:rPr>
          <w:rFonts w:hint="eastAsia" w:ascii="黑体"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c>
          <w:tcPr>
            <w:tcW w:w="533" w:type="dxa"/>
            <w:vAlign w:val="center"/>
          </w:tcPr>
          <w:p>
            <w:pPr>
              <w:rPr>
                <w:rFonts w:ascii="仿宋_GB2312" w:eastAsia="仿宋_GB2312"/>
                <w:b/>
                <w:color w:val="auto"/>
                <w:sz w:val="24"/>
                <w:szCs w:val="24"/>
              </w:rPr>
            </w:pPr>
            <w:r>
              <w:rPr>
                <w:rFonts w:hint="eastAsia" w:ascii="仿宋_GB2312" w:eastAsia="仿宋_GB2312"/>
                <w:b/>
                <w:color w:val="auto"/>
                <w:sz w:val="24"/>
                <w:szCs w:val="24"/>
              </w:rPr>
              <w:t>序号</w:t>
            </w:r>
          </w:p>
        </w:tc>
        <w:tc>
          <w:tcPr>
            <w:tcW w:w="3968" w:type="dxa"/>
            <w:vAlign w:val="center"/>
          </w:tcPr>
          <w:p>
            <w:pP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vAlign w:val="center"/>
          </w:tcPr>
          <w:p>
            <w:pPr>
              <w:rPr>
                <w:rFonts w:ascii="仿宋_GB2312" w:eastAsia="仿宋_GB2312"/>
                <w:b/>
                <w:color w:val="auto"/>
                <w:sz w:val="24"/>
                <w:szCs w:val="24"/>
              </w:rPr>
            </w:pPr>
            <w:r>
              <w:rPr>
                <w:rFonts w:hint="eastAsia" w:ascii="仿宋_GB2312" w:eastAsia="仿宋_GB2312"/>
                <w:b/>
                <w:color w:val="auto"/>
                <w:sz w:val="24"/>
                <w:szCs w:val="24"/>
              </w:rPr>
              <w:t>原件/复印件</w:t>
            </w:r>
          </w:p>
        </w:tc>
        <w:tc>
          <w:tcPr>
            <w:tcW w:w="457" w:type="dxa"/>
            <w:vAlign w:val="center"/>
          </w:tcPr>
          <w:p>
            <w:pPr>
              <w:rPr>
                <w:rFonts w:ascii="仿宋_GB2312" w:eastAsia="仿宋_GB2312"/>
                <w:b/>
                <w:color w:val="auto"/>
                <w:sz w:val="24"/>
                <w:szCs w:val="24"/>
              </w:rPr>
            </w:pPr>
            <w:r>
              <w:rPr>
                <w:rFonts w:hint="eastAsia" w:ascii="仿宋_GB2312" w:eastAsia="仿宋_GB2312"/>
                <w:b/>
                <w:color w:val="auto"/>
                <w:sz w:val="24"/>
                <w:szCs w:val="24"/>
              </w:rPr>
              <w:t>份数</w:t>
            </w:r>
          </w:p>
        </w:tc>
        <w:tc>
          <w:tcPr>
            <w:tcW w:w="961" w:type="dxa"/>
            <w:vAlign w:val="center"/>
          </w:tcPr>
          <w:p>
            <w:pPr>
              <w:rPr>
                <w:rFonts w:ascii="仿宋_GB2312" w:eastAsia="仿宋_GB2312"/>
                <w:b/>
                <w:color w:val="auto"/>
                <w:sz w:val="24"/>
                <w:szCs w:val="24"/>
              </w:rPr>
            </w:pPr>
            <w:r>
              <w:rPr>
                <w:rFonts w:hint="eastAsia" w:ascii="仿宋_GB2312" w:eastAsia="仿宋_GB2312"/>
                <w:b/>
                <w:color w:val="auto"/>
                <w:sz w:val="24"/>
                <w:szCs w:val="24"/>
              </w:rPr>
              <w:t>纸质/电子</w:t>
            </w:r>
          </w:p>
        </w:tc>
        <w:tc>
          <w:tcPr>
            <w:tcW w:w="457" w:type="dxa"/>
            <w:vAlign w:val="center"/>
          </w:tcPr>
          <w:p>
            <w:pPr>
              <w:rPr>
                <w:rFonts w:ascii="仿宋_GB2312" w:eastAsia="仿宋_GB2312"/>
                <w:b/>
                <w:color w:val="auto"/>
                <w:sz w:val="24"/>
                <w:szCs w:val="24"/>
              </w:rPr>
            </w:pPr>
            <w:r>
              <w:rPr>
                <w:rFonts w:hint="eastAsia" w:ascii="仿宋_GB2312" w:eastAsia="仿宋_GB2312"/>
                <w:b/>
                <w:color w:val="auto"/>
                <w:sz w:val="24"/>
                <w:szCs w:val="24"/>
              </w:rPr>
              <w:t>要求</w:t>
            </w:r>
          </w:p>
        </w:tc>
        <w:tc>
          <w:tcPr>
            <w:tcW w:w="1154" w:type="dxa"/>
            <w:vAlign w:val="center"/>
          </w:tcPr>
          <w:p>
            <w:pP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3968" w:type="dxa"/>
            <w:vAlign w:val="center"/>
          </w:tcPr>
          <w:p>
            <w:pPr>
              <w:rPr>
                <w:rFonts w:ascii="仿宋_GB2312" w:eastAsia="仿宋_GB2312"/>
                <w:color w:val="auto"/>
                <w:sz w:val="24"/>
                <w:szCs w:val="24"/>
              </w:rPr>
            </w:pPr>
            <w:r>
              <w:rPr>
                <w:rFonts w:hint="eastAsia" w:ascii="仿宋_GB2312" w:hAnsi="宋体" w:eastAsia="仿宋_GB2312"/>
                <w:color w:val="auto"/>
                <w:sz w:val="24"/>
                <w:szCs w:val="24"/>
              </w:rPr>
              <w:t>《商业银行人民币结构性存款业务外汇登记申请表》（一式两份）</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原件</w:t>
            </w:r>
          </w:p>
        </w:tc>
        <w:tc>
          <w:tcPr>
            <w:tcW w:w="45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961"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57" w:type="dxa"/>
            <w:vAlign w:val="center"/>
          </w:tcPr>
          <w:p>
            <w:pPr>
              <w:rPr>
                <w:rFonts w:ascii="仿宋_GB2312" w:eastAsia="仿宋_GB2312"/>
                <w:color w:val="auto"/>
                <w:sz w:val="24"/>
                <w:szCs w:val="24"/>
              </w:rPr>
            </w:pPr>
          </w:p>
        </w:tc>
        <w:tc>
          <w:tcPr>
            <w:tcW w:w="1154" w:type="dxa"/>
            <w:vAlign w:val="center"/>
          </w:tcPr>
          <w:p>
            <w:pPr>
              <w:rPr>
                <w:rFonts w:ascii="仿宋_GB2312" w:eastAsia="仿宋_GB2312"/>
                <w:color w:val="auto"/>
                <w:sz w:val="24"/>
                <w:szCs w:val="24"/>
              </w:rPr>
            </w:pPr>
          </w:p>
        </w:tc>
      </w:tr>
      <w:tr>
        <w:tc>
          <w:tcPr>
            <w:tcW w:w="5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银监部门同意其开办衍生产品交易业务的批准文件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kern w:val="0"/>
                <w:sz w:val="24"/>
                <w:szCs w:val="24"/>
              </w:rPr>
              <w:t>验原件，留存加盖公章的复印件</w:t>
            </w:r>
          </w:p>
        </w:tc>
      </w:tr>
      <w:tr>
        <w:tc>
          <w:tcPr>
            <w:tcW w:w="53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3</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前述材料内容不一致或不能说明交易真实性时，要求提供的补充材料</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ind w:firstLine="600"/>
        <w:jc w:val="left"/>
        <w:rPr>
          <w:rFonts w:ascii="仿宋_GB2312" w:eastAsia="仿宋_GB2312"/>
          <w:color w:val="auto"/>
          <w:sz w:val="30"/>
          <w:szCs w:val="30"/>
        </w:rPr>
      </w:pPr>
      <w:r>
        <w:rPr>
          <w:rFonts w:hint="eastAsia" w:ascii="仿宋_GB2312" w:eastAsia="仿宋_GB2312"/>
          <w:color w:val="auto"/>
          <w:sz w:val="30"/>
          <w:szCs w:val="30"/>
        </w:rPr>
        <w:t>1.申请人提交申请；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rFonts w:hint="eastAsia"/>
          <w:color w:val="auto"/>
          <w:sz w:val="32"/>
          <w:szCs w:val="32"/>
        </w:rPr>
      </w:pPr>
    </w:p>
    <w:p>
      <w:pPr>
        <w:pStyle w:val="2"/>
        <w:ind w:firstLine="0" w:firstLineChars="0"/>
        <w:rPr>
          <w:color w:val="auto"/>
          <w:sz w:val="32"/>
          <w:szCs w:val="32"/>
        </w:rPr>
      </w:pPr>
      <w:r>
        <w:rPr>
          <w:rFonts w:hint="eastAsia"/>
          <w:color w:val="auto"/>
          <w:sz w:val="32"/>
          <w:szCs w:val="32"/>
        </w:rPr>
        <w:t>二、境内机构外债、对外或有负债</w:t>
      </w:r>
      <w:bookmarkStart w:id="245" w:name="_GoBack"/>
      <w:bookmarkEnd w:id="245"/>
      <w:r>
        <w:rPr>
          <w:rFonts w:hint="eastAsia"/>
          <w:color w:val="auto"/>
          <w:sz w:val="32"/>
          <w:szCs w:val="32"/>
        </w:rPr>
        <w:t>审批、登记及履约核准</w:t>
      </w:r>
      <w:bookmarkEnd w:id="5"/>
      <w:bookmarkEnd w:id="6"/>
      <w:bookmarkEnd w:id="7"/>
      <w:bookmarkEnd w:id="8"/>
      <w:bookmarkEnd w:id="9"/>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hAnsi="Times New Roman" w:eastAsia="仿宋_GB2312"/>
          <w:color w:val="auto"/>
          <w:sz w:val="30"/>
          <w:szCs w:val="30"/>
        </w:rPr>
      </w:pPr>
      <w:r>
        <w:rPr>
          <w:rFonts w:hint="eastAsia" w:ascii="仿宋_GB2312" w:eastAsia="仿宋_GB2312"/>
          <w:color w:val="auto"/>
          <w:sz w:val="30"/>
          <w:szCs w:val="30"/>
        </w:rPr>
        <w:t>（一）</w:t>
      </w:r>
      <w:r>
        <w:rPr>
          <w:rFonts w:hint="eastAsia" w:ascii="仿宋_GB2312" w:hAnsi="Times New Roman" w:eastAsia="仿宋_GB2312"/>
          <w:color w:val="auto"/>
          <w:sz w:val="30"/>
          <w:szCs w:val="30"/>
        </w:rPr>
        <w:t>《中华人民共和国外汇管理条例》（国务院令第532号）第十八条：“国家对外债实行规模管理。借用外债应当按照国家有关规定办理，并到外汇管理机关办理外债登记”；</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（三）《国务院对确需保留的行政审批项目设定行政许可的决定》（国务院令第412号）附件第471项“境内机构外债、外债转贷款、对外担保履约核准”；</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（四）《国务院对确需保留的行政审批项目设定行政许可的决定》（国务院令第412号）附件第485项“境内外资金融机构短期外债核准”；</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（五）《外债管理暂行办法》（国家发展计划委员会、财政部、国家外汇管理局令第28号）第十六条：“国家对境内中资机构举借短期国际商业贷款实行余额管理，余额由国家外汇管理局核定”。</w:t>
      </w:r>
    </w:p>
    <w:p>
      <w:pPr>
        <w:pStyle w:val="3"/>
        <w:rPr>
          <w:color w:val="auto"/>
        </w:rPr>
      </w:pPr>
      <w:bookmarkStart w:id="20" w:name="_Toc25075"/>
      <w:bookmarkStart w:id="21" w:name="_Toc15380"/>
      <w:bookmarkStart w:id="22" w:name="_Toc28497"/>
      <w:bookmarkStart w:id="23" w:name="_Toc18300"/>
      <w:bookmarkStart w:id="24" w:name="_Toc11302"/>
      <w:r>
        <w:rPr>
          <w:rFonts w:hint="eastAsia"/>
          <w:color w:val="auto"/>
        </w:rPr>
        <w:t>（一）、境内机构短期外债余额指标核准</w:t>
      </w:r>
      <w:bookmarkEnd w:id="20"/>
      <w:bookmarkEnd w:id="21"/>
      <w:bookmarkEnd w:id="22"/>
      <w:bookmarkEnd w:id="23"/>
      <w:bookmarkEnd w:id="24"/>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2.《境内机构借用国际商业贷款管理办法》（〔97〕汇政发字06号）。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3.《境内外资银行外债管理办法》（国家发展和改革委员会 中国人民银行 中国银行业监督管理委员会令2004年第9号）。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4.《国家外汇管理局关于发布〈外债登记管理办法〉的通知》（汇发〔2013〕19号）。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5.《国家外汇管理局关于核定2015年度境内机构短期外债余额指标有关问题的通知》（汇发〔2015〕14号）。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6.《中国人民银行关于全口径跨境融资宏观审慎管理有关事宜的通知》（银发〔2017〕9号）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7.其他相关法规。</w:t>
      </w:r>
    </w:p>
    <w:p>
      <w:pPr>
        <w:ind w:right="-58"/>
        <w:rPr>
          <w:rFonts w:ascii="黑体" w:hAnsi="Times New Roman" w:eastAsia="黑体"/>
          <w:color w:val="auto"/>
          <w:sz w:val="30"/>
          <w:szCs w:val="30"/>
        </w:rPr>
      </w:pPr>
      <w:r>
        <w:rPr>
          <w:rFonts w:hint="eastAsia" w:ascii="黑体" w:hAnsi="Times New Roman" w:eastAsia="黑体"/>
          <w:color w:val="auto"/>
          <w:sz w:val="30"/>
          <w:szCs w:val="30"/>
        </w:rPr>
        <w:t>办事条件</w:t>
      </w:r>
    </w:p>
    <w:p>
      <w:pPr>
        <w:ind w:right="-58" w:firstLine="600"/>
        <w:rPr>
          <w:rFonts w:ascii="仿宋_GB2312" w:eastAsia="仿宋_GB2312"/>
          <w:color w:val="auto"/>
          <w:sz w:val="30"/>
          <w:szCs w:val="30"/>
        </w:rPr>
      </w:pPr>
      <w:r>
        <w:rPr>
          <w:rFonts w:hint="eastAsia" w:ascii="仿宋_GB2312" w:eastAsia="仿宋_GB2312"/>
          <w:color w:val="auto"/>
          <w:sz w:val="30"/>
          <w:szCs w:val="30"/>
        </w:rPr>
        <w:t>1.短期外债使用无不良记录。</w:t>
      </w:r>
    </w:p>
    <w:p>
      <w:pPr>
        <w:ind w:right="-58" w:firstLine="600"/>
        <w:rPr>
          <w:rFonts w:ascii="仿宋_GB2312" w:eastAsia="仿宋_GB2312"/>
          <w:color w:val="auto"/>
          <w:sz w:val="30"/>
          <w:szCs w:val="30"/>
        </w:rPr>
      </w:pPr>
      <w:r>
        <w:rPr>
          <w:rFonts w:hint="eastAsia" w:ascii="仿宋_GB2312" w:eastAsia="仿宋_GB2312"/>
          <w:color w:val="auto"/>
          <w:sz w:val="30"/>
          <w:szCs w:val="30"/>
        </w:rPr>
        <w:t>2.外汇局</w:t>
      </w:r>
      <w:r>
        <w:rPr>
          <w:rFonts w:ascii="仿宋_GB2312" w:eastAsia="仿宋_GB2312"/>
          <w:color w:val="auto"/>
          <w:sz w:val="30"/>
          <w:szCs w:val="30"/>
        </w:rPr>
        <w:t>根据中、外资银行对外汇资金的实际合理需求，</w:t>
      </w:r>
      <w:r>
        <w:rPr>
          <w:rFonts w:hint="eastAsia" w:ascii="仿宋_GB2312" w:eastAsia="仿宋_GB2312"/>
          <w:color w:val="auto"/>
          <w:sz w:val="30"/>
          <w:szCs w:val="30"/>
        </w:rPr>
        <w:t>根据公平原则，</w:t>
      </w:r>
      <w:r>
        <w:rPr>
          <w:rFonts w:ascii="仿宋_GB2312" w:eastAsia="仿宋_GB2312"/>
          <w:color w:val="auto"/>
          <w:sz w:val="30"/>
          <w:szCs w:val="30"/>
        </w:rPr>
        <w:t>参考上年度指标使用情况、同规模银行一般水平和当年度短期外债余额调控目标等因素为银行核定短期外债指标。</w:t>
      </w:r>
    </w:p>
    <w:p>
      <w:pPr>
        <w:ind w:right="-58"/>
        <w:rPr>
          <w:rFonts w:ascii="仿宋_GB2312" w:hAnsi="Times New Roman" w:eastAsia="仿宋_GB2312"/>
          <w:color w:val="auto"/>
          <w:sz w:val="30"/>
          <w:szCs w:val="30"/>
        </w:rPr>
      </w:pPr>
      <w:r>
        <w:rPr>
          <w:rFonts w:hint="eastAsia" w:ascii="黑体" w:hAnsi="Times New Roman"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425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7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申请书（包括机构基本情况、上年度业务经营和资产负债状况、上年度指标使用情况、本年度融资需求和资金用途等）</w:t>
            </w:r>
          </w:p>
        </w:tc>
        <w:tc>
          <w:tcPr>
            <w:tcW w:w="992"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p>
        </w:tc>
      </w:tr>
      <w:tr>
        <w:trPr>
          <w:trHeight w:val="378" w:hRule="atLeast"/>
        </w:trP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上年度资产负债表和损益表</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流动性需要或资金用途有关的证明材料</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4</w:t>
            </w:r>
          </w:p>
        </w:tc>
        <w:tc>
          <w:tcPr>
            <w:tcW w:w="4254" w:type="dxa"/>
            <w:vAlign w:val="center"/>
          </w:tcPr>
          <w:p>
            <w:pPr>
              <w:widowControl/>
              <w:adjustRightInd w:val="0"/>
              <w:snapToGrid w:val="0"/>
              <w:jc w:val="left"/>
              <w:rPr>
                <w:rFonts w:ascii="仿宋_GB2312" w:eastAsia="仿宋_GB2312"/>
                <w:color w:val="auto"/>
                <w:sz w:val="24"/>
                <w:szCs w:val="24"/>
              </w:rPr>
            </w:pPr>
            <w:r>
              <w:rPr>
                <w:rFonts w:hint="eastAsia" w:ascii="仿宋_GB2312" w:eastAsia="仿宋_GB2312"/>
                <w:color w:val="auto"/>
                <w:sz w:val="24"/>
                <w:szCs w:val="24"/>
              </w:rPr>
              <w:t>外资金融机构的境内非法人分支机构还应提供：</w:t>
            </w:r>
          </w:p>
          <w:p>
            <w:pPr>
              <w:widowControl/>
              <w:adjustRightInd w:val="0"/>
              <w:snapToGrid w:val="0"/>
              <w:jc w:val="left"/>
              <w:rPr>
                <w:rFonts w:ascii="仿宋_GB2312" w:eastAsia="仿宋_GB2312"/>
                <w:color w:val="auto"/>
                <w:sz w:val="24"/>
                <w:szCs w:val="24"/>
              </w:rPr>
            </w:pPr>
            <w:r>
              <w:rPr>
                <w:rFonts w:hint="eastAsia" w:ascii="仿宋_GB2312" w:eastAsia="仿宋_GB2312"/>
                <w:color w:val="auto"/>
                <w:sz w:val="24"/>
                <w:szCs w:val="24"/>
              </w:rPr>
              <w:t>（1）境外总行或地区管理部门批准的对中国境内债务人的年度授信限额文件；</w:t>
            </w:r>
          </w:p>
          <w:p>
            <w:pPr>
              <w:jc w:val="left"/>
              <w:rPr>
                <w:rFonts w:ascii="仿宋_GB2312" w:eastAsia="仿宋_GB2312"/>
                <w:color w:val="auto"/>
                <w:sz w:val="24"/>
                <w:szCs w:val="24"/>
              </w:rPr>
            </w:pPr>
            <w:r>
              <w:rPr>
                <w:rFonts w:hint="eastAsia" w:ascii="仿宋_GB2312" w:eastAsia="仿宋_GB2312"/>
                <w:color w:val="auto"/>
                <w:sz w:val="24"/>
                <w:szCs w:val="24"/>
              </w:rPr>
              <w:t>（2）“短期外债管理行”还应提供其境外总行授权文件，并附各成员行提出的短期外债指标需求计划和有关财务报表（有人民币业务的还须单独提供外汇财务报表）</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5</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针对前述材料应当提供的补充说明</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25" w:name="_Toc23040"/>
      <w:bookmarkStart w:id="26" w:name="_Toc11644"/>
      <w:bookmarkStart w:id="27" w:name="_Toc9561"/>
      <w:bookmarkStart w:id="28" w:name="_Toc7047"/>
      <w:bookmarkStart w:id="29" w:name="_Toc19601"/>
      <w:r>
        <w:rPr>
          <w:rFonts w:hint="eastAsia" w:ascii="仿宋_GB2312" w:eastAsia="仿宋_GB2312"/>
          <w:color w:val="auto"/>
          <w:sz w:val="30"/>
          <w:szCs w:val="30"/>
        </w:rPr>
        <w:t>3.不予受理的，出具不予受理通知书；</w:t>
      </w:r>
      <w:bookmarkEnd w:id="25"/>
      <w:bookmarkEnd w:id="26"/>
      <w:bookmarkEnd w:id="27"/>
      <w:bookmarkEnd w:id="28"/>
      <w:bookmarkEnd w:id="29"/>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58"/>
        <w:rPr>
          <w:rFonts w:ascii="仿宋_GB2312" w:eastAsia="仿宋_GB2312"/>
          <w:color w:val="auto"/>
          <w:sz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widowControl/>
        <w:jc w:val="left"/>
        <w:rPr>
          <w:rFonts w:ascii="仿宋_GB2312" w:hAnsi="ˎ̥" w:eastAsia="仿宋_GB2312" w:cs="宋体"/>
          <w:color w:val="auto"/>
          <w:kern w:val="0"/>
          <w:sz w:val="30"/>
          <w:szCs w:val="30"/>
        </w:rPr>
      </w:pPr>
      <w:r>
        <w:rPr>
          <w:rFonts w:ascii="仿宋_GB2312" w:eastAsia="仿宋_GB2312"/>
          <w:color w:val="auto"/>
          <w:sz w:val="30"/>
          <w:szCs w:val="30"/>
        </w:rPr>
        <w:br w:type="page"/>
      </w:r>
    </w:p>
    <w:p>
      <w:pPr>
        <w:pStyle w:val="3"/>
        <w:rPr>
          <w:color w:val="auto"/>
        </w:rPr>
      </w:pPr>
      <w:bookmarkStart w:id="30" w:name="_Toc29645"/>
      <w:bookmarkStart w:id="31" w:name="_Toc10702"/>
      <w:bookmarkStart w:id="32" w:name="_Toc1894"/>
      <w:bookmarkStart w:id="33" w:name="_Toc18083"/>
      <w:bookmarkStart w:id="34" w:name="_Toc1916"/>
      <w:r>
        <w:rPr>
          <w:rFonts w:hint="eastAsia"/>
          <w:color w:val="auto"/>
        </w:rPr>
        <w:t>（二）、非银行债务人外债登记</w:t>
      </w:r>
      <w:bookmarkEnd w:id="30"/>
      <w:bookmarkEnd w:id="31"/>
      <w:bookmarkEnd w:id="32"/>
      <w:bookmarkEnd w:id="33"/>
      <w:bookmarkEnd w:id="34"/>
    </w:p>
    <w:p>
      <w:pPr>
        <w:rPr>
          <w:rFonts w:ascii="黑体" w:eastAsia="黑体"/>
          <w:color w:val="auto"/>
          <w:sz w:val="30"/>
          <w:szCs w:val="30"/>
        </w:rPr>
      </w:pPr>
      <w:r>
        <w:rPr>
          <w:rFonts w:hint="eastAsia" w:ascii="黑体" w:eastAsia="黑体"/>
          <w:color w:val="auto"/>
          <w:sz w:val="30"/>
          <w:szCs w:val="30"/>
        </w:rPr>
        <w:t>办理依据</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2.《外债统计监测暂行规定》（1987年公布）。</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3.《国家外汇管理局关于发布〈外债登记管理办法〉的通知》（汇发〔2013〕19号）。</w:t>
      </w:r>
    </w:p>
    <w:p>
      <w:pPr>
        <w:ind w:firstLine="585"/>
        <w:rPr>
          <w:rFonts w:ascii="仿宋_GB2312" w:hAnsi="Times New Roman"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《国家外汇管理局关于进一步改进和调整资本项目外汇管理政策的通知》（汇发〔2014〕2号）。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5.《国家外汇管理局关于废止和修改涉及注册资本登记制度改革相关规范性文件的通知》（汇发〔2015〕20号）。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6.《中国人民银行关于全口径跨境融资宏观审慎管理有关事宜的通知》（银发〔2017〕9号）。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7.其他相关法规。</w:t>
      </w:r>
    </w:p>
    <w:p>
      <w:pPr>
        <w:rPr>
          <w:rFonts w:ascii="黑体" w:hAnsi="Times New Roman" w:eastAsia="黑体"/>
          <w:color w:val="auto"/>
          <w:sz w:val="30"/>
          <w:szCs w:val="30"/>
        </w:rPr>
      </w:pPr>
      <w:r>
        <w:rPr>
          <w:rFonts w:hint="eastAsia" w:ascii="黑体" w:hAnsi="Times New Roman" w:eastAsia="黑体"/>
          <w:color w:val="auto"/>
          <w:sz w:val="30"/>
          <w:szCs w:val="30"/>
        </w:rPr>
        <w:t>办事条件</w:t>
      </w:r>
    </w:p>
    <w:p>
      <w:pPr>
        <w:ind w:firstLine="600"/>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申请人条件</w:t>
      </w:r>
    </w:p>
    <w:p>
      <w:pPr>
        <w:ind w:firstLine="600"/>
        <w:rPr>
          <w:rFonts w:ascii="仿宋_GB2312" w:eastAsia="仿宋_GB2312"/>
          <w:color w:val="auto"/>
          <w:sz w:val="30"/>
          <w:szCs w:val="30"/>
        </w:rPr>
      </w:pPr>
      <w:r>
        <w:rPr>
          <w:rFonts w:hint="eastAsia" w:ascii="仿宋_GB2312" w:eastAsia="仿宋_GB2312"/>
          <w:color w:val="auto"/>
          <w:sz w:val="30"/>
          <w:szCs w:val="30"/>
        </w:rPr>
        <w:t>（1）新办登记。申请人为按照规定可以举借外债的财政部门、银行以外的其他境内债务人（以下简称“非银行债务人”）。非银行债务人应当在外债合同签约后15个工作日内，到所在地国家外汇管理局分支局办理外债签约登记手续。非银行债务人融资租赁、售后融资性回租和发行境外债券等，也应办理外债签约登记手续。</w:t>
      </w:r>
    </w:p>
    <w:p>
      <w:pPr>
        <w:ind w:firstLine="600"/>
        <w:rPr>
          <w:rFonts w:ascii="仿宋_GB2312" w:eastAsia="仿宋_GB2312"/>
          <w:color w:val="auto"/>
          <w:sz w:val="30"/>
          <w:szCs w:val="30"/>
        </w:rPr>
      </w:pPr>
      <w:r>
        <w:rPr>
          <w:rFonts w:hint="eastAsia" w:ascii="仿宋_GB2312" w:eastAsia="仿宋_GB2312"/>
          <w:color w:val="auto"/>
          <w:sz w:val="30"/>
          <w:szCs w:val="30"/>
        </w:rPr>
        <w:t>（2）变更登记。已办理签约登记的外债合同主要条款发生变化，如期限（展期等）、金额、债权人等，非银行债务人应办理外债签约变更登记。</w:t>
      </w:r>
    </w:p>
    <w:p>
      <w:pPr>
        <w:ind w:firstLine="600"/>
        <w:rPr>
          <w:rFonts w:ascii="仿宋_GB2312" w:eastAsia="仿宋_GB2312"/>
          <w:color w:val="auto"/>
          <w:sz w:val="30"/>
          <w:szCs w:val="30"/>
        </w:rPr>
      </w:pPr>
      <w:r>
        <w:rPr>
          <w:rFonts w:hint="eastAsia" w:ascii="仿宋_GB2312" w:eastAsia="仿宋_GB2312"/>
          <w:color w:val="auto"/>
          <w:sz w:val="30"/>
          <w:szCs w:val="30"/>
        </w:rPr>
        <w:t>2.以下情形，不予办理外债签约登记：</w:t>
      </w:r>
    </w:p>
    <w:p>
      <w:pPr>
        <w:ind w:firstLine="600"/>
        <w:rPr>
          <w:rFonts w:ascii="仿宋_GB2312" w:eastAsia="仿宋_GB2312"/>
          <w:color w:val="auto"/>
          <w:sz w:val="30"/>
          <w:szCs w:val="30"/>
        </w:rPr>
      </w:pPr>
      <w:r>
        <w:rPr>
          <w:rFonts w:hint="eastAsia" w:ascii="仿宋_GB2312" w:eastAsia="仿宋_GB2312"/>
          <w:color w:val="auto"/>
          <w:sz w:val="30"/>
          <w:szCs w:val="30"/>
        </w:rPr>
        <w:t>（1）</w:t>
      </w:r>
      <w:r>
        <w:rPr>
          <w:rFonts w:ascii="仿宋_GB2312" w:eastAsia="仿宋_GB2312"/>
          <w:color w:val="auto"/>
          <w:sz w:val="30"/>
          <w:szCs w:val="30"/>
        </w:rPr>
        <w:t>2007年6月</w:t>
      </w:r>
      <w:r>
        <w:rPr>
          <w:rFonts w:hint="eastAsia" w:ascii="仿宋_GB2312" w:eastAsia="仿宋_GB2312"/>
          <w:color w:val="auto"/>
          <w:sz w:val="30"/>
          <w:szCs w:val="30"/>
        </w:rPr>
        <w:t>1日以后（含）取得商务主管部门批准证书且通过商务部备案的外商投资房地产企业；</w:t>
      </w:r>
    </w:p>
    <w:p>
      <w:pPr>
        <w:numPr>
          <w:ilvl w:val="0"/>
          <w:numId w:val="1"/>
        </w:numPr>
        <w:ind w:firstLine="600"/>
        <w:rPr>
          <w:rFonts w:ascii="仿宋_GB2312" w:eastAsia="仿宋_GB2312"/>
          <w:color w:val="auto"/>
          <w:sz w:val="30"/>
          <w:szCs w:val="30"/>
        </w:rPr>
      </w:pPr>
      <w:r>
        <w:rPr>
          <w:rFonts w:hint="eastAsia" w:ascii="仿宋_GB2312" w:eastAsia="仿宋_GB2312"/>
          <w:color w:val="auto"/>
          <w:sz w:val="30"/>
          <w:szCs w:val="30"/>
        </w:rPr>
        <w:t>外商投资房地产企业未取得《国有土地使用证》的，或开发项目资本金未达到项目投资总额35％的。</w:t>
      </w:r>
    </w:p>
    <w:p>
      <w:pPr>
        <w:numPr>
          <w:ilvl w:val="0"/>
          <w:numId w:val="1"/>
        </w:numPr>
        <w:ind w:firstLine="600"/>
        <w:rPr>
          <w:rFonts w:ascii="仿宋_GB2312" w:eastAsia="仿宋_GB2312"/>
          <w:color w:val="auto"/>
          <w:sz w:val="30"/>
          <w:szCs w:val="30"/>
        </w:rPr>
      </w:pPr>
      <w:r>
        <w:rPr>
          <w:rFonts w:hint="eastAsia" w:ascii="仿宋_GB2312" w:eastAsia="仿宋_GB2312"/>
          <w:color w:val="auto"/>
          <w:sz w:val="30"/>
          <w:szCs w:val="30"/>
        </w:rPr>
        <w:t>属于地方政府融资平台性质的公司与房地产企业，不适用于宏观审慎管理模式。</w:t>
      </w:r>
    </w:p>
    <w:p>
      <w:pPr>
        <w:rPr>
          <w:rFonts w:ascii="仿宋_GB2312" w:eastAsia="仿宋_GB2312"/>
          <w:color w:val="auto"/>
          <w:sz w:val="30"/>
          <w:szCs w:val="30"/>
        </w:rPr>
      </w:pPr>
      <w:r>
        <w:rPr>
          <w:rFonts w:hint="eastAsia" w:ascii="仿宋_GB2312" w:eastAsia="仿宋_GB2312"/>
          <w:color w:val="auto"/>
          <w:sz w:val="30"/>
          <w:szCs w:val="30"/>
        </w:rPr>
        <w:t xml:space="preserve">    3.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rPr>
          <w:rFonts w:ascii="仿宋_GB2312" w:eastAsia="仿宋_GB2312"/>
          <w:color w:val="auto"/>
          <w:sz w:val="30"/>
          <w:szCs w:val="30"/>
        </w:rPr>
      </w:pPr>
      <w:r>
        <w:rPr>
          <w:rFonts w:hint="eastAsia" w:ascii="仿宋_GB2312" w:eastAsia="仿宋_GB2312"/>
          <w:color w:val="auto"/>
          <w:sz w:val="30"/>
          <w:szCs w:val="30"/>
        </w:rPr>
        <w:t xml:space="preserve">    4.外商投资性公司境内再投资企业借用外债比照外商投资企业进行管理。</w:t>
      </w:r>
    </w:p>
    <w:p>
      <w:pPr>
        <w:rPr>
          <w:rFonts w:ascii="仿宋_GB2312" w:eastAsia="仿宋_GB2312"/>
          <w:color w:val="auto"/>
          <w:sz w:val="30"/>
          <w:szCs w:val="30"/>
        </w:rPr>
      </w:pPr>
      <w:r>
        <w:rPr>
          <w:rFonts w:hint="eastAsia" w:ascii="仿宋_GB2312" w:eastAsia="仿宋_GB2312"/>
          <w:color w:val="auto"/>
          <w:sz w:val="30"/>
          <w:szCs w:val="30"/>
        </w:rPr>
        <w:t xml:space="preserve">    5.非银行债务人在宏观审慎管理政策发布实施前符合外债管理规定借用的外债，在宏观审慎管理政策发布实施后，其跨境融资风险加权余额超出上限的，不得新借外债，直到跨境融资风险加权余额调整至规定上限以内。因跨境融资风险加权余额计算公式的相关系数调整或非银行债务人自身财务和经营状况的调整，导致非银行债务人跨境融资风险加权余额提高或上限降低的，原有跨境融资合约可持有到期；在跨境融资风险加权余额调整到上限内之前，不得办理新的跨境融资业务。</w:t>
      </w:r>
    </w:p>
    <w:p>
      <w:pPr>
        <w:rPr>
          <w:rFonts w:ascii="仿宋_GB2312" w:eastAsia="仿宋_GB2312"/>
          <w:color w:val="auto"/>
          <w:sz w:val="30"/>
          <w:szCs w:val="30"/>
        </w:rPr>
      </w:pPr>
      <w:r>
        <w:rPr>
          <w:rFonts w:hint="eastAsia" w:ascii="仿宋_GB2312" w:eastAsia="仿宋_GB2312"/>
          <w:color w:val="auto"/>
          <w:sz w:val="30"/>
          <w:szCs w:val="30"/>
        </w:rPr>
        <w:t xml:space="preserve">    6.企业和金融机构的跨境融资签约币种、提款币种和偿还币种须保持一致。</w:t>
      </w:r>
    </w:p>
    <w:p>
      <w:pPr>
        <w:rPr>
          <w:rFonts w:ascii="仿宋_GB2312" w:eastAsia="仿宋_GB2312"/>
          <w:color w:val="auto"/>
          <w:sz w:val="30"/>
          <w:szCs w:val="30"/>
        </w:rPr>
      </w:pPr>
      <w:r>
        <w:rPr>
          <w:rFonts w:hint="eastAsia" w:ascii="仿宋_GB2312" w:eastAsia="仿宋_GB2312"/>
          <w:color w:val="auto"/>
          <w:sz w:val="30"/>
          <w:szCs w:val="30"/>
        </w:rPr>
        <w:t xml:space="preserve">    7.不具备吸存放贷业务资格的非存款类金融机构外债资金经外汇局批准可结汇使用，用于服务实体经济发展，并符合国家产业宏观调控方向。非银行金融机构外债还本付息购汇须经所在地外汇局核准。</w:t>
      </w:r>
    </w:p>
    <w:p>
      <w:pPr>
        <w:rPr>
          <w:rFonts w:ascii="仿宋_GB2312" w:eastAsia="仿宋_GB2312"/>
          <w:color w:val="auto"/>
          <w:sz w:val="30"/>
          <w:szCs w:val="30"/>
        </w:rPr>
      </w:pPr>
      <w:r>
        <w:rPr>
          <w:rFonts w:hint="eastAsia" w:ascii="仿宋_GB2312" w:eastAsia="仿宋_GB2312"/>
          <w:color w:val="auto"/>
          <w:sz w:val="30"/>
          <w:szCs w:val="30"/>
        </w:rPr>
        <w:t xml:space="preserve">    8.非银行债务人签订借款合同后未按规定及时办理外债签约登记的，须按以下规定补办理外债签约登记：</w:t>
      </w:r>
    </w:p>
    <w:p>
      <w:pPr>
        <w:rPr>
          <w:rFonts w:ascii="仿宋_GB2312" w:eastAsia="仿宋_GB2312"/>
          <w:color w:val="auto"/>
          <w:sz w:val="30"/>
          <w:szCs w:val="30"/>
        </w:rPr>
      </w:pPr>
      <w:r>
        <w:rPr>
          <w:rFonts w:hint="eastAsia" w:ascii="仿宋_GB2312" w:eastAsia="仿宋_GB2312"/>
          <w:color w:val="auto"/>
          <w:sz w:val="30"/>
          <w:szCs w:val="30"/>
        </w:rPr>
        <w:t xml:space="preserve">    （1）非银行债务人外债合同签约后15个工作日内没有及时办理签约备案（登记），但截至非银行债务人申请日尚未发生外债首次提款的，如能说明合理原因，外汇局可按正常程序为其办理签约登记手续；不能说明合理原因的，外汇局可按未及时办理外债签约登记进行处理。</w:t>
      </w:r>
    </w:p>
    <w:p>
      <w:pPr>
        <w:rPr>
          <w:rFonts w:ascii="仿宋_GB2312" w:eastAsia="仿宋_GB2312"/>
          <w:color w:val="auto"/>
          <w:sz w:val="30"/>
          <w:szCs w:val="30"/>
        </w:rPr>
      </w:pPr>
      <w:r>
        <w:rPr>
          <w:rFonts w:hint="eastAsia" w:ascii="仿宋_GB2312" w:eastAsia="仿宋_GB2312"/>
          <w:color w:val="auto"/>
          <w:sz w:val="30"/>
          <w:szCs w:val="30"/>
        </w:rPr>
        <w:t xml:space="preserve">    （2）非银行债务人补办理外债登记时，已发生外债提款的（境内机构境外发债的除外），除按照本操作指引的一般要求提交相关资料外，还需提交能够证明其已发生对外负债的相关材料，补登记金额仅限于经核实已入账尚未偿还的债务余额。</w:t>
      </w:r>
    </w:p>
    <w:p>
      <w:pPr>
        <w:rPr>
          <w:rFonts w:ascii="仿宋_GB2312" w:eastAsia="仿宋_GB2312"/>
          <w:color w:val="auto"/>
          <w:sz w:val="30"/>
          <w:szCs w:val="30"/>
        </w:rPr>
      </w:pPr>
      <w:r>
        <w:rPr>
          <w:rFonts w:hint="eastAsia" w:ascii="仿宋_GB2312" w:eastAsia="仿宋_GB2312"/>
          <w:color w:val="auto"/>
          <w:sz w:val="30"/>
          <w:szCs w:val="30"/>
        </w:rPr>
        <w:t xml:space="preserve">    （3）外债登记部门认为存在违规情形且需要进行处理的，应移交外汇检查部门后再补办理外债登记手续。</w:t>
      </w:r>
    </w:p>
    <w:p>
      <w:pPr>
        <w:rPr>
          <w:rFonts w:ascii="仿宋_GB2312" w:eastAsia="仿宋_GB2312"/>
          <w:color w:val="auto"/>
          <w:sz w:val="30"/>
          <w:szCs w:val="30"/>
        </w:rPr>
      </w:pPr>
      <w:r>
        <w:rPr>
          <w:rFonts w:hint="eastAsia" w:ascii="仿宋_GB2312" w:eastAsia="仿宋_GB2312"/>
          <w:color w:val="auto"/>
          <w:sz w:val="30"/>
          <w:szCs w:val="30"/>
        </w:rPr>
        <w:t xml:space="preserve">    9.非银行债务人购汇偿还外债，除另有规定外，应遵循实需原则。</w:t>
      </w:r>
    </w:p>
    <w:p>
      <w:pPr>
        <w:rPr>
          <w:rFonts w:ascii="仿宋_GB2312" w:eastAsia="仿宋_GB2312"/>
          <w:color w:val="auto"/>
          <w:sz w:val="30"/>
          <w:szCs w:val="30"/>
        </w:rPr>
      </w:pPr>
      <w:r>
        <w:rPr>
          <w:rFonts w:hint="eastAsia" w:ascii="仿宋_GB2312" w:eastAsia="仿宋_GB2312"/>
          <w:color w:val="auto"/>
          <w:sz w:val="30"/>
          <w:szCs w:val="30"/>
        </w:rPr>
        <w:t xml:space="preserve">    10.除另有规定外，对外货物或服务贸易中产生的预收款和应付款，以及除外债之外其他金融资产交易产生的对外应付款及相关息费等，不纳入外债规模管理，无需按照本操作指引办理外债登记。境内付款方应当按照与基础交易相关的外汇管理规定办理对价及附属费用的对外支付。</w:t>
      </w:r>
    </w:p>
    <w:p>
      <w:pPr>
        <w:rPr>
          <w:rFonts w:ascii="仿宋_GB2312" w:eastAsia="仿宋_GB2312"/>
          <w:color w:val="auto"/>
          <w:sz w:val="30"/>
          <w:szCs w:val="30"/>
        </w:rPr>
      </w:pPr>
      <w:r>
        <w:rPr>
          <w:rFonts w:hint="eastAsia" w:ascii="仿宋_GB2312" w:eastAsia="仿宋_GB2312"/>
          <w:color w:val="auto"/>
          <w:sz w:val="30"/>
          <w:szCs w:val="30"/>
        </w:rPr>
        <w:t xml:space="preserve">    11.对于境内非银行债务人向离岸银行借用的离岸贷款，继续视同外债管理，占用境内借款人的跨境融资风险加权余额上限或外商投资企业的“投注差”。</w:t>
      </w:r>
    </w:p>
    <w:p>
      <w:pPr>
        <w:rPr>
          <w:rFonts w:ascii="仿宋_GB2312" w:eastAsia="仿宋_GB2312"/>
          <w:color w:val="auto"/>
          <w:sz w:val="30"/>
          <w:szCs w:val="30"/>
        </w:rPr>
      </w:pPr>
      <w:r>
        <w:rPr>
          <w:rFonts w:hint="eastAsia" w:ascii="仿宋_GB2312" w:eastAsia="仿宋_GB2312"/>
          <w:color w:val="auto"/>
          <w:sz w:val="30"/>
          <w:szCs w:val="30"/>
        </w:rPr>
        <w:t xml:space="preserve">    12.非银行金融机构借用外债，所涉外债登记及数据报送等事项，比照企业办理。对于数据报送量大的非银行金融机构（如财务公司），可在向所在地外汇局备案后，通过数据接口方式报送外债数据。</w:t>
      </w:r>
    </w:p>
    <w:p>
      <w:pPr>
        <w:rPr>
          <w:rFonts w:ascii="仿宋_GB2312" w:eastAsia="仿宋_GB2312"/>
          <w:color w:val="auto"/>
          <w:sz w:val="30"/>
          <w:szCs w:val="30"/>
        </w:rPr>
      </w:pPr>
      <w:r>
        <w:rPr>
          <w:rFonts w:hint="eastAsia" w:ascii="仿宋_GB2312" w:eastAsia="仿宋_GB2312"/>
          <w:color w:val="auto"/>
          <w:sz w:val="30"/>
          <w:szCs w:val="30"/>
        </w:rPr>
        <w:t xml:space="preserve">    13.非银行债务人借用外债或对外发行债券的，原则上应将所涉资金调回境内使用，经外汇局批准存放境外的除外。境内非银行机构境外发债募集资金境外使用，应符合现行外汇管理及相关法律法规要求。经外汇局批准存放境外的，境内债务人应按照现行规定到所在地外汇局办理逐笔非资金划转类提款备案。</w:t>
      </w:r>
    </w:p>
    <w:p>
      <w:pPr>
        <w:rPr>
          <w:rFonts w:ascii="仿宋_GB2312" w:eastAsia="仿宋_GB2312"/>
          <w:color w:val="auto"/>
          <w:sz w:val="30"/>
          <w:szCs w:val="30"/>
        </w:rPr>
      </w:pPr>
      <w:r>
        <w:rPr>
          <w:rFonts w:hint="eastAsia" w:ascii="仿宋_GB2312" w:eastAsia="仿宋_GB2312"/>
          <w:color w:val="auto"/>
          <w:sz w:val="30"/>
          <w:szCs w:val="30"/>
        </w:rPr>
        <w:t xml:space="preserve">    14.境内非银行债务人借用外债或在境外发行债券，经外汇局批准将募集资金存放境外的，后续不得从境内汇出资金用于债券还本付息。</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15.境内机构经批准在境外发行非参与型优先股的，应当按照外债管理相关规定办理外债登记手续，债务类型为债务证券。</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16.</w:t>
      </w:r>
      <w:r>
        <w:rPr>
          <w:rFonts w:ascii="仿宋_GB2312" w:eastAsia="仿宋_GB2312"/>
          <w:color w:val="auto"/>
          <w:sz w:val="30"/>
          <w:szCs w:val="30"/>
        </w:rPr>
        <w:t>非银行债务人外债未偿余额为零且不再发生提款的，应在办妥最后一笔还本付息之日起1个月内，到所在地外汇局办理外债注销登记。</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1．签约（变更）登记申请材料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253"/>
        <w:gridCol w:w="992"/>
        <w:gridCol w:w="567"/>
        <w:gridCol w:w="851"/>
        <w:gridCol w:w="567"/>
        <w:gridCol w:w="759"/>
      </w:tblGrid>
      <w:tr>
        <w:tc>
          <w:tcPr>
            <w:tcW w:w="53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425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7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申请书（内容包括但不限于债务人与债权人基本情况，本次拟备案（登记）外债金额、利率、期限、用途等要点，预计还款资金来源等）。</w:t>
            </w:r>
          </w:p>
        </w:tc>
        <w:tc>
          <w:tcPr>
            <w:tcW w:w="992"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p>
        </w:tc>
      </w:tr>
      <w:tr>
        <w:trPr>
          <w:trHeight w:val="378"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中资企业应提供营业执照（尚未办理“五证合一”的企业，还需提供组织机构代码证）、上年度或最近一期经审计的财务报告、《宏观审慎跨境融资风险加权余额情况表（企业版）》等材料。</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4</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商投资企业应提供批准证书或《外商投资企业设立/变更备案回执》、营业执照（尚未办理“五证合一”的企业，还需提供组织机构代码证）、跨境融资管理模式选择的书面说明等材料。选择宏观审慎管理模式的，还应提供上年度或最近一期经审计的财务报告、《宏观审慎跨境融资风险加权余额情况表（企业版）》。</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3308"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5</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经其他外债管理部门批准逐笔借用外债的，还应提供相关批准文件。</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6</w:t>
            </w:r>
          </w:p>
        </w:tc>
        <w:tc>
          <w:tcPr>
            <w:tcW w:w="425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外汇局要求提供的其他材料。</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2.注销登记申请材料   </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417"/>
        <w:gridCol w:w="992"/>
        <w:gridCol w:w="993"/>
        <w:gridCol w:w="708"/>
        <w:gridCol w:w="993"/>
      </w:tblGrid>
      <w:t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83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41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99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99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83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w:t>
            </w:r>
          </w:p>
        </w:tc>
        <w:tc>
          <w:tcPr>
            <w:tcW w:w="1417"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993" w:type="dxa"/>
            <w:vAlign w:val="center"/>
          </w:tcPr>
          <w:p>
            <w:pPr>
              <w:jc w:val="left"/>
              <w:rPr>
                <w:rFonts w:ascii="仿宋_GB2312" w:eastAsia="仿宋_GB2312"/>
                <w:color w:val="auto"/>
                <w:sz w:val="24"/>
                <w:szCs w:val="24"/>
              </w:rPr>
            </w:pPr>
          </w:p>
        </w:tc>
      </w:tr>
      <w:tr>
        <w:trPr>
          <w:trHeight w:val="378" w:hRule="atLeast"/>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835" w:type="dxa"/>
            <w:vAlign w:val="center"/>
          </w:tcPr>
          <w:p>
            <w:pPr>
              <w:jc w:val="left"/>
              <w:rPr>
                <w:rFonts w:ascii="仿宋_GB2312" w:eastAsia="仿宋_GB2312"/>
                <w:color w:val="auto"/>
                <w:sz w:val="24"/>
                <w:szCs w:val="24"/>
              </w:rPr>
            </w:pPr>
            <w:r>
              <w:rPr>
                <w:rFonts w:ascii="仿宋_GB2312" w:eastAsia="仿宋_GB2312"/>
                <w:color w:val="auto"/>
                <w:sz w:val="24"/>
                <w:szCs w:val="24"/>
              </w:rPr>
              <w:t>《境内机构外债签约情况表》</w:t>
            </w:r>
          </w:p>
        </w:tc>
        <w:tc>
          <w:tcPr>
            <w:tcW w:w="141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993" w:type="dxa"/>
            <w:vAlign w:val="center"/>
          </w:tcPr>
          <w:p>
            <w:pPr>
              <w:jc w:val="left"/>
              <w:rPr>
                <w:rFonts w:ascii="仿宋_GB2312" w:eastAsia="仿宋_GB2312"/>
                <w:color w:val="auto"/>
                <w:sz w:val="24"/>
                <w:szCs w:val="24"/>
              </w:rPr>
            </w:pPr>
          </w:p>
        </w:tc>
      </w:tr>
      <w:t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283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银行出具的相关关户证明材料（如有）</w:t>
            </w:r>
          </w:p>
        </w:tc>
        <w:tc>
          <w:tcPr>
            <w:tcW w:w="141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283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外汇局要求提供的其他材料</w:t>
            </w:r>
          </w:p>
        </w:tc>
        <w:tc>
          <w:tcPr>
            <w:tcW w:w="141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99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35" w:name="_Toc16762"/>
      <w:bookmarkStart w:id="36" w:name="_Toc19431"/>
      <w:bookmarkStart w:id="37" w:name="_Toc13763"/>
      <w:bookmarkStart w:id="38" w:name="_Toc31043"/>
      <w:bookmarkStart w:id="39" w:name="_Toc10154"/>
      <w:r>
        <w:rPr>
          <w:rFonts w:hint="eastAsia" w:ascii="仿宋_GB2312" w:eastAsia="仿宋_GB2312"/>
          <w:color w:val="auto"/>
          <w:sz w:val="30"/>
          <w:szCs w:val="30"/>
        </w:rPr>
        <w:t>3.不予受理的，出具不予受理通知书；</w:t>
      </w:r>
      <w:bookmarkEnd w:id="35"/>
      <w:bookmarkEnd w:id="36"/>
      <w:bookmarkEnd w:id="37"/>
      <w:bookmarkEnd w:id="38"/>
      <w:bookmarkEnd w:id="39"/>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pStyle w:val="2"/>
        <w:ind w:firstLine="0" w:firstLineChars="0"/>
        <w:rPr>
          <w:color w:val="auto"/>
        </w:rPr>
      </w:pPr>
      <w:bookmarkStart w:id="40" w:name="_Toc25701"/>
      <w:bookmarkStart w:id="41" w:name="_Toc18011"/>
      <w:bookmarkStart w:id="42" w:name="_Toc19019"/>
      <w:bookmarkStart w:id="43" w:name="_Toc2168"/>
      <w:bookmarkStart w:id="44" w:name="_Toc9215"/>
      <w:r>
        <w:rPr>
          <w:rFonts w:hint="eastAsia"/>
          <w:color w:val="auto"/>
        </w:rPr>
        <w:t>联系电话：</w:t>
      </w:r>
      <w:bookmarkEnd w:id="40"/>
      <w:bookmarkEnd w:id="41"/>
      <w:bookmarkEnd w:id="42"/>
      <w:bookmarkEnd w:id="43"/>
      <w:bookmarkEnd w:id="44"/>
      <w:r>
        <w:rPr>
          <w:rFonts w:hint="eastAsia" w:ascii="仿宋_GB2312" w:eastAsia="仿宋_GB2312"/>
          <w:color w:val="auto"/>
        </w:rPr>
        <w:t>0551-63691296</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color w:val="auto"/>
        </w:rPr>
      </w:pPr>
    </w:p>
    <w:p>
      <w:pPr>
        <w:pStyle w:val="2"/>
        <w:ind w:firstLine="0" w:firstLineChars="0"/>
        <w:rPr>
          <w:color w:val="auto"/>
        </w:rPr>
      </w:pPr>
    </w:p>
    <w:p>
      <w:pPr>
        <w:pStyle w:val="3"/>
        <w:rPr>
          <w:color w:val="auto"/>
        </w:rPr>
      </w:pPr>
      <w:bookmarkStart w:id="45" w:name="_Toc69"/>
      <w:bookmarkStart w:id="46" w:name="_Toc758"/>
      <w:bookmarkStart w:id="47" w:name="_Toc5702"/>
      <w:bookmarkStart w:id="48" w:name="_Toc23757"/>
      <w:bookmarkStart w:id="49" w:name="_Toc26963"/>
      <w:r>
        <w:rPr>
          <w:rFonts w:hint="eastAsia"/>
          <w:color w:val="auto"/>
        </w:rPr>
        <w:t>（三）、非银行债务人非资金划转类提款、还本付息备案</w:t>
      </w:r>
      <w:bookmarkEnd w:id="45"/>
      <w:bookmarkEnd w:id="46"/>
      <w:bookmarkEnd w:id="47"/>
      <w:bookmarkEnd w:id="48"/>
      <w:bookmarkEnd w:id="49"/>
    </w:p>
    <w:p>
      <w:pPr>
        <w:outlineLvl w:val="0"/>
        <w:rPr>
          <w:rFonts w:ascii="黑体" w:eastAsia="黑体"/>
          <w:color w:val="auto"/>
          <w:sz w:val="30"/>
          <w:szCs w:val="30"/>
        </w:rPr>
      </w:pPr>
      <w:bookmarkStart w:id="50" w:name="_Toc25965"/>
      <w:bookmarkStart w:id="51" w:name="_Toc7858"/>
      <w:bookmarkStart w:id="52" w:name="_Toc7246"/>
      <w:bookmarkStart w:id="53" w:name="_Toc13409"/>
      <w:bookmarkStart w:id="54" w:name="_Toc14226"/>
      <w:r>
        <w:rPr>
          <w:rFonts w:hint="eastAsia" w:ascii="黑体" w:eastAsia="黑体"/>
          <w:color w:val="auto"/>
          <w:sz w:val="30"/>
          <w:szCs w:val="30"/>
        </w:rPr>
        <w:t>办理依据</w:t>
      </w:r>
      <w:bookmarkEnd w:id="50"/>
      <w:bookmarkEnd w:id="51"/>
      <w:bookmarkEnd w:id="52"/>
      <w:bookmarkEnd w:id="53"/>
      <w:bookmarkEnd w:id="54"/>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1.《中华人民共和国外汇管理条例》（国务院令第532号）。</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2.《外债统计监测暂行规定》（1987年公布）。</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3.《国家外汇管理局关于推广资本项目信息系统的通知》（汇发〔2013〕17号）。</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4.《国家外汇管理局关于发布〈外债登记管理办法〉的通知》（汇发〔2013〕19号）。</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5.《中国人民银行关于全口径跨境融资宏观审慎管理有关事宜的通知》（银发〔2017〕9号）。</w:t>
      </w:r>
    </w:p>
    <w:p>
      <w:pPr>
        <w:ind w:firstLine="600" w:firstLineChars="200"/>
        <w:rPr>
          <w:rFonts w:ascii="仿宋_GB2312" w:hAnsi="仿宋_GB2312" w:eastAsia="仿宋_GB2312" w:cs="仿宋_GB2312"/>
          <w:color w:val="auto"/>
          <w:sz w:val="30"/>
          <w:szCs w:val="30"/>
        </w:rPr>
      </w:pPr>
      <w:r>
        <w:rPr>
          <w:rFonts w:hint="eastAsia" w:ascii="仿宋_GB2312" w:hAnsi="Times New Roman" w:eastAsia="仿宋_GB2312"/>
          <w:color w:val="auto"/>
          <w:sz w:val="30"/>
          <w:szCs w:val="30"/>
        </w:rPr>
        <w:t>6.其他相关法规。</w:t>
      </w:r>
    </w:p>
    <w:p>
      <w:pPr>
        <w:outlineLvl w:val="0"/>
        <w:rPr>
          <w:rFonts w:ascii="黑体" w:hAnsi="Times New Roman" w:eastAsia="黑体"/>
          <w:color w:val="auto"/>
          <w:sz w:val="30"/>
          <w:szCs w:val="30"/>
        </w:rPr>
      </w:pPr>
      <w:bookmarkStart w:id="55" w:name="_Toc30599"/>
      <w:bookmarkStart w:id="56" w:name="_Toc5769"/>
      <w:bookmarkStart w:id="57" w:name="_Toc30775"/>
      <w:bookmarkStart w:id="58" w:name="_Toc24727"/>
      <w:bookmarkStart w:id="59" w:name="_Toc19092"/>
      <w:r>
        <w:rPr>
          <w:rFonts w:hint="eastAsia" w:ascii="黑体" w:hAnsi="Times New Roman" w:eastAsia="黑体"/>
          <w:color w:val="auto"/>
          <w:sz w:val="30"/>
          <w:szCs w:val="30"/>
        </w:rPr>
        <w:t>办事条件</w:t>
      </w:r>
      <w:bookmarkEnd w:id="55"/>
      <w:bookmarkEnd w:id="56"/>
      <w:bookmarkEnd w:id="57"/>
      <w:bookmarkEnd w:id="58"/>
      <w:bookmarkEnd w:id="59"/>
    </w:p>
    <w:p>
      <w:pPr>
        <w:widowControl/>
        <w:numPr>
          <w:ilvl w:val="0"/>
          <w:numId w:val="2"/>
        </w:numPr>
        <w:ind w:firstLine="600" w:firstLineChars="200"/>
        <w:rPr>
          <w:rFonts w:ascii="仿宋_GB2312" w:eastAsia="仿宋_GB2312"/>
          <w:color w:val="auto"/>
          <w:sz w:val="30"/>
          <w:szCs w:val="30"/>
        </w:rPr>
      </w:pPr>
      <w:r>
        <w:rPr>
          <w:rFonts w:ascii="仿宋_GB2312" w:eastAsia="仿宋_GB2312"/>
          <w:color w:val="auto"/>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2"/>
        </w:numPr>
        <w:ind w:firstLine="600" w:firstLineChars="200"/>
        <w:rPr>
          <w:rFonts w:ascii="仿宋_GB2312" w:eastAsia="仿宋_GB2312"/>
          <w:color w:val="auto"/>
          <w:sz w:val="30"/>
          <w:szCs w:val="30"/>
        </w:rPr>
      </w:pPr>
      <w:r>
        <w:rPr>
          <w:rFonts w:ascii="仿宋_GB2312" w:eastAsia="仿宋_GB2312"/>
          <w:color w:val="auto"/>
          <w:sz w:val="30"/>
          <w:szCs w:val="30"/>
        </w:rPr>
        <w:t>非资金划转类还本付息是指非银行债务人外债还款额或外债本金余额发生变动，但未通过境内银行办理付款从而无法向资本项目信息系统反馈外债还款信息的情形。</w:t>
      </w:r>
    </w:p>
    <w:p>
      <w:pPr>
        <w:ind w:firstLine="600"/>
        <w:rPr>
          <w:rFonts w:ascii="仿宋_GB2312" w:eastAsia="仿宋_GB2312"/>
          <w:color w:val="auto"/>
          <w:sz w:val="30"/>
          <w:szCs w:val="30"/>
        </w:rPr>
      </w:pPr>
      <w:r>
        <w:rPr>
          <w:rFonts w:hint="eastAsia" w:ascii="仿宋_GB2312" w:eastAsia="仿宋_GB2312"/>
          <w:color w:val="auto"/>
          <w:sz w:val="30"/>
          <w:szCs w:val="30"/>
        </w:rPr>
        <w:t>3</w:t>
      </w:r>
      <w:r>
        <w:rPr>
          <w:rFonts w:ascii="仿宋_GB2312" w:eastAsia="仿宋_GB2312"/>
          <w:color w:val="auto"/>
          <w:sz w:val="30"/>
          <w:szCs w:val="30"/>
        </w:rPr>
        <w:t>.非银行债务人发生非资金划转类提款交易</w:t>
      </w:r>
      <w:r>
        <w:rPr>
          <w:rFonts w:hint="eastAsia" w:ascii="仿宋_GB2312" w:eastAsia="仿宋_GB2312"/>
          <w:color w:val="auto"/>
          <w:sz w:val="30"/>
          <w:szCs w:val="30"/>
        </w:rPr>
        <w:t>和</w:t>
      </w:r>
      <w:r>
        <w:rPr>
          <w:rFonts w:ascii="仿宋_GB2312" w:eastAsia="仿宋_GB2312"/>
          <w:color w:val="auto"/>
          <w:sz w:val="30"/>
          <w:szCs w:val="30"/>
        </w:rPr>
        <w:t>非资金划转类还本付息交易的，应在提款发生后5个工作日内，到所在地外汇局办理逐笔提款备案。</w:t>
      </w:r>
    </w:p>
    <w:p>
      <w:pPr>
        <w:outlineLvl w:val="0"/>
        <w:rPr>
          <w:rFonts w:ascii="黑体" w:hAnsi="Times New Roman" w:eastAsia="黑体"/>
          <w:color w:val="auto"/>
          <w:sz w:val="30"/>
          <w:szCs w:val="30"/>
        </w:rPr>
      </w:pPr>
      <w:bookmarkStart w:id="60" w:name="_Toc30901"/>
      <w:bookmarkStart w:id="61" w:name="_Toc20176"/>
      <w:bookmarkStart w:id="62" w:name="_Toc22185"/>
      <w:bookmarkStart w:id="63" w:name="_Toc28941"/>
      <w:bookmarkStart w:id="64" w:name="_Toc20228"/>
      <w:r>
        <w:rPr>
          <w:rFonts w:hint="eastAsia" w:ascii="黑体" w:hAnsi="Times New Roman" w:eastAsia="黑体"/>
          <w:color w:val="auto"/>
          <w:sz w:val="30"/>
          <w:szCs w:val="30"/>
        </w:rPr>
        <w:t>申请材料</w:t>
      </w:r>
      <w:bookmarkEnd w:id="60"/>
      <w:bookmarkEnd w:id="61"/>
      <w:bookmarkEnd w:id="62"/>
      <w:bookmarkEnd w:id="63"/>
      <w:bookmarkEnd w:id="64"/>
    </w:p>
    <w:p>
      <w:pPr>
        <w:ind w:firstLine="600" w:firstLineChars="200"/>
        <w:outlineLvl w:val="0"/>
        <w:rPr>
          <w:rFonts w:ascii="黑体" w:hAnsi="Times New Roman" w:eastAsia="黑体"/>
          <w:color w:val="auto"/>
          <w:sz w:val="30"/>
          <w:szCs w:val="30"/>
        </w:rPr>
      </w:pPr>
      <w:bookmarkStart w:id="65" w:name="_Toc6695"/>
      <w:bookmarkStart w:id="66" w:name="_Toc963"/>
      <w:bookmarkStart w:id="67" w:name="_Toc28737"/>
      <w:bookmarkStart w:id="68" w:name="_Toc13972"/>
      <w:bookmarkStart w:id="69" w:name="_Toc9537"/>
      <w:r>
        <w:rPr>
          <w:rFonts w:hint="eastAsia" w:ascii="仿宋_GB2312" w:eastAsia="仿宋_GB2312"/>
          <w:color w:val="auto"/>
          <w:sz w:val="30"/>
          <w:szCs w:val="30"/>
        </w:rPr>
        <w:t>1．</w:t>
      </w:r>
      <w:r>
        <w:rPr>
          <w:rFonts w:hint="eastAsia" w:ascii="仿宋_GB2312" w:hAnsi="宋体" w:eastAsia="仿宋_GB2312"/>
          <w:color w:val="auto"/>
          <w:kern w:val="0"/>
          <w:sz w:val="30"/>
          <w:szCs w:val="30"/>
        </w:rPr>
        <w:t>非银行债务人办理非资金划转类提款备案申请材料</w:t>
      </w:r>
      <w:bookmarkEnd w:id="65"/>
      <w:bookmarkEnd w:id="66"/>
      <w:bookmarkEnd w:id="67"/>
      <w:bookmarkEnd w:id="68"/>
      <w:bookmarkEnd w:id="69"/>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425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7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w:t>
            </w:r>
          </w:p>
        </w:tc>
        <w:tc>
          <w:tcPr>
            <w:tcW w:w="992"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p>
        </w:tc>
      </w:tr>
      <w:tr>
        <w:trPr>
          <w:trHeight w:val="378" w:hRule="atLeast"/>
        </w:trP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相关材料：</w:t>
            </w:r>
          </w:p>
          <w:p>
            <w:pPr>
              <w:jc w:val="left"/>
              <w:rPr>
                <w:rFonts w:ascii="仿宋_GB2312" w:eastAsia="仿宋_GB2312"/>
                <w:color w:val="auto"/>
                <w:sz w:val="24"/>
                <w:szCs w:val="24"/>
              </w:rPr>
            </w:pPr>
            <w:r>
              <w:rPr>
                <w:rFonts w:hint="eastAsia" w:ascii="仿宋_GB2312" w:eastAsia="仿宋_GB2312"/>
                <w:color w:val="auto"/>
                <w:sz w:val="24"/>
                <w:szCs w:val="24"/>
              </w:rPr>
              <w:t>（1）经外汇局批准将债务收入存放境外的，应提供资金入账凭证。</w:t>
            </w:r>
          </w:p>
          <w:p>
            <w:pPr>
              <w:jc w:val="left"/>
              <w:rPr>
                <w:rFonts w:ascii="仿宋_GB2312" w:eastAsia="仿宋_GB2312"/>
                <w:color w:val="auto"/>
                <w:sz w:val="24"/>
                <w:szCs w:val="24"/>
              </w:rPr>
            </w:pPr>
            <w:r>
              <w:rPr>
                <w:rFonts w:hint="eastAsia" w:ascii="仿宋_GB2312" w:eastAsia="仿宋_GB2312"/>
                <w:color w:val="auto"/>
                <w:sz w:val="24"/>
                <w:szCs w:val="24"/>
              </w:rPr>
              <w:t>（2）根据债务人指令由债权人在贷款项下直接办理对境内、外货物或服务提供商支付的，应提供交易合同、债权人付款确认通知等。</w:t>
            </w:r>
          </w:p>
          <w:p>
            <w:pPr>
              <w:jc w:val="left"/>
              <w:rPr>
                <w:rFonts w:ascii="仿宋_GB2312" w:eastAsia="仿宋_GB2312"/>
                <w:color w:val="auto"/>
                <w:sz w:val="24"/>
                <w:szCs w:val="24"/>
              </w:rPr>
            </w:pPr>
            <w:r>
              <w:rPr>
                <w:rFonts w:hint="eastAsia" w:ascii="仿宋_GB2312" w:eastAsia="仿宋_GB2312"/>
                <w:color w:val="auto"/>
                <w:sz w:val="24"/>
                <w:szCs w:val="24"/>
              </w:rPr>
              <w:t>（3）以实物形式办理提款的，应提供已办理实物提款的证明材料（外债签约登记日期应在报关日期之前）。</w:t>
            </w:r>
          </w:p>
          <w:p>
            <w:pPr>
              <w:jc w:val="left"/>
              <w:rPr>
                <w:rFonts w:ascii="仿宋_GB2312" w:eastAsia="仿宋_GB2312"/>
                <w:color w:val="auto"/>
                <w:sz w:val="24"/>
                <w:szCs w:val="24"/>
              </w:rPr>
            </w:pPr>
            <w:r>
              <w:rPr>
                <w:rFonts w:hint="eastAsia" w:ascii="仿宋_GB2312" w:eastAsia="仿宋_GB2312"/>
                <w:color w:val="auto"/>
                <w:sz w:val="24"/>
                <w:szCs w:val="24"/>
              </w:rPr>
              <w:t>（4）利息本金化的，应提供利息本金化协议或通知。</w:t>
            </w:r>
          </w:p>
          <w:p>
            <w:pPr>
              <w:jc w:val="left"/>
              <w:rPr>
                <w:rFonts w:ascii="仿宋_GB2312" w:eastAsia="仿宋_GB2312"/>
                <w:color w:val="auto"/>
                <w:sz w:val="24"/>
                <w:szCs w:val="24"/>
              </w:rPr>
            </w:pPr>
            <w:r>
              <w:rPr>
                <w:rFonts w:hint="eastAsia" w:ascii="仿宋_GB2312" w:eastAsia="仿宋_GB2312"/>
                <w:color w:val="auto"/>
                <w:sz w:val="24"/>
                <w:szCs w:val="24"/>
              </w:rPr>
              <w:t>（5）其他可能导致外债提款额或外债本金余额发生变动但无法通过境内银行向外汇局反馈相关数据的情形，应提供证明交易真实性的材料。</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2"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425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外汇局要求提供的其他材料</w:t>
            </w:r>
          </w:p>
        </w:tc>
        <w:tc>
          <w:tcPr>
            <w:tcW w:w="99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left"/>
              <w:rPr>
                <w:rFonts w:ascii="仿宋_GB2312" w:eastAsia="仿宋_GB2312"/>
                <w:color w:val="auto"/>
                <w:sz w:val="24"/>
                <w:szCs w:val="24"/>
              </w:rPr>
            </w:pPr>
          </w:p>
        </w:tc>
        <w:tc>
          <w:tcPr>
            <w:tcW w:w="7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widowControl/>
        <w:ind w:firstLine="300" w:firstLineChars="100"/>
        <w:rPr>
          <w:rFonts w:ascii="仿宋_GB2312" w:hAnsi="宋体" w:eastAsia="仿宋_GB2312"/>
          <w:color w:val="auto"/>
          <w:kern w:val="0"/>
          <w:sz w:val="30"/>
          <w:szCs w:val="30"/>
        </w:rPr>
      </w:pPr>
      <w:r>
        <w:rPr>
          <w:rFonts w:hint="eastAsia" w:ascii="仿宋_GB2312" w:hAnsi="宋体" w:eastAsia="仿宋_GB2312"/>
          <w:color w:val="auto"/>
          <w:kern w:val="0"/>
          <w:sz w:val="30"/>
          <w:szCs w:val="30"/>
        </w:rPr>
        <w:t>2.非银行债务人办理非资金划转类还本付息备案申请材料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6"/>
        <w:gridCol w:w="4702"/>
        <w:gridCol w:w="751"/>
        <w:gridCol w:w="487"/>
        <w:gridCol w:w="560"/>
        <w:gridCol w:w="487"/>
        <w:gridCol w:w="1049"/>
      </w:tblGrid>
      <w:tr>
        <w:tc>
          <w:tcPr>
            <w:tcW w:w="486"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470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7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48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56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48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trHeight w:val="969" w:hRule="atLeast"/>
        </w:trPr>
        <w:tc>
          <w:tcPr>
            <w:tcW w:w="486" w:type="dxa"/>
            <w:tcBorders>
              <w:bottom w:val="single" w:color="auto" w:sz="4" w:space="0"/>
            </w:tcBorders>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470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w:t>
            </w:r>
          </w:p>
        </w:tc>
        <w:tc>
          <w:tcPr>
            <w:tcW w:w="751"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48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560"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487" w:type="dxa"/>
            <w:vAlign w:val="center"/>
          </w:tcPr>
          <w:p>
            <w:pPr>
              <w:keepNext/>
              <w:keepLines/>
              <w:spacing w:before="340" w:after="330" w:line="578" w:lineRule="auto"/>
              <w:jc w:val="left"/>
              <w:rPr>
                <w:rFonts w:ascii="仿宋_GB2312" w:eastAsia="仿宋_GB2312"/>
                <w:color w:val="auto"/>
                <w:sz w:val="24"/>
                <w:szCs w:val="24"/>
              </w:rPr>
            </w:pPr>
          </w:p>
        </w:tc>
        <w:tc>
          <w:tcPr>
            <w:tcW w:w="1049" w:type="dxa"/>
            <w:vAlign w:val="center"/>
          </w:tcPr>
          <w:p>
            <w:pPr>
              <w:jc w:val="left"/>
              <w:rPr>
                <w:rFonts w:ascii="仿宋_GB2312" w:eastAsia="仿宋_GB2312"/>
                <w:color w:val="auto"/>
                <w:sz w:val="24"/>
                <w:szCs w:val="24"/>
              </w:rPr>
            </w:pPr>
          </w:p>
        </w:tc>
      </w:tr>
      <w:tr>
        <w:trPr>
          <w:trHeight w:val="378" w:hRule="atLeast"/>
        </w:trPr>
        <w:tc>
          <w:tcPr>
            <w:tcW w:w="486"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470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相关材料：</w:t>
            </w:r>
          </w:p>
          <w:p>
            <w:pPr>
              <w:jc w:val="left"/>
              <w:rPr>
                <w:rFonts w:ascii="仿宋_GB2312" w:eastAsia="仿宋_GB2312"/>
                <w:color w:val="auto"/>
                <w:sz w:val="24"/>
                <w:szCs w:val="24"/>
              </w:rPr>
            </w:pPr>
            <w:r>
              <w:rPr>
                <w:rFonts w:hint="eastAsia" w:ascii="仿宋_GB2312" w:eastAsia="仿宋_GB2312"/>
                <w:color w:val="auto"/>
                <w:sz w:val="24"/>
                <w:szCs w:val="24"/>
              </w:rPr>
              <w:t>（1）减免债务本金和利息的，应提供债权人出具的豁免通知或其他相关证明文件。</w:t>
            </w:r>
          </w:p>
          <w:p>
            <w:pPr>
              <w:jc w:val="left"/>
              <w:rPr>
                <w:rFonts w:ascii="仿宋_GB2312" w:eastAsia="仿宋_GB2312"/>
                <w:color w:val="auto"/>
                <w:sz w:val="24"/>
                <w:szCs w:val="24"/>
              </w:rPr>
            </w:pPr>
            <w:r>
              <w:rPr>
                <w:rFonts w:hint="eastAsia" w:ascii="仿宋_GB2312" w:eastAsia="仿宋_GB2312"/>
                <w:color w:val="auto"/>
                <w:sz w:val="24"/>
                <w:szCs w:val="24"/>
              </w:rPr>
              <w:t>（2）债权转股权等债务重组的，应提供境外债权人确认书、审批类企业应提交商务主管部门批复文件（文件中需明确企业增资的资金来源为已登记外债）；备案类企业应提交企业自行打印并加盖公章的《外商投资企业设立/变更事项备案申报表》与加盖商务部门公章的《外商投资企业的设立/变更备案回执》（回执/申报表的备注中需明确企业增资的资金来源为已登记外债）。</w:t>
            </w:r>
          </w:p>
          <w:p>
            <w:pPr>
              <w:jc w:val="left"/>
              <w:rPr>
                <w:rFonts w:ascii="仿宋_GB2312" w:eastAsia="仿宋_GB2312"/>
                <w:color w:val="auto"/>
                <w:sz w:val="24"/>
                <w:szCs w:val="24"/>
              </w:rPr>
            </w:pPr>
            <w:r>
              <w:rPr>
                <w:rFonts w:hint="eastAsia" w:ascii="仿宋_GB2312" w:eastAsia="仿宋_GB2312"/>
                <w:color w:val="auto"/>
                <w:sz w:val="24"/>
                <w:szCs w:val="24"/>
              </w:rPr>
              <w:t>（3）境内、外担保人代债务人履行债务偿还责任的，应提供担保人已经履约的证明文件。</w:t>
            </w:r>
          </w:p>
          <w:p>
            <w:pPr>
              <w:jc w:val="left"/>
              <w:rPr>
                <w:rFonts w:ascii="仿宋_GB2312" w:eastAsia="仿宋_GB2312"/>
                <w:color w:val="auto"/>
                <w:sz w:val="24"/>
                <w:szCs w:val="24"/>
              </w:rPr>
            </w:pPr>
            <w:r>
              <w:rPr>
                <w:rFonts w:hint="eastAsia" w:ascii="仿宋_GB2312" w:eastAsia="仿宋_GB2312"/>
                <w:color w:val="auto"/>
                <w:sz w:val="24"/>
                <w:szCs w:val="24"/>
              </w:rPr>
              <w:t>（4）通过非银行债务人境外账户偿还债务和利息的，应提供境外支付证明材料。</w:t>
            </w:r>
          </w:p>
          <w:p>
            <w:pPr>
              <w:jc w:val="left"/>
              <w:rPr>
                <w:rFonts w:ascii="仿宋_GB2312" w:hAnsi="宋体" w:eastAsia="仿宋_GB2312"/>
                <w:color w:val="auto"/>
                <w:kern w:val="0"/>
                <w:sz w:val="24"/>
                <w:szCs w:val="24"/>
              </w:rPr>
            </w:pPr>
            <w:r>
              <w:rPr>
                <w:rFonts w:hint="eastAsia" w:ascii="仿宋_GB2312" w:eastAsia="仿宋_GB2312"/>
                <w:color w:val="auto"/>
                <w:sz w:val="24"/>
                <w:szCs w:val="24"/>
              </w:rPr>
              <w:t>（5）其他可能导致外债还款额或外债本金余额发生变动但无法通过境内银行向外汇局反馈相关数据的情形，应提供证明交易真实性的材料。</w:t>
            </w:r>
          </w:p>
        </w:tc>
        <w:tc>
          <w:tcPr>
            <w:tcW w:w="7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8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560"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487" w:type="dxa"/>
            <w:vAlign w:val="center"/>
          </w:tcPr>
          <w:p>
            <w:pPr>
              <w:jc w:val="left"/>
              <w:rPr>
                <w:rFonts w:ascii="仿宋_GB2312" w:eastAsia="仿宋_GB2312"/>
                <w:color w:val="auto"/>
                <w:sz w:val="24"/>
                <w:szCs w:val="24"/>
              </w:rPr>
            </w:pPr>
          </w:p>
        </w:tc>
        <w:tc>
          <w:tcPr>
            <w:tcW w:w="104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486"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470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外汇局要求提供的其他材料</w:t>
            </w:r>
          </w:p>
        </w:tc>
        <w:tc>
          <w:tcPr>
            <w:tcW w:w="7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8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560"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487" w:type="dxa"/>
            <w:vAlign w:val="center"/>
          </w:tcPr>
          <w:p>
            <w:pPr>
              <w:jc w:val="left"/>
              <w:rPr>
                <w:rFonts w:ascii="仿宋_GB2312" w:eastAsia="仿宋_GB2312"/>
                <w:color w:val="auto"/>
                <w:sz w:val="24"/>
                <w:szCs w:val="24"/>
              </w:rPr>
            </w:pPr>
          </w:p>
        </w:tc>
        <w:tc>
          <w:tcPr>
            <w:tcW w:w="104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70" w:name="_Toc9358"/>
      <w:bookmarkStart w:id="71" w:name="_Toc21507"/>
      <w:bookmarkStart w:id="72" w:name="_Toc8805"/>
      <w:bookmarkStart w:id="73" w:name="_Toc7863"/>
      <w:bookmarkStart w:id="74" w:name="_Toc25617"/>
      <w:r>
        <w:rPr>
          <w:rFonts w:hint="eastAsia" w:ascii="仿宋_GB2312" w:eastAsia="仿宋_GB2312"/>
          <w:color w:val="auto"/>
          <w:sz w:val="30"/>
          <w:szCs w:val="30"/>
        </w:rPr>
        <w:t>3.不予受理的，出具不予受理通知书；</w:t>
      </w:r>
      <w:bookmarkEnd w:id="70"/>
      <w:bookmarkEnd w:id="71"/>
      <w:bookmarkEnd w:id="72"/>
      <w:bookmarkEnd w:id="73"/>
      <w:bookmarkEnd w:id="74"/>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58"/>
        <w:rPr>
          <w:rFonts w:ascii="仿宋_GB2312" w:eastAsia="仿宋_GB2312"/>
          <w:color w:val="auto"/>
          <w:sz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spacing w:line="300" w:lineRule="auto"/>
        <w:rPr>
          <w:rFonts w:ascii="黑体" w:hAnsi="黑体" w:eastAsia="黑体" w:cs="宋体"/>
          <w:color w:val="auto"/>
          <w:kern w:val="0"/>
          <w:sz w:val="30"/>
          <w:szCs w:val="30"/>
        </w:rPr>
      </w:pPr>
      <w:r>
        <w:rPr>
          <w:rFonts w:hint="eastAsia" w:ascii="仿宋_GB2312" w:eastAsia="仿宋_GB2312"/>
          <w:color w:val="auto"/>
          <w:sz w:val="30"/>
          <w:szCs w:val="30"/>
        </w:rPr>
        <w:br w:type="page"/>
      </w:r>
    </w:p>
    <w:p>
      <w:pPr>
        <w:pStyle w:val="3"/>
        <w:rPr>
          <w:color w:val="auto"/>
        </w:rPr>
      </w:pPr>
      <w:bookmarkStart w:id="75" w:name="_Toc24596"/>
      <w:bookmarkStart w:id="76" w:name="_Toc15525"/>
      <w:bookmarkStart w:id="77" w:name="_Toc30243"/>
      <w:bookmarkStart w:id="78" w:name="_Toc9180"/>
      <w:bookmarkStart w:id="79" w:name="_Toc24183"/>
      <w:r>
        <w:rPr>
          <w:rFonts w:hint="eastAsia"/>
          <w:color w:val="auto"/>
        </w:rPr>
        <w:t>（四）、内保外贷登记</w:t>
      </w:r>
      <w:bookmarkEnd w:id="75"/>
      <w:bookmarkEnd w:id="76"/>
      <w:bookmarkEnd w:id="77"/>
      <w:bookmarkEnd w:id="78"/>
      <w:bookmarkEnd w:id="79"/>
    </w:p>
    <w:p>
      <w:pPr>
        <w:outlineLvl w:val="0"/>
        <w:rPr>
          <w:rFonts w:ascii="黑体" w:eastAsia="黑体"/>
          <w:color w:val="auto"/>
          <w:sz w:val="30"/>
          <w:szCs w:val="30"/>
        </w:rPr>
      </w:pPr>
      <w:bookmarkStart w:id="80" w:name="_Toc26759"/>
      <w:bookmarkStart w:id="81" w:name="_Toc17033"/>
      <w:bookmarkStart w:id="82" w:name="_Toc18332"/>
      <w:bookmarkStart w:id="83" w:name="_Toc25779"/>
      <w:bookmarkStart w:id="84" w:name="_Toc6255"/>
      <w:r>
        <w:rPr>
          <w:rFonts w:hint="eastAsia" w:ascii="黑体" w:eastAsia="黑体"/>
          <w:color w:val="auto"/>
          <w:sz w:val="30"/>
          <w:szCs w:val="30"/>
        </w:rPr>
        <w:t>办理依据</w:t>
      </w:r>
      <w:bookmarkEnd w:id="80"/>
      <w:bookmarkEnd w:id="81"/>
      <w:bookmarkEnd w:id="82"/>
      <w:bookmarkEnd w:id="83"/>
      <w:bookmarkEnd w:id="84"/>
    </w:p>
    <w:p>
      <w:pPr>
        <w:ind w:firstLine="585"/>
        <w:rPr>
          <w:rFonts w:ascii="仿宋_GB2312" w:hAnsi="Times New Roman" w:eastAsia="仿宋_GB2312"/>
          <w:color w:val="auto"/>
          <w:sz w:val="30"/>
          <w:szCs w:val="30"/>
        </w:rPr>
      </w:pPr>
      <w:r>
        <w:rPr>
          <w:rFonts w:ascii="仿宋_GB2312" w:hAnsi="Times New Roman" w:eastAsia="仿宋_GB2312"/>
          <w:color w:val="auto"/>
          <w:sz w:val="30"/>
          <w:szCs w:val="30"/>
        </w:rPr>
        <w:t>1.</w:t>
      </w:r>
      <w:r>
        <w:rPr>
          <w:rFonts w:hint="eastAsia" w:ascii="仿宋_GB2312" w:hAnsi="Times New Roman" w:eastAsia="仿宋_GB2312"/>
          <w:color w:val="auto"/>
          <w:sz w:val="30"/>
          <w:szCs w:val="30"/>
        </w:rPr>
        <w:t>《中华人民共和国外汇管理条例》（国务院令第</w:t>
      </w:r>
      <w:r>
        <w:rPr>
          <w:rFonts w:ascii="仿宋_GB2312" w:hAnsi="Times New Roman" w:eastAsia="仿宋_GB2312"/>
          <w:color w:val="auto"/>
          <w:sz w:val="30"/>
          <w:szCs w:val="30"/>
        </w:rPr>
        <w:t>532</w:t>
      </w:r>
      <w:r>
        <w:rPr>
          <w:rFonts w:hint="eastAsia" w:ascii="仿宋_GB2312" w:hAnsi="Times New Roman" w:eastAsia="仿宋_GB2312"/>
          <w:color w:val="auto"/>
          <w:sz w:val="30"/>
          <w:szCs w:val="30"/>
        </w:rPr>
        <w:t>号）。</w:t>
      </w:r>
    </w:p>
    <w:p>
      <w:pPr>
        <w:ind w:firstLine="585"/>
        <w:rPr>
          <w:rFonts w:ascii="仿宋_GB2312" w:hAnsi="Times New Roman" w:eastAsia="仿宋_GB2312"/>
          <w:color w:val="auto"/>
          <w:sz w:val="30"/>
          <w:szCs w:val="30"/>
        </w:rPr>
      </w:pPr>
      <w:r>
        <w:rPr>
          <w:rFonts w:ascii="仿宋_GB2312" w:hAnsi="Times New Roman" w:eastAsia="仿宋_GB2312"/>
          <w:color w:val="auto"/>
          <w:sz w:val="30"/>
          <w:szCs w:val="30"/>
        </w:rPr>
        <w:t>2.</w:t>
      </w:r>
      <w:r>
        <w:rPr>
          <w:rFonts w:hint="eastAsia" w:ascii="仿宋_GB2312" w:hAnsi="Times New Roman" w:eastAsia="仿宋_GB2312"/>
          <w:color w:val="auto"/>
          <w:sz w:val="30"/>
          <w:szCs w:val="30"/>
        </w:rPr>
        <w:t>《国家外汇管理局关于发布〈跨境担保外汇管理规定〉的通知》（汇发</w:t>
      </w:r>
      <w:r>
        <w:rPr>
          <w:rFonts w:ascii="仿宋_GB2312" w:hAnsi="Times New Roman" w:eastAsia="仿宋_GB2312"/>
          <w:color w:val="auto"/>
          <w:sz w:val="30"/>
          <w:szCs w:val="30"/>
        </w:rPr>
        <w:t>〔2014〕29</w:t>
      </w:r>
      <w:r>
        <w:rPr>
          <w:rFonts w:hint="eastAsia" w:ascii="仿宋_GB2312" w:hAnsi="Times New Roman" w:eastAsia="仿宋_GB2312"/>
          <w:color w:val="auto"/>
          <w:sz w:val="30"/>
          <w:szCs w:val="30"/>
        </w:rPr>
        <w:t>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3.《国家外汇管理局关于对部分非银行机构内保外贷业务实行集中登记管理的通知》（汇发</w:t>
      </w:r>
      <w:r>
        <w:rPr>
          <w:rFonts w:ascii="仿宋_GB2312" w:hAnsi="Times New Roman" w:eastAsia="仿宋_GB2312"/>
          <w:color w:val="auto"/>
          <w:sz w:val="30"/>
          <w:szCs w:val="30"/>
        </w:rPr>
        <w:t>〔201</w:t>
      </w:r>
      <w:r>
        <w:rPr>
          <w:rFonts w:hint="eastAsia" w:ascii="仿宋_GB2312" w:hAnsi="Times New Roman" w:eastAsia="仿宋_GB2312"/>
          <w:color w:val="auto"/>
          <w:sz w:val="30"/>
          <w:szCs w:val="30"/>
        </w:rPr>
        <w:t>5</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15号）。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4</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《国家外汇管理局关于发布〈金融机构外汇业务数据采集规范（1.1版）〉的通知》（汇发〔2016〕22号）。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5.《国家外汇管理局关于进一步推进外汇管理改革完善真实合规性审核的通知》（汇发〔2017〕3号）。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6.其他相关法规。</w:t>
      </w:r>
    </w:p>
    <w:p>
      <w:pPr>
        <w:outlineLvl w:val="0"/>
        <w:rPr>
          <w:rFonts w:ascii="黑体" w:hAnsi="Times New Roman" w:eastAsia="黑体"/>
          <w:color w:val="auto"/>
          <w:sz w:val="30"/>
          <w:szCs w:val="30"/>
        </w:rPr>
      </w:pPr>
      <w:bookmarkStart w:id="85" w:name="_Toc31887"/>
      <w:bookmarkStart w:id="86" w:name="_Toc19890"/>
      <w:bookmarkStart w:id="87" w:name="_Toc2946"/>
      <w:bookmarkStart w:id="88" w:name="_Toc22151"/>
      <w:bookmarkStart w:id="89" w:name="_Toc17918"/>
      <w:r>
        <w:rPr>
          <w:rFonts w:hint="eastAsia" w:ascii="黑体" w:eastAsia="黑体"/>
          <w:color w:val="auto"/>
          <w:sz w:val="30"/>
          <w:szCs w:val="30"/>
        </w:rPr>
        <w:t>办</w:t>
      </w:r>
      <w:r>
        <w:rPr>
          <w:rFonts w:hint="eastAsia" w:ascii="黑体" w:hAnsi="Times New Roman" w:eastAsia="黑体"/>
          <w:color w:val="auto"/>
          <w:sz w:val="30"/>
          <w:szCs w:val="30"/>
        </w:rPr>
        <w:t>事条件</w:t>
      </w:r>
      <w:bookmarkEnd w:id="85"/>
      <w:bookmarkEnd w:id="86"/>
      <w:bookmarkEnd w:id="87"/>
      <w:bookmarkEnd w:id="88"/>
      <w:bookmarkEnd w:id="89"/>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内保外贷是指担保人注册地在境内、债务人和债权人注册地均在境外的跨境担保。</w:t>
      </w:r>
    </w:p>
    <w:p>
      <w:pPr>
        <w:ind w:firstLine="600" w:firstLineChars="200"/>
        <w:rPr>
          <w:rFonts w:ascii="仿宋_GB2312" w:hAnsi="Times New Roman" w:eastAsia="仿宋_GB2312"/>
          <w:color w:val="auto"/>
          <w:sz w:val="30"/>
          <w:szCs w:val="30"/>
        </w:rPr>
      </w:pPr>
      <w:r>
        <w:rPr>
          <w:rFonts w:ascii="仿宋_GB2312" w:eastAsia="仿宋_GB2312"/>
          <w:color w:val="auto"/>
          <w:sz w:val="30"/>
          <w:szCs w:val="30"/>
        </w:rPr>
        <w:t>1.</w:t>
      </w:r>
      <w:r>
        <w:rPr>
          <w:rFonts w:hint="eastAsia" w:ascii="仿宋_GB2312" w:hAnsi="Times New Roman" w:eastAsia="仿宋_GB2312"/>
          <w:color w:val="auto"/>
          <w:sz w:val="30"/>
          <w:szCs w:val="30"/>
        </w:rPr>
        <w:t>新办登记</w:t>
      </w:r>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担保人为非银行金融机构或企业（以下简称非银行机构）的，应在签订担保合同后15个工作日内办理内保外贷签约登记手续。</w:t>
      </w:r>
    </w:p>
    <w:p>
      <w:pPr>
        <w:ind w:firstLine="600" w:firstLineChars="200"/>
        <w:rPr>
          <w:rFonts w:ascii="仿宋_GB2312" w:hAnsi="Times New Roman" w:eastAsia="仿宋_GB2312"/>
          <w:color w:val="auto"/>
          <w:sz w:val="30"/>
          <w:szCs w:val="30"/>
        </w:rPr>
      </w:pPr>
      <w:r>
        <w:rPr>
          <w:rFonts w:ascii="仿宋_GB2312" w:eastAsia="仿宋_GB2312"/>
          <w:color w:val="auto"/>
          <w:sz w:val="30"/>
          <w:szCs w:val="30"/>
        </w:rPr>
        <w:t>2.</w:t>
      </w:r>
      <w:r>
        <w:rPr>
          <w:rFonts w:hint="eastAsia" w:ascii="仿宋_GB2312" w:hAnsi="Times New Roman" w:eastAsia="仿宋_GB2312"/>
          <w:color w:val="auto"/>
          <w:sz w:val="30"/>
          <w:szCs w:val="30"/>
        </w:rPr>
        <w:t>变更登记</w:t>
      </w:r>
    </w:p>
    <w:p>
      <w:pPr>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担保合同主要条款发生变更的，应当在15个工作日内办理</w:t>
      </w:r>
      <w:r>
        <w:rPr>
          <w:rFonts w:hint="eastAsia" w:ascii="仿宋_GB2312" w:eastAsia="仿宋_GB2312"/>
          <w:color w:val="auto"/>
          <w:sz w:val="30"/>
          <w:szCs w:val="30"/>
        </w:rPr>
        <w:t>内保外贷签约变更登记手续。</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债务人可通过向境内进行放贷、股权投资等方式将担保项下资金直接或间接调回境内使用。未经外汇局批准，担保项下资金不得直接或间接用于境内证券投资。境外债务人将内保外贷项下资金以外债形式调回境内的，境内借用资金的机构应满足现行外债管理的相关要求，按规定办理外债登记，并应按照现行外债管理模式的相关要求控制资金调回规模。境外债务人用内保外贷项下资金向境内机构进行股权投资，应满足相关主管部门对外商直接投资的管理规定，接受投资的境内机构应按规定办理外汇登记。</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4.</w:t>
      </w:r>
      <w:r>
        <w:rPr>
          <w:rFonts w:ascii="仿宋_GB2312" w:eastAsia="仿宋_GB2312"/>
          <w:color w:val="auto"/>
          <w:sz w:val="30"/>
          <w:szCs w:val="30"/>
        </w:rPr>
        <w:t>内保外贷合同项下发生以下类型特殊交易时，应符合以下规定：</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（1）内保外贷项下担保责任为境外债务人债券发行项下还款义务时，境外债务人应由境内机构直接或间接持股。</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（2）内保外贷合同项下融资资金用于直接或间接获得对境外其他机构的股权（包括新设境外企业、收购境外企业股权和向境外企业增资）或债权时，该投资行为应当符合国内相关部门有关境外投资的规定。</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（3）内保外贷合同项下义务为境外机构衍生交易项下支付义务时，债务人从事衍生交易应当以止损保值为目的，符合其主营业务范围且经过股东适当授权。</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5.同一内保外贷业务下存在多个境内担保人的，可自行约定其中一个担保人到所在地外汇局办理登记手续。</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6.境内机构为境外机构（债务人）向其境外担保人提供的反担保，按内保外贷进行管理，提供反担保的境内机构须遵守《跨境担保外汇管理规定》。境内机构按内保外贷规定为境外机构（债务人）提供担保时，其他境内机构为债务人向提供内保外贷的境内机构提供反担保，不按内保外贷进行管理，但需符合相关外汇管理规定。</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7.担保人为第三方债务人向债权人提供物权担保，构成内保外贷的，应当按照内保外贷相关规定办理担保登记手续，并遵守相关限制性规定。经外汇局登记的物权担保因任何原因而未合法设立，担保人应到外汇局注销相关登记。</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8.非银行金融机构作为担保人提供内保外贷，按照行业主管部门规定，应具有相应担保业务经营资格。境内个人可作为担保人并参照非金融机构办理内保外贷业务。</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9.担保人对担保责任上限无法进行合理预计的内保外贷，如境内企业出具的不明确赔偿金额上限的项目完工责任担保，可以不办理登记，但经外汇局核准后可以办理担保履约手续。</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10.担保人、债务人不得在明知或者应知担保履约义务确定发生的情况下签订跨境担保合同。可按照合理商业原则，依据以下标准判断担保合同是否具备明显的担保履约意图：</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（1）签订担保合同时，债务人自身是否具备足够的清偿能力或可预期的还款资金来源；</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（2）担保项下借款合同规定的融资条件，在金额、利率、期限等方面与债务人声明的借款资金用途是否存在明显不符；</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（3）担保当事各方是否存在通过担保履约提前偿还担保项下债务的意图；</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（4）担保当事各方是否曾经以担保人、反担保人或债务人身份发生恶意担保履约或债务违约。</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11.担保人办理内保外贷业务时，应对债务人主体资格、担保项下资金用途、预计的还款资金来源、担保履约的可能性及相关交易背景进行审核，对是否符合境内、外相关法律法规进行尽职调查，并以适当方式监督债务人按照其申明的用途使用担保项下资金。</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12.在内保外贷签约环节的管理和统计上，境内银行离岸部均视同为境外机构。</w:t>
      </w:r>
    </w:p>
    <w:p>
      <w:pPr>
        <w:ind w:firstLine="600"/>
        <w:rPr>
          <w:rFonts w:ascii="仿宋_GB2312" w:hAnsi="Times New Roman" w:eastAsia="仿宋_GB2312"/>
          <w:color w:val="auto"/>
          <w:sz w:val="30"/>
          <w:szCs w:val="30"/>
        </w:rPr>
      </w:pPr>
      <w:r>
        <w:rPr>
          <w:rFonts w:hint="eastAsia" w:ascii="仿宋_GB2312" w:eastAsia="仿宋_GB2312"/>
          <w:color w:val="auto"/>
          <w:sz w:val="30"/>
          <w:szCs w:val="30"/>
        </w:rPr>
        <w:t>13.</w:t>
      </w:r>
      <w:r>
        <w:rPr>
          <w:rFonts w:hint="eastAsia" w:ascii="仿宋_GB2312" w:hAnsi="Times New Roman" w:eastAsia="仿宋_GB2312"/>
          <w:color w:val="auto"/>
          <w:sz w:val="30"/>
          <w:szCs w:val="30"/>
        </w:rPr>
        <w:t>非银行机构应在还清担保项下债务、担保人付款责任到期或发生担保履约后15个工作日内到外汇局申请注销相关登记。境内个人参照非金融机构办理注销登记。</w:t>
      </w:r>
    </w:p>
    <w:p>
      <w:pPr>
        <w:outlineLvl w:val="0"/>
        <w:rPr>
          <w:rFonts w:ascii="黑体" w:hAnsi="Times New Roman" w:eastAsia="黑体"/>
          <w:color w:val="auto"/>
          <w:sz w:val="30"/>
          <w:szCs w:val="30"/>
        </w:rPr>
      </w:pPr>
      <w:bookmarkStart w:id="90" w:name="_Toc23811"/>
      <w:bookmarkStart w:id="91" w:name="_Toc298"/>
      <w:bookmarkStart w:id="92" w:name="_Toc31628"/>
      <w:bookmarkStart w:id="93" w:name="_Toc13424"/>
      <w:bookmarkStart w:id="94" w:name="_Toc26146"/>
      <w:r>
        <w:rPr>
          <w:rFonts w:hint="eastAsia" w:ascii="黑体" w:hAnsi="Times New Roman" w:eastAsia="黑体"/>
          <w:color w:val="auto"/>
          <w:sz w:val="30"/>
          <w:szCs w:val="30"/>
        </w:rPr>
        <w:t>申请材料</w:t>
      </w:r>
      <w:bookmarkEnd w:id="90"/>
      <w:bookmarkEnd w:id="91"/>
      <w:bookmarkEnd w:id="92"/>
      <w:bookmarkEnd w:id="93"/>
      <w:bookmarkEnd w:id="94"/>
    </w:p>
    <w:p>
      <w:pPr>
        <w:ind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1.</w:t>
      </w:r>
      <w:r>
        <w:rPr>
          <w:rFonts w:hint="eastAsia" w:ascii="仿宋_GB2312" w:hAnsi="Times New Roman" w:eastAsia="仿宋_GB2312"/>
          <w:color w:val="auto"/>
          <w:sz w:val="30"/>
          <w:szCs w:val="30"/>
        </w:rPr>
        <w:t>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543"/>
        <w:gridCol w:w="1276"/>
        <w:gridCol w:w="567"/>
        <w:gridCol w:w="851"/>
        <w:gridCol w:w="708"/>
        <w:gridCol w:w="1043"/>
      </w:tblGrid>
      <w:t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35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276"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3543"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关于办理内保外贷签约登记的书面申请报告（内容包括公司基本情况、已办理且未了结的各项跨境担保余额、本次担保交易内容要点、预计还款资金来源、其他需要说明的事项。有共同担保人的，应在申请报告中说明）</w:t>
            </w:r>
          </w:p>
        </w:tc>
        <w:tc>
          <w:tcPr>
            <w:tcW w:w="1276"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trHeight w:val="378" w:hRule="atLeast"/>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3543"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担保合同和担保项下主债务合同（合同文本内容较多的，提供合同简明条款并加盖印章；合同为外文的，须提供中文翻译件并加盖印章）</w:t>
            </w:r>
          </w:p>
        </w:tc>
        <w:tc>
          <w:tcPr>
            <w:tcW w:w="127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3543"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外汇局根据本规定认为需要补充的相关证明材料（</w:t>
            </w:r>
            <w:r>
              <w:rPr>
                <w:rFonts w:hint="eastAsia" w:ascii="仿宋_GB2312" w:eastAsia="仿宋_GB2312"/>
                <w:color w:val="auto"/>
                <w:sz w:val="24"/>
                <w:szCs w:val="24"/>
              </w:rPr>
              <w:t>如发改委、商务部门关于境外投资项目的批准文件、被担保人主体资格合法性证明、担保的商业合理性证明、被担保人还款能力证明、办理变更登记时需要提供的变更材料等</w:t>
            </w:r>
            <w:r>
              <w:rPr>
                <w:rFonts w:hint="eastAsia" w:ascii="仿宋_GB2312" w:hAnsi="宋体" w:eastAsia="仿宋_GB2312"/>
                <w:color w:val="auto"/>
                <w:sz w:val="24"/>
                <w:szCs w:val="24"/>
              </w:rPr>
              <w:t>）</w:t>
            </w:r>
          </w:p>
        </w:tc>
        <w:tc>
          <w:tcPr>
            <w:tcW w:w="127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firstLine="600" w:firstLineChars="200"/>
        <w:rPr>
          <w:rFonts w:ascii="仿宋_GB2312" w:hAnsi="Times New Roman" w:eastAsia="仿宋_GB2312"/>
          <w:color w:val="auto"/>
          <w:sz w:val="30"/>
          <w:szCs w:val="30"/>
        </w:rPr>
      </w:pPr>
      <w:bookmarkStart w:id="95" w:name="OLE_LINK3"/>
      <w:bookmarkStart w:id="96" w:name="OLE_LINK4"/>
      <w:r>
        <w:rPr>
          <w:rFonts w:hint="eastAsia" w:ascii="仿宋_GB2312" w:hAnsi="Times New Roman" w:eastAsia="仿宋_GB2312"/>
          <w:color w:val="auto"/>
          <w:sz w:val="30"/>
          <w:szCs w:val="30"/>
        </w:rPr>
        <w:t>2．非银行机构注销登记申请材料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83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5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835"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申请书</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jc w:val="center"/>
        </w:trP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2</w:t>
            </w:r>
          </w:p>
        </w:tc>
        <w:tc>
          <w:tcPr>
            <w:tcW w:w="2835"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内保外贷《对外担保登记表》</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trHeight w:val="378" w:hRule="atLeast"/>
          <w:jc w:val="center"/>
        </w:trP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2835" w:type="dxa"/>
            <w:vAlign w:val="center"/>
          </w:tcPr>
          <w:p>
            <w:pPr>
              <w:autoSpaceDE w:val="0"/>
              <w:autoSpaceDN w:val="0"/>
              <w:adjustRightInd w:val="0"/>
              <w:jc w:val="left"/>
              <w:rPr>
                <w:rFonts w:ascii="仿宋_GB2312" w:hAnsi="宋体" w:eastAsia="仿宋_GB2312"/>
                <w:color w:val="auto"/>
                <w:sz w:val="24"/>
                <w:szCs w:val="24"/>
              </w:rPr>
            </w:pPr>
            <w:r>
              <w:rPr>
                <w:rFonts w:hint="eastAsia" w:ascii="仿宋_GB2312" w:hAnsi="宋体" w:eastAsia="仿宋_GB2312"/>
                <w:color w:val="auto"/>
                <w:sz w:val="24"/>
                <w:szCs w:val="24"/>
              </w:rPr>
              <w:t>内保外贷责任解除的相关证明材料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jc w:val="center"/>
        </w:trP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2835"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外汇局要求提供的其他材料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97" w:name="_Toc14323"/>
      <w:bookmarkStart w:id="98" w:name="_Toc9625"/>
      <w:bookmarkStart w:id="99" w:name="_Toc2603"/>
      <w:bookmarkStart w:id="100" w:name="_Toc20282"/>
      <w:bookmarkStart w:id="101" w:name="_Toc6579"/>
      <w:r>
        <w:rPr>
          <w:rFonts w:hint="eastAsia" w:ascii="仿宋_GB2312" w:eastAsia="仿宋_GB2312"/>
          <w:color w:val="auto"/>
          <w:sz w:val="30"/>
          <w:szCs w:val="30"/>
        </w:rPr>
        <w:t>3.不予受理的，出具不予受理通知书；</w:t>
      </w:r>
      <w:bookmarkEnd w:id="97"/>
      <w:bookmarkEnd w:id="98"/>
      <w:bookmarkEnd w:id="99"/>
      <w:bookmarkEnd w:id="100"/>
      <w:bookmarkEnd w:id="101"/>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58"/>
        <w:rPr>
          <w:rFonts w:ascii="仿宋_GB2312" w:eastAsia="仿宋_GB2312"/>
          <w:color w:val="auto"/>
          <w:sz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ind w:right="300"/>
        <w:rPr>
          <w:rFonts w:ascii="仿宋_GB2312" w:eastAsia="仿宋_GB2312"/>
          <w:color w:val="auto"/>
          <w:sz w:val="30"/>
          <w:szCs w:val="30"/>
        </w:rPr>
      </w:pPr>
    </w:p>
    <w:p>
      <w:pPr>
        <w:widowControl/>
        <w:jc w:val="left"/>
        <w:rPr>
          <w:rFonts w:ascii="仿宋_GB2312" w:hAnsi="ˎ̥" w:eastAsia="仿宋_GB2312" w:cs="宋体"/>
          <w:color w:val="auto"/>
          <w:kern w:val="0"/>
          <w:sz w:val="30"/>
          <w:szCs w:val="30"/>
        </w:rPr>
      </w:pPr>
      <w:r>
        <w:rPr>
          <w:rFonts w:hint="eastAsia" w:ascii="仿宋_GB2312" w:eastAsia="仿宋_GB2312"/>
          <w:color w:val="auto"/>
          <w:sz w:val="30"/>
          <w:szCs w:val="30"/>
        </w:rPr>
        <w:br w:type="page"/>
      </w:r>
    </w:p>
    <w:bookmarkEnd w:id="95"/>
    <w:bookmarkEnd w:id="96"/>
    <w:p>
      <w:pPr>
        <w:pStyle w:val="3"/>
        <w:rPr>
          <w:color w:val="auto"/>
        </w:rPr>
      </w:pPr>
      <w:bookmarkStart w:id="102" w:name="_Toc31852"/>
      <w:bookmarkStart w:id="103" w:name="_Toc701"/>
      <w:bookmarkStart w:id="104" w:name="_Toc19529"/>
      <w:bookmarkStart w:id="105" w:name="_Toc13629"/>
      <w:bookmarkStart w:id="106" w:name="_Toc22456"/>
      <w:r>
        <w:rPr>
          <w:rFonts w:hint="eastAsia"/>
          <w:color w:val="auto"/>
        </w:rPr>
        <w:t>（五）、非银行机构内保外贷业务集中登记</w:t>
      </w:r>
      <w:bookmarkEnd w:id="102"/>
      <w:bookmarkEnd w:id="103"/>
      <w:bookmarkEnd w:id="104"/>
      <w:bookmarkEnd w:id="105"/>
      <w:bookmarkEnd w:id="106"/>
    </w:p>
    <w:p>
      <w:pPr>
        <w:outlineLvl w:val="0"/>
        <w:rPr>
          <w:rFonts w:ascii="黑体" w:eastAsia="黑体"/>
          <w:color w:val="auto"/>
          <w:sz w:val="30"/>
          <w:szCs w:val="30"/>
        </w:rPr>
      </w:pPr>
      <w:bookmarkStart w:id="107" w:name="_Toc4244"/>
      <w:bookmarkStart w:id="108" w:name="_Toc14125"/>
      <w:bookmarkStart w:id="109" w:name="_Toc23922"/>
      <w:bookmarkStart w:id="110" w:name="_Toc9275"/>
      <w:bookmarkStart w:id="111" w:name="_Toc5490"/>
      <w:r>
        <w:rPr>
          <w:rFonts w:hint="eastAsia" w:ascii="黑体" w:eastAsia="黑体"/>
          <w:color w:val="auto"/>
          <w:sz w:val="30"/>
          <w:szCs w:val="30"/>
        </w:rPr>
        <w:t>办理依据</w:t>
      </w:r>
      <w:bookmarkEnd w:id="107"/>
      <w:bookmarkEnd w:id="108"/>
      <w:bookmarkEnd w:id="109"/>
      <w:bookmarkEnd w:id="110"/>
      <w:bookmarkEnd w:id="111"/>
    </w:p>
    <w:p>
      <w:pPr>
        <w:ind w:firstLine="600"/>
        <w:rPr>
          <w:rFonts w:ascii="仿宋_GB2312" w:eastAsia="仿宋_GB2312"/>
          <w:color w:val="auto"/>
          <w:sz w:val="30"/>
          <w:szCs w:val="30"/>
        </w:rPr>
      </w:pPr>
      <w:r>
        <w:rPr>
          <w:rFonts w:hint="eastAsia" w:ascii="仿宋_GB2312" w:eastAsia="仿宋_GB2312"/>
          <w:color w:val="auto"/>
          <w:sz w:val="30"/>
          <w:szCs w:val="30"/>
        </w:rPr>
        <w:t>1.</w:t>
      </w:r>
      <w:r>
        <w:rPr>
          <w:rFonts w:ascii="仿宋_GB2312" w:eastAsia="仿宋_GB2312"/>
          <w:color w:val="auto"/>
          <w:sz w:val="30"/>
          <w:szCs w:val="30"/>
        </w:rPr>
        <w:t>《中华人民共和国外汇管理条例》（国务院令第532号）</w:t>
      </w:r>
      <w:r>
        <w:rPr>
          <w:rFonts w:hint="eastAsia" w:ascii="仿宋_GB2312" w:eastAsia="仿宋_GB2312"/>
          <w:color w:val="auto"/>
          <w:sz w:val="30"/>
          <w:szCs w:val="30"/>
        </w:rPr>
        <w:t>；</w:t>
      </w:r>
    </w:p>
    <w:p>
      <w:pPr>
        <w:ind w:firstLine="600"/>
        <w:rPr>
          <w:rFonts w:ascii="仿宋_GB2312" w:eastAsia="仿宋_GB2312"/>
          <w:color w:val="auto"/>
          <w:sz w:val="30"/>
          <w:szCs w:val="30"/>
        </w:rPr>
      </w:pPr>
      <w:r>
        <w:rPr>
          <w:rFonts w:hint="eastAsia" w:ascii="仿宋_GB2312" w:eastAsia="仿宋_GB2312"/>
          <w:color w:val="auto"/>
          <w:sz w:val="30"/>
          <w:szCs w:val="30"/>
        </w:rPr>
        <w:t>2.</w:t>
      </w:r>
      <w:r>
        <w:rPr>
          <w:rFonts w:ascii="仿宋_GB2312" w:eastAsia="仿宋_GB2312"/>
          <w:color w:val="auto"/>
          <w:sz w:val="30"/>
          <w:szCs w:val="30"/>
        </w:rPr>
        <w:t>《</w:t>
      </w:r>
      <w:r>
        <w:rPr>
          <w:rFonts w:hint="eastAsia" w:ascii="仿宋_GB2312" w:eastAsia="仿宋_GB2312"/>
          <w:color w:val="auto"/>
          <w:sz w:val="30"/>
          <w:szCs w:val="30"/>
        </w:rPr>
        <w:t>国家外汇管理局关于发布〈跨境担保外汇管理规定〉的通知》（汇发[2014]29号）；</w:t>
      </w:r>
    </w:p>
    <w:p>
      <w:pPr>
        <w:ind w:firstLine="600" w:firstLineChars="200"/>
        <w:rPr>
          <w:rFonts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《国家外汇管理局关于对部分非银行机构内保外贷业务实行集中登记管理的通知》（汇发</w:t>
      </w:r>
      <w:r>
        <w:rPr>
          <w:rFonts w:ascii="仿宋_GB2312" w:eastAsia="仿宋_GB2312"/>
          <w:color w:val="auto"/>
          <w:sz w:val="30"/>
          <w:szCs w:val="30"/>
        </w:rPr>
        <w:t>[2015]15号）</w:t>
      </w:r>
      <w:r>
        <w:rPr>
          <w:rFonts w:hint="eastAsia" w:ascii="仿宋_GB2312" w:eastAsia="仿宋_GB2312"/>
          <w:color w:val="auto"/>
          <w:sz w:val="30"/>
          <w:szCs w:val="30"/>
        </w:rPr>
        <w:t>；</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4.《国家外汇管理局关于发布〈金融机构外汇业务数据采集规范（1.1版）〉的通知》（汇发〔2016〕22号）；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5.《国家外汇管理局关于进一步推进外汇管理改革完善真实合规性审核的通知》（汇发〔2017〕3号）；</w:t>
      </w:r>
    </w:p>
    <w:p>
      <w:pPr>
        <w:ind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6</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其他相关法规。</w:t>
      </w:r>
    </w:p>
    <w:p>
      <w:pPr>
        <w:outlineLvl w:val="0"/>
        <w:rPr>
          <w:rFonts w:ascii="黑体" w:hAnsi="Times New Roman" w:eastAsia="黑体"/>
          <w:color w:val="auto"/>
          <w:sz w:val="30"/>
          <w:szCs w:val="30"/>
        </w:rPr>
      </w:pPr>
      <w:bookmarkStart w:id="112" w:name="_Toc19219"/>
      <w:bookmarkStart w:id="113" w:name="_Toc29878"/>
      <w:bookmarkStart w:id="114" w:name="_Toc32540"/>
      <w:bookmarkStart w:id="115" w:name="_Toc26528"/>
      <w:bookmarkStart w:id="116" w:name="_Toc12057"/>
      <w:r>
        <w:rPr>
          <w:rFonts w:hint="eastAsia" w:ascii="黑体" w:hAnsi="Times New Roman" w:eastAsia="黑体"/>
          <w:color w:val="auto"/>
          <w:sz w:val="30"/>
          <w:szCs w:val="30"/>
        </w:rPr>
        <w:t>办事条件</w:t>
      </w:r>
      <w:bookmarkEnd w:id="112"/>
      <w:bookmarkEnd w:id="113"/>
      <w:bookmarkEnd w:id="114"/>
      <w:bookmarkEnd w:id="115"/>
      <w:bookmarkEnd w:id="116"/>
    </w:p>
    <w:p>
      <w:pPr>
        <w:ind w:firstLine="600"/>
        <w:rPr>
          <w:rFonts w:ascii="仿宋_GB2312" w:hAnsi="Times New Roman" w:eastAsia="仿宋_GB2312"/>
          <w:color w:val="auto"/>
          <w:sz w:val="30"/>
          <w:szCs w:val="30"/>
        </w:rPr>
      </w:pPr>
      <w:r>
        <w:rPr>
          <w:rFonts w:hint="eastAsia" w:ascii="仿宋_GB2312" w:hAnsi="Times New Roman" w:eastAsia="仿宋_GB2312"/>
          <w:color w:val="auto"/>
          <w:sz w:val="30"/>
          <w:szCs w:val="30"/>
        </w:rPr>
        <w:t>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w:t>
      </w:r>
    </w:p>
    <w:p>
      <w:pPr>
        <w:ind w:firstLine="600"/>
        <w:rPr>
          <w:rFonts w:ascii="仿宋_GB2312" w:eastAsia="仿宋_GB2312"/>
          <w:color w:val="auto"/>
          <w:sz w:val="30"/>
          <w:szCs w:val="30"/>
        </w:rPr>
      </w:pPr>
      <w:r>
        <w:rPr>
          <w:rFonts w:hint="eastAsia" w:ascii="仿宋_GB2312" w:eastAsia="仿宋_GB2312"/>
          <w:color w:val="auto"/>
          <w:sz w:val="30"/>
          <w:szCs w:val="30"/>
        </w:rPr>
        <w:t>1.集中登记</w:t>
      </w:r>
    </w:p>
    <w:p>
      <w:pPr>
        <w:ind w:firstLine="600"/>
        <w:rPr>
          <w:rFonts w:ascii="仿宋_GB2312" w:eastAsia="仿宋_GB2312"/>
          <w:color w:val="auto"/>
          <w:sz w:val="30"/>
          <w:szCs w:val="30"/>
        </w:rPr>
      </w:pPr>
      <w:r>
        <w:rPr>
          <w:rFonts w:hint="eastAsia" w:ascii="仿宋_GB2312" w:eastAsia="仿宋_GB2312"/>
          <w:color w:val="auto"/>
          <w:sz w:val="30"/>
          <w:szCs w:val="30"/>
        </w:rPr>
        <w:t>应在每月结束后3个工作日内通过</w:t>
      </w:r>
      <w:r>
        <w:rPr>
          <w:rFonts w:ascii="仿宋_GB2312" w:eastAsia="仿宋_GB2312"/>
          <w:color w:val="auto"/>
          <w:sz w:val="30"/>
          <w:szCs w:val="30"/>
        </w:rPr>
        <w:t>逐笔填报《</w:t>
      </w:r>
      <w:r>
        <w:rPr>
          <w:rFonts w:hint="eastAsia" w:ascii="仿宋_GB2312" w:eastAsia="仿宋_GB2312"/>
          <w:color w:val="auto"/>
          <w:sz w:val="30"/>
          <w:szCs w:val="30"/>
        </w:rPr>
        <w:t>非银行机构内保外贷集中登记逐笔月报表</w:t>
      </w:r>
      <w:r>
        <w:rPr>
          <w:rFonts w:ascii="仿宋_GB2312" w:eastAsia="仿宋_GB2312"/>
          <w:color w:val="auto"/>
          <w:sz w:val="30"/>
          <w:szCs w:val="30"/>
        </w:rPr>
        <w:t>》</w:t>
      </w:r>
      <w:r>
        <w:rPr>
          <w:rFonts w:hint="eastAsia" w:ascii="仿宋_GB2312" w:eastAsia="仿宋_GB2312"/>
          <w:color w:val="auto"/>
          <w:sz w:val="30"/>
          <w:szCs w:val="30"/>
        </w:rPr>
        <w:t>向所在地外汇局集中办理签约登记手续。</w:t>
      </w:r>
    </w:p>
    <w:p>
      <w:pPr>
        <w:ind w:firstLine="600"/>
        <w:rPr>
          <w:rFonts w:ascii="仿宋_GB2312" w:eastAsia="仿宋_GB2312"/>
          <w:color w:val="auto"/>
          <w:sz w:val="30"/>
          <w:szCs w:val="30"/>
        </w:rPr>
      </w:pPr>
      <w:r>
        <w:rPr>
          <w:rFonts w:hint="eastAsia" w:ascii="仿宋_GB2312" w:eastAsia="仿宋_GB2312"/>
          <w:color w:val="auto"/>
          <w:sz w:val="30"/>
          <w:szCs w:val="30"/>
        </w:rPr>
        <w:t>2.变更登记</w:t>
      </w:r>
    </w:p>
    <w:p>
      <w:pPr>
        <w:ind w:firstLine="600"/>
        <w:rPr>
          <w:rFonts w:ascii="仿宋_GB2312" w:eastAsia="仿宋_GB2312"/>
          <w:color w:val="auto"/>
          <w:sz w:val="30"/>
          <w:szCs w:val="30"/>
        </w:rPr>
      </w:pPr>
      <w:r>
        <w:rPr>
          <w:rFonts w:hint="eastAsia" w:ascii="仿宋_GB2312" w:eastAsia="仿宋_GB2312"/>
          <w:color w:val="auto"/>
          <w:sz w:val="30"/>
          <w:szCs w:val="30"/>
        </w:rPr>
        <w:t>担保合同或担保项下主债务合同主要条款发生变更的（包括债务或担保金额、期限、债权人等发生变更），应当在每月结束后3个工作日内办理变更登记手续，参照上述程序办理变更登记手续。</w:t>
      </w:r>
    </w:p>
    <w:p>
      <w:pPr>
        <w:ind w:firstLine="600"/>
        <w:rPr>
          <w:rFonts w:ascii="仿宋_GB2312" w:eastAsia="仿宋_GB2312"/>
          <w:color w:val="auto"/>
          <w:sz w:val="30"/>
          <w:szCs w:val="30"/>
        </w:rPr>
      </w:pPr>
      <w:r>
        <w:rPr>
          <w:rFonts w:hint="eastAsia" w:ascii="仿宋_GB2312" w:eastAsia="仿宋_GB2312"/>
          <w:color w:val="auto"/>
          <w:sz w:val="30"/>
          <w:szCs w:val="30"/>
        </w:rPr>
        <w:t>3.根据现行跨境担保外汇管理规定，境内非银行机构内保外贷项下债务人发生违约且担保人进行履约后，在境外债务人偿清对担保人承担的债务之前，未经外汇局批准，担保人不得签订新的担保合同。担保人因经营原因确需继续办理其他内保外贷业务的，可逐笔向外汇局申请豁免违约暂停条款限制。</w:t>
      </w:r>
    </w:p>
    <w:p>
      <w:pPr>
        <w:ind w:firstLine="600"/>
        <w:rPr>
          <w:rFonts w:ascii="仿宋_GB2312" w:eastAsia="仿宋_GB2312"/>
          <w:color w:val="auto"/>
          <w:sz w:val="30"/>
          <w:szCs w:val="30"/>
        </w:rPr>
      </w:pPr>
      <w:r>
        <w:rPr>
          <w:rFonts w:hint="eastAsia" w:ascii="仿宋_GB2312" w:eastAsia="仿宋_GB2312"/>
          <w:color w:val="auto"/>
          <w:sz w:val="30"/>
          <w:szCs w:val="30"/>
        </w:rPr>
        <w:t>4.申请豁免违约暂停条款限制的内保外贷业务应同时满足以下条件：</w:t>
      </w:r>
    </w:p>
    <w:p>
      <w:pPr>
        <w:ind w:firstLine="600"/>
        <w:rPr>
          <w:rFonts w:ascii="仿宋_GB2312" w:eastAsia="仿宋_GB2312"/>
          <w:color w:val="auto"/>
          <w:sz w:val="30"/>
          <w:szCs w:val="30"/>
        </w:rPr>
      </w:pPr>
      <w:r>
        <w:rPr>
          <w:rFonts w:hint="eastAsia" w:ascii="仿宋_GB2312" w:eastAsia="仿宋_GB2312"/>
          <w:color w:val="auto"/>
          <w:sz w:val="30"/>
          <w:szCs w:val="30"/>
        </w:rPr>
        <w:t>（1）导致担保项下主债务合同发生违约的原因是不可抗力或其他不可预见因素；</w:t>
      </w:r>
    </w:p>
    <w:p>
      <w:pPr>
        <w:ind w:firstLine="600"/>
        <w:rPr>
          <w:rFonts w:ascii="仿宋_GB2312" w:eastAsia="仿宋_GB2312"/>
          <w:color w:val="auto"/>
          <w:sz w:val="30"/>
          <w:szCs w:val="30"/>
        </w:rPr>
      </w:pPr>
      <w:r>
        <w:rPr>
          <w:rFonts w:hint="eastAsia" w:ascii="仿宋_GB2312" w:eastAsia="仿宋_GB2312"/>
          <w:color w:val="auto"/>
          <w:sz w:val="30"/>
          <w:szCs w:val="30"/>
        </w:rPr>
        <w:t>（2）担保项下债务人存在实际困难，近期内无法清偿对担保人承担的债务；</w:t>
      </w:r>
    </w:p>
    <w:p>
      <w:pPr>
        <w:ind w:firstLine="600"/>
        <w:rPr>
          <w:rFonts w:ascii="仿宋_GB2312" w:eastAsia="仿宋_GB2312"/>
          <w:color w:val="auto"/>
          <w:sz w:val="30"/>
          <w:szCs w:val="30"/>
        </w:rPr>
      </w:pPr>
      <w:r>
        <w:rPr>
          <w:rFonts w:hint="eastAsia" w:ascii="仿宋_GB2312" w:eastAsia="仿宋_GB2312"/>
          <w:color w:val="auto"/>
          <w:sz w:val="30"/>
          <w:szCs w:val="30"/>
        </w:rPr>
        <w:t>（3）担保人由于经营原因确有实际需要继续办理内保外贷业务，且不会对自身经营能力产生明显不利影响。</w:t>
      </w:r>
    </w:p>
    <w:p>
      <w:pPr>
        <w:outlineLvl w:val="0"/>
        <w:rPr>
          <w:rFonts w:ascii="黑体" w:hAnsi="Times New Roman" w:eastAsia="黑体"/>
          <w:color w:val="auto"/>
          <w:sz w:val="30"/>
          <w:szCs w:val="30"/>
        </w:rPr>
      </w:pPr>
      <w:bookmarkStart w:id="117" w:name="_Toc9123"/>
      <w:bookmarkStart w:id="118" w:name="_Toc12351"/>
      <w:bookmarkStart w:id="119" w:name="_Toc7892"/>
      <w:bookmarkStart w:id="120" w:name="_Toc20998"/>
      <w:bookmarkStart w:id="121" w:name="_Toc31506"/>
      <w:r>
        <w:rPr>
          <w:rFonts w:hint="eastAsia" w:ascii="黑体" w:hAnsi="Times New Roman" w:eastAsia="黑体"/>
          <w:color w:val="auto"/>
          <w:sz w:val="30"/>
          <w:szCs w:val="30"/>
        </w:rPr>
        <w:t>申请材料</w:t>
      </w:r>
      <w:bookmarkEnd w:id="117"/>
      <w:bookmarkEnd w:id="118"/>
      <w:bookmarkEnd w:id="119"/>
      <w:bookmarkEnd w:id="120"/>
      <w:bookmarkEnd w:id="121"/>
    </w:p>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1．集中登记资格申请材料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83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5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835"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申请书（内容包括但不限于内保外贷业务开展情况、内保外贷业务预计发生频率、近三年是否有重大外汇管理违法违规行为发生等）</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trHeight w:val="378" w:hRule="atLeast"/>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835" w:type="dxa"/>
            <w:vAlign w:val="center"/>
          </w:tcPr>
          <w:p>
            <w:pPr>
              <w:autoSpaceDE w:val="0"/>
              <w:autoSpaceDN w:val="0"/>
              <w:adjustRightInd w:val="0"/>
              <w:jc w:val="left"/>
              <w:rPr>
                <w:rFonts w:ascii="仿宋_GB2312" w:hAnsi="宋体" w:eastAsia="仿宋_GB2312"/>
                <w:color w:val="auto"/>
                <w:sz w:val="24"/>
                <w:szCs w:val="24"/>
              </w:rPr>
            </w:pPr>
            <w:r>
              <w:rPr>
                <w:rFonts w:hint="eastAsia" w:ascii="仿宋_GB2312" w:hAnsi="宋体" w:eastAsia="仿宋_GB2312"/>
                <w:color w:val="auto"/>
                <w:sz w:val="24"/>
                <w:szCs w:val="24"/>
              </w:rPr>
              <w:t>担保业务内控制度</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2835"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外汇局要求提供的其他材料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2．集中登记（变更登记）申请材料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83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5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835"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申请书（内容包括但不限于上月担保签约笔数、金额、担保资金主要用途、合规承诺及其他需要说明的事项等。合规承诺内容为：“本机构保证，申请书内容与担保合同、借款合同的内容完全一致，且担保事项符合外汇管理规定及中国和相关国家及地区的其他法律、法规要求，如有不实，愿意承担相关法律后果。”）</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trHeight w:val="378" w:hRule="atLeast"/>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835" w:type="dxa"/>
            <w:vAlign w:val="center"/>
          </w:tcPr>
          <w:p>
            <w:pPr>
              <w:autoSpaceDE w:val="0"/>
              <w:autoSpaceDN w:val="0"/>
              <w:adjustRightInd w:val="0"/>
              <w:jc w:val="left"/>
              <w:rPr>
                <w:rFonts w:ascii="仿宋_GB2312" w:hAnsi="宋体" w:eastAsia="仿宋_GB2312"/>
                <w:color w:val="auto"/>
                <w:sz w:val="24"/>
                <w:szCs w:val="24"/>
              </w:rPr>
            </w:pPr>
            <w:r>
              <w:rPr>
                <w:rFonts w:hint="eastAsia" w:ascii="仿宋_GB2312" w:hAnsi="宋体" w:eastAsia="仿宋_GB2312"/>
                <w:color w:val="auto"/>
                <w:sz w:val="24"/>
                <w:szCs w:val="24"/>
              </w:rPr>
              <w:t>纸质版及电子版《非银行机构内保外贷集中登记逐笔月报表》</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纸质/电子</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2835"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担保合同和担保项下主债务合同</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w:t>
            </w:r>
          </w:p>
        </w:tc>
      </w:tr>
      <w:tr>
        <w:trPr>
          <w:jc w:val="center"/>
        </w:trP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2835" w:type="dxa"/>
            <w:vAlign w:val="center"/>
          </w:tcPr>
          <w:p>
            <w:pPr>
              <w:jc w:val="left"/>
              <w:rPr>
                <w:rFonts w:ascii="仿宋_GB2312" w:eastAsia="仿宋_GB2312"/>
                <w:color w:val="auto"/>
                <w:sz w:val="24"/>
                <w:szCs w:val="24"/>
              </w:rPr>
            </w:pPr>
            <w:r>
              <w:rPr>
                <w:rFonts w:hint="eastAsia" w:ascii="仿宋_GB2312" w:hAnsi="宋体" w:eastAsia="仿宋_GB2312"/>
                <w:color w:val="auto"/>
                <w:sz w:val="24"/>
                <w:szCs w:val="24"/>
              </w:rPr>
              <w:t>外汇局要求提供的其他材料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3.豁免“违约暂停条款”限制申请材料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83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559"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1"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708"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835" w:type="dxa"/>
            <w:vAlign w:val="center"/>
          </w:tcPr>
          <w:p>
            <w:pPr>
              <w:jc w:val="left"/>
              <w:rPr>
                <w:rFonts w:ascii="仿宋_GB2312" w:hAnsi="宋体" w:eastAsia="仿宋_GB2312"/>
                <w:color w:val="auto"/>
                <w:sz w:val="24"/>
                <w:szCs w:val="24"/>
              </w:rPr>
            </w:pPr>
            <w:r>
              <w:rPr>
                <w:rFonts w:hint="eastAsia" w:ascii="仿宋_GB2312" w:hAnsi="宋体" w:eastAsia="仿宋_GB2312"/>
                <w:color w:val="auto"/>
                <w:sz w:val="24"/>
                <w:szCs w:val="24"/>
              </w:rPr>
              <w:t>申请书（内容包括但不限于跨境担保总体情况、涉及债务人违约的担保合同履约情况、债务人违约原因及清偿债务的可能性，对担保人自身财务状况的影响、担保履约及该豁免申请不存在规避外汇管理规定相关动机的说明等）</w:t>
            </w:r>
          </w:p>
        </w:tc>
        <w:tc>
          <w:tcPr>
            <w:tcW w:w="1559"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p>
        </w:tc>
      </w:tr>
      <w:tr>
        <w:trPr>
          <w:trHeight w:val="378" w:hRule="atLeast"/>
          <w:jc w:val="center"/>
        </w:trPr>
        <w:tc>
          <w:tcPr>
            <w:tcW w:w="534"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835" w:type="dxa"/>
            <w:vAlign w:val="center"/>
          </w:tcPr>
          <w:p>
            <w:pPr>
              <w:autoSpaceDE w:val="0"/>
              <w:autoSpaceDN w:val="0"/>
              <w:adjustRightInd w:val="0"/>
              <w:jc w:val="left"/>
              <w:rPr>
                <w:rFonts w:ascii="仿宋_GB2312" w:hAnsi="宋体" w:eastAsia="仿宋_GB2312"/>
                <w:color w:val="auto"/>
                <w:sz w:val="24"/>
                <w:szCs w:val="24"/>
              </w:rPr>
            </w:pPr>
            <w:r>
              <w:rPr>
                <w:rFonts w:hint="eastAsia" w:ascii="仿宋_GB2312" w:hAnsi="宋体" w:eastAsia="仿宋_GB2312"/>
                <w:color w:val="auto"/>
                <w:sz w:val="24"/>
                <w:szCs w:val="24"/>
              </w:rPr>
              <w:t>与申请内容相关的证明材料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378" w:hRule="atLeast"/>
          <w:jc w:val="center"/>
        </w:trPr>
        <w:tc>
          <w:tcPr>
            <w:tcW w:w="53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2835" w:type="dxa"/>
            <w:vAlign w:val="center"/>
          </w:tcPr>
          <w:p>
            <w:pPr>
              <w:autoSpaceDE w:val="0"/>
              <w:autoSpaceDN w:val="0"/>
              <w:adjustRightInd w:val="0"/>
              <w:jc w:val="left"/>
              <w:rPr>
                <w:rFonts w:ascii="仿宋_GB2312" w:hAnsi="宋体" w:eastAsia="仿宋_GB2312"/>
                <w:color w:val="auto"/>
                <w:sz w:val="24"/>
                <w:szCs w:val="24"/>
              </w:rPr>
            </w:pPr>
            <w:r>
              <w:rPr>
                <w:rFonts w:hint="eastAsia" w:ascii="仿宋_GB2312" w:hAnsi="宋体" w:eastAsia="仿宋_GB2312"/>
                <w:color w:val="auto"/>
                <w:sz w:val="24"/>
                <w:szCs w:val="24"/>
              </w:rPr>
              <w:t>外汇局要求提供的其他材料</w:t>
            </w:r>
          </w:p>
        </w:tc>
        <w:tc>
          <w:tcPr>
            <w:tcW w:w="1559"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992"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51"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708" w:type="dxa"/>
            <w:vAlign w:val="center"/>
          </w:tcPr>
          <w:p>
            <w:pPr>
              <w:jc w:val="left"/>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122" w:name="_Toc31484"/>
      <w:bookmarkStart w:id="123" w:name="_Toc21288"/>
      <w:bookmarkStart w:id="124" w:name="_Toc7022"/>
      <w:bookmarkStart w:id="125" w:name="_Toc1025"/>
      <w:bookmarkStart w:id="126" w:name="_Toc22536"/>
      <w:r>
        <w:rPr>
          <w:rFonts w:hint="eastAsia" w:ascii="仿宋_GB2312" w:eastAsia="仿宋_GB2312"/>
          <w:color w:val="auto"/>
          <w:sz w:val="30"/>
          <w:szCs w:val="30"/>
        </w:rPr>
        <w:t>3.不予受理的，出具不予受理通知书；</w:t>
      </w:r>
      <w:bookmarkEnd w:id="122"/>
      <w:bookmarkEnd w:id="123"/>
      <w:bookmarkEnd w:id="124"/>
      <w:bookmarkEnd w:id="125"/>
      <w:bookmarkEnd w:id="126"/>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58"/>
        <w:rPr>
          <w:rFonts w:ascii="仿宋_GB2312" w:eastAsia="仿宋_GB2312"/>
          <w:color w:val="auto"/>
          <w:sz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pStyle w:val="2"/>
        <w:ind w:firstLine="0" w:firstLineChars="0"/>
        <w:rPr>
          <w:color w:val="auto"/>
        </w:rPr>
      </w:pPr>
      <w:r>
        <w:rPr>
          <w:rFonts w:ascii="仿宋_GB2312" w:eastAsia="仿宋_GB2312"/>
          <w:color w:val="auto"/>
        </w:rPr>
        <w:br w:type="page"/>
      </w:r>
      <w:bookmarkStart w:id="127" w:name="_Toc9795"/>
      <w:bookmarkStart w:id="128" w:name="_Toc5134"/>
      <w:bookmarkStart w:id="129" w:name="_Toc8591"/>
      <w:bookmarkStart w:id="130" w:name="_Toc11711"/>
      <w:bookmarkStart w:id="131" w:name="_Toc7023"/>
      <w:r>
        <w:rPr>
          <w:rStyle w:val="37"/>
          <w:rFonts w:hint="eastAsia"/>
          <w:color w:val="auto"/>
        </w:rPr>
        <w:t>（六）、外保内贷履约外债登记</w:t>
      </w:r>
      <w:bookmarkEnd w:id="127"/>
      <w:bookmarkEnd w:id="128"/>
      <w:bookmarkEnd w:id="129"/>
      <w:bookmarkEnd w:id="130"/>
      <w:bookmarkEnd w:id="131"/>
    </w:p>
    <w:p>
      <w:pPr>
        <w:outlineLvl w:val="0"/>
        <w:rPr>
          <w:rFonts w:ascii="黑体" w:eastAsia="黑体"/>
          <w:color w:val="auto"/>
          <w:sz w:val="30"/>
          <w:szCs w:val="30"/>
        </w:rPr>
      </w:pPr>
      <w:bookmarkStart w:id="132" w:name="_Toc21290"/>
      <w:bookmarkStart w:id="133" w:name="_Toc5609"/>
      <w:bookmarkStart w:id="134" w:name="_Toc21331"/>
      <w:bookmarkStart w:id="135" w:name="_Toc30697"/>
      <w:bookmarkStart w:id="136" w:name="_Toc11154"/>
      <w:r>
        <w:rPr>
          <w:rFonts w:hint="eastAsia" w:ascii="黑体" w:eastAsia="黑体"/>
          <w:color w:val="auto"/>
          <w:sz w:val="30"/>
          <w:szCs w:val="30"/>
        </w:rPr>
        <w:t>办理依据</w:t>
      </w:r>
      <w:bookmarkEnd w:id="132"/>
      <w:bookmarkEnd w:id="133"/>
      <w:bookmarkEnd w:id="134"/>
      <w:bookmarkEnd w:id="135"/>
      <w:bookmarkEnd w:id="136"/>
    </w:p>
    <w:p>
      <w:pPr>
        <w:ind w:firstLine="585"/>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《中华人民共和国外汇管理条例》（国务院令第</w:t>
      </w:r>
      <w:r>
        <w:rPr>
          <w:rFonts w:ascii="仿宋_GB2312" w:eastAsia="仿宋_GB2312"/>
          <w:color w:val="auto"/>
          <w:sz w:val="30"/>
          <w:szCs w:val="30"/>
        </w:rPr>
        <w:t>532</w:t>
      </w:r>
      <w:r>
        <w:rPr>
          <w:rFonts w:hint="eastAsia" w:ascii="仿宋_GB2312" w:eastAsia="仿宋_GB2312"/>
          <w:color w:val="auto"/>
          <w:sz w:val="30"/>
          <w:szCs w:val="30"/>
        </w:rPr>
        <w:t>号）。</w:t>
      </w:r>
    </w:p>
    <w:p>
      <w:pPr>
        <w:ind w:firstLine="585"/>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《国家外汇管理局关于发布〈外债登记管理办法〉的通知》（汇发〔2013〕19号）。</w:t>
      </w:r>
    </w:p>
    <w:p>
      <w:pPr>
        <w:ind w:firstLine="585"/>
        <w:rPr>
          <w:rFonts w:ascii="仿宋_GB2312" w:eastAsia="仿宋_GB2312"/>
          <w:color w:val="auto"/>
          <w:sz w:val="30"/>
          <w:szCs w:val="30"/>
        </w:rPr>
      </w:pPr>
      <w:r>
        <w:rPr>
          <w:rFonts w:hint="eastAsia" w:ascii="仿宋_GB2312" w:eastAsia="仿宋_GB2312"/>
          <w:color w:val="auto"/>
          <w:sz w:val="30"/>
          <w:szCs w:val="30"/>
        </w:rPr>
        <w:t>3.《国家外汇管理局关于发布〈跨境担保外汇管理规定〉的通知》（汇发</w:t>
      </w:r>
      <w:r>
        <w:rPr>
          <w:rFonts w:ascii="仿宋_GB2312" w:eastAsia="仿宋_GB2312"/>
          <w:color w:val="auto"/>
          <w:sz w:val="30"/>
          <w:szCs w:val="30"/>
        </w:rPr>
        <w:t>〔2014〕29</w:t>
      </w:r>
      <w:r>
        <w:rPr>
          <w:rFonts w:hint="eastAsia" w:ascii="仿宋_GB2312" w:eastAsia="仿宋_GB2312"/>
          <w:color w:val="auto"/>
          <w:sz w:val="30"/>
          <w:szCs w:val="30"/>
        </w:rPr>
        <w:t>号）。</w:t>
      </w:r>
    </w:p>
    <w:p>
      <w:pPr>
        <w:ind w:firstLine="585"/>
        <w:rPr>
          <w:rFonts w:ascii="仿宋_GB2312" w:eastAsia="仿宋_GB2312"/>
          <w:color w:val="auto"/>
          <w:sz w:val="30"/>
          <w:szCs w:val="30"/>
        </w:rPr>
      </w:pPr>
      <w:r>
        <w:rPr>
          <w:rFonts w:hint="eastAsia" w:ascii="仿宋_GB2312" w:eastAsia="仿宋_GB2312"/>
          <w:color w:val="auto"/>
          <w:sz w:val="30"/>
          <w:szCs w:val="30"/>
        </w:rPr>
        <w:t>4</w:t>
      </w:r>
      <w:r>
        <w:rPr>
          <w:rFonts w:ascii="仿宋_GB2312" w:eastAsia="仿宋_GB2312"/>
          <w:color w:val="auto"/>
          <w:sz w:val="30"/>
          <w:szCs w:val="30"/>
        </w:rPr>
        <w:t>.</w:t>
      </w:r>
      <w:r>
        <w:rPr>
          <w:rFonts w:hint="eastAsia" w:ascii="仿宋_GB2312" w:eastAsia="仿宋_GB2312"/>
          <w:color w:val="auto"/>
          <w:sz w:val="30"/>
          <w:szCs w:val="30"/>
        </w:rPr>
        <w:t>《中国人民银行关于全口径跨境融资宏观审慎管理有关事宜的通知》（银发〔2017〕9号）。</w:t>
      </w:r>
    </w:p>
    <w:p>
      <w:pPr>
        <w:ind w:firstLine="585"/>
        <w:rPr>
          <w:rFonts w:ascii="仿宋_GB2312" w:hAnsi="Times New Roman" w:eastAsia="仿宋_GB2312"/>
          <w:color w:val="auto"/>
          <w:sz w:val="30"/>
          <w:szCs w:val="30"/>
        </w:rPr>
      </w:pPr>
      <w:r>
        <w:rPr>
          <w:rFonts w:hint="eastAsia" w:ascii="仿宋_GB2312" w:eastAsia="仿宋_GB2312"/>
          <w:color w:val="auto"/>
          <w:sz w:val="30"/>
          <w:szCs w:val="30"/>
        </w:rPr>
        <w:t>5.其他相关法规。</w:t>
      </w:r>
    </w:p>
    <w:p>
      <w:pPr>
        <w:outlineLvl w:val="0"/>
        <w:rPr>
          <w:rFonts w:ascii="黑体" w:hAnsi="Times New Roman" w:eastAsia="黑体"/>
          <w:color w:val="auto"/>
          <w:sz w:val="30"/>
          <w:szCs w:val="30"/>
        </w:rPr>
      </w:pPr>
      <w:bookmarkStart w:id="137" w:name="_Toc14384"/>
      <w:bookmarkStart w:id="138" w:name="_Toc15975"/>
      <w:bookmarkStart w:id="139" w:name="_Toc2494"/>
      <w:bookmarkStart w:id="140" w:name="_Toc28656"/>
      <w:bookmarkStart w:id="141" w:name="_Toc28822"/>
      <w:r>
        <w:rPr>
          <w:rFonts w:hint="eastAsia" w:ascii="黑体" w:hAnsi="Times New Roman" w:eastAsia="黑体"/>
          <w:color w:val="auto"/>
          <w:sz w:val="30"/>
          <w:szCs w:val="30"/>
        </w:rPr>
        <w:t>办事条件</w:t>
      </w:r>
      <w:bookmarkEnd w:id="137"/>
      <w:bookmarkEnd w:id="138"/>
      <w:bookmarkEnd w:id="139"/>
      <w:bookmarkEnd w:id="140"/>
      <w:bookmarkEnd w:id="141"/>
    </w:p>
    <w:p>
      <w:pPr>
        <w:widowControl/>
        <w:ind w:firstLine="600" w:firstLineChars="200"/>
        <w:rPr>
          <w:rFonts w:ascii="仿宋_GB2312" w:hAnsi="宋体" w:eastAsia="仿宋_GB2312"/>
          <w:color w:val="auto"/>
          <w:kern w:val="0"/>
          <w:sz w:val="30"/>
          <w:szCs w:val="30"/>
        </w:rPr>
      </w:pPr>
      <w:r>
        <w:rPr>
          <w:rFonts w:hint="eastAsia" w:ascii="仿宋_GB2312" w:hAnsi="宋体" w:eastAsia="仿宋_GB2312"/>
          <w:color w:val="auto"/>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ind w:firstLine="600" w:firstLineChars="200"/>
        <w:rPr>
          <w:rFonts w:ascii="仿宋_GB2312" w:hAnsi="宋体" w:eastAsia="仿宋_GB2312"/>
          <w:color w:val="auto"/>
          <w:kern w:val="0"/>
          <w:sz w:val="30"/>
          <w:szCs w:val="30"/>
        </w:rPr>
      </w:pPr>
      <w:r>
        <w:rPr>
          <w:rFonts w:hint="eastAsia" w:ascii="仿宋_GB2312" w:hAnsi="宋体" w:eastAsia="仿宋_GB2312"/>
          <w:color w:val="auto"/>
          <w:kern w:val="0"/>
          <w:sz w:val="30"/>
          <w:szCs w:val="30"/>
        </w:rPr>
        <w:t>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p>
      <w:pPr>
        <w:widowControl/>
        <w:ind w:firstLine="600" w:firstLineChars="200"/>
        <w:rPr>
          <w:rFonts w:ascii="仿宋_GB2312" w:hAnsi="宋体" w:eastAsia="仿宋_GB2312"/>
          <w:color w:val="auto"/>
          <w:kern w:val="0"/>
          <w:sz w:val="30"/>
          <w:szCs w:val="30"/>
        </w:rPr>
      </w:pPr>
      <w:r>
        <w:rPr>
          <w:rFonts w:hint="eastAsia" w:ascii="仿宋_GB2312" w:hAnsi="宋体" w:eastAsia="仿宋_GB2312"/>
          <w:color w:val="auto"/>
          <w:kern w:val="0"/>
          <w:sz w:val="30"/>
          <w:szCs w:val="30"/>
        </w:rPr>
        <w:t>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pPr>
        <w:outlineLvl w:val="0"/>
        <w:rPr>
          <w:rFonts w:ascii="黑体" w:hAnsi="Times New Roman" w:eastAsia="黑体"/>
          <w:color w:val="auto"/>
          <w:sz w:val="30"/>
          <w:szCs w:val="30"/>
        </w:rPr>
      </w:pPr>
      <w:bookmarkStart w:id="142" w:name="_Toc7717"/>
      <w:bookmarkStart w:id="143" w:name="_Toc1969"/>
      <w:bookmarkStart w:id="144" w:name="_Toc31431"/>
      <w:bookmarkStart w:id="145" w:name="_Toc15928"/>
      <w:bookmarkStart w:id="146" w:name="_Toc29682"/>
      <w:r>
        <w:rPr>
          <w:rFonts w:hint="eastAsia" w:ascii="黑体" w:hAnsi="Times New Roman" w:eastAsia="黑体"/>
          <w:color w:val="auto"/>
          <w:sz w:val="30"/>
          <w:szCs w:val="30"/>
        </w:rPr>
        <w:t>申请材料</w:t>
      </w:r>
      <w:bookmarkEnd w:id="142"/>
      <w:bookmarkEnd w:id="143"/>
      <w:bookmarkEnd w:id="144"/>
      <w:bookmarkEnd w:id="145"/>
      <w:bookmarkEnd w:id="146"/>
    </w:p>
    <w:p>
      <w:pPr>
        <w:widowControl/>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b/>
          <w:color w:val="auto"/>
          <w:sz w:val="30"/>
          <w:szCs w:val="30"/>
        </w:rPr>
        <w:t>外保内贷境外担保履约外债登记</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475"/>
        <w:gridCol w:w="952"/>
        <w:gridCol w:w="457"/>
        <w:gridCol w:w="844"/>
        <w:gridCol w:w="565"/>
        <w:gridCol w:w="696"/>
      </w:tblGrid>
      <w:tr>
        <w:tc>
          <w:tcPr>
            <w:tcW w:w="53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447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5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45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4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696"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rPr>
          <w:trHeight w:val="1035"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447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关于办理外债签约登记的书面申请报告（内容包括公司基本情况、外保内贷业务逐笔和汇总情况、本次担保履约情况及其他需要说明的事项）。</w:t>
            </w:r>
          </w:p>
        </w:tc>
        <w:tc>
          <w:tcPr>
            <w:tcW w:w="952" w:type="dxa"/>
            <w:vAlign w:val="center"/>
          </w:tcPr>
          <w:p>
            <w:pPr>
              <w:jc w:val="left"/>
              <w:rPr>
                <w:rFonts w:ascii="仿宋_GB2312" w:eastAsia="仿宋_GB2312"/>
                <w:color w:val="auto"/>
                <w:sz w:val="24"/>
                <w:szCs w:val="24"/>
              </w:rPr>
            </w:pPr>
            <w:r>
              <w:rPr>
                <w:rFonts w:hint="eastAsia" w:ascii="仿宋_GB2312" w:hAnsi="华文仿宋" w:eastAsia="仿宋_GB2312"/>
                <w:color w:val="auto"/>
                <w:kern w:val="0"/>
                <w:sz w:val="24"/>
                <w:szCs w:val="24"/>
              </w:rPr>
              <w:t>加盖公章的</w:t>
            </w:r>
            <w:r>
              <w:rPr>
                <w:rFonts w:hint="eastAsia" w:ascii="仿宋_GB2312" w:eastAsia="仿宋_GB2312"/>
                <w:color w:val="auto"/>
                <w:sz w:val="24"/>
                <w:szCs w:val="24"/>
              </w:rPr>
              <w:t>原件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keepNext/>
              <w:keepLines/>
              <w:spacing w:before="340" w:after="330" w:line="578" w:lineRule="auto"/>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p>
        </w:tc>
      </w:tr>
      <w:tr>
        <w:trPr>
          <w:trHeight w:val="378"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4475" w:type="dxa"/>
            <w:vAlign w:val="center"/>
          </w:tcPr>
          <w:p>
            <w:pPr>
              <w:jc w:val="left"/>
              <w:rPr>
                <w:rFonts w:ascii="仿宋_GB2312" w:hAnsi="宋体" w:eastAsia="仿宋_GB2312"/>
                <w:color w:val="auto"/>
                <w:kern w:val="0"/>
                <w:sz w:val="24"/>
                <w:szCs w:val="24"/>
              </w:rPr>
            </w:pPr>
            <w:r>
              <w:rPr>
                <w:rFonts w:hint="eastAsia" w:ascii="仿宋_GB2312" w:hAnsi="宋体" w:eastAsia="仿宋_GB2312"/>
                <w:color w:val="auto"/>
                <w:kern w:val="0"/>
                <w:sz w:val="24"/>
              </w:rPr>
              <w:t>外保内贷的主债务合同、担保合同和担保履约证明文件（合同文本内容较多的，提供合同简明条款并加盖印章；合同为外文的，须提供中文翻译件并加盖债务人印章）</w:t>
            </w:r>
          </w:p>
        </w:tc>
        <w:tc>
          <w:tcPr>
            <w:tcW w:w="95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4475" w:type="dxa"/>
            <w:vAlign w:val="center"/>
          </w:tcPr>
          <w:p>
            <w:pPr>
              <w:widowControl/>
              <w:jc w:val="left"/>
              <w:rPr>
                <w:rFonts w:ascii="仿宋_GB2312" w:hAnsi="宋体" w:eastAsia="仿宋_GB2312"/>
                <w:color w:val="auto"/>
                <w:kern w:val="0"/>
                <w:sz w:val="24"/>
              </w:rPr>
            </w:pPr>
            <w:r>
              <w:rPr>
                <w:rFonts w:hint="eastAsia" w:ascii="仿宋_GB2312" w:hAnsi="宋体" w:eastAsia="仿宋_GB2312"/>
                <w:color w:val="auto"/>
                <w:kern w:val="0"/>
                <w:sz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pPr>
              <w:jc w:val="left"/>
              <w:rPr>
                <w:rFonts w:ascii="仿宋_GB2312" w:eastAsia="仿宋_GB2312"/>
                <w:color w:val="auto"/>
                <w:sz w:val="24"/>
                <w:szCs w:val="24"/>
              </w:rPr>
            </w:pPr>
          </w:p>
        </w:tc>
        <w:tc>
          <w:tcPr>
            <w:tcW w:w="95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4475" w:type="dxa"/>
            <w:vAlign w:val="center"/>
          </w:tcPr>
          <w:p>
            <w:pPr>
              <w:jc w:val="left"/>
              <w:rPr>
                <w:rFonts w:ascii="仿宋_GB2312" w:eastAsia="仿宋_GB2312"/>
                <w:color w:val="auto"/>
                <w:sz w:val="24"/>
                <w:szCs w:val="24"/>
              </w:rPr>
            </w:pPr>
            <w:r>
              <w:rPr>
                <w:rFonts w:hint="eastAsia" w:ascii="仿宋_GB2312" w:hAnsi="宋体" w:eastAsia="仿宋_GB2312"/>
                <w:color w:val="auto"/>
                <w:kern w:val="0"/>
                <w:sz w:val="24"/>
              </w:rPr>
              <w:t>上年度末经审计的债务人财务报表</w:t>
            </w:r>
          </w:p>
        </w:tc>
        <w:tc>
          <w:tcPr>
            <w:tcW w:w="95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5</w:t>
            </w:r>
          </w:p>
        </w:tc>
        <w:tc>
          <w:tcPr>
            <w:tcW w:w="4475" w:type="dxa"/>
            <w:vAlign w:val="center"/>
          </w:tcPr>
          <w:p>
            <w:pPr>
              <w:jc w:val="left"/>
              <w:rPr>
                <w:rFonts w:ascii="仿宋_GB2312" w:eastAsia="仿宋_GB2312"/>
                <w:color w:val="auto"/>
                <w:sz w:val="24"/>
                <w:szCs w:val="24"/>
              </w:rPr>
            </w:pPr>
            <w:r>
              <w:rPr>
                <w:rFonts w:hint="eastAsia" w:ascii="仿宋_GB2312" w:hAnsi="宋体" w:eastAsia="仿宋_GB2312"/>
                <w:color w:val="auto"/>
                <w:kern w:val="0"/>
                <w:sz w:val="24"/>
              </w:rPr>
              <w:t>与履约相对应的外保内贷登记情况</w:t>
            </w:r>
          </w:p>
        </w:tc>
        <w:tc>
          <w:tcPr>
            <w:tcW w:w="95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6</w:t>
            </w:r>
          </w:p>
        </w:tc>
        <w:tc>
          <w:tcPr>
            <w:tcW w:w="4475" w:type="dxa"/>
            <w:vAlign w:val="center"/>
          </w:tcPr>
          <w:p>
            <w:pPr>
              <w:jc w:val="left"/>
              <w:rPr>
                <w:rFonts w:ascii="仿宋_GB2312" w:eastAsia="仿宋_GB2312"/>
                <w:color w:val="auto"/>
                <w:sz w:val="24"/>
                <w:szCs w:val="24"/>
              </w:rPr>
            </w:pPr>
            <w:r>
              <w:rPr>
                <w:rFonts w:hint="eastAsia" w:ascii="仿宋_GB2312" w:hAnsi="宋体" w:eastAsia="仿宋_GB2312"/>
                <w:color w:val="auto"/>
                <w:kern w:val="0"/>
                <w:sz w:val="24"/>
              </w:rPr>
              <w:t>外汇局要求提供的其他材料</w:t>
            </w:r>
          </w:p>
        </w:tc>
        <w:tc>
          <w:tcPr>
            <w:tcW w:w="952"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57" w:type="dxa"/>
            <w:vAlign w:val="center"/>
          </w:tcPr>
          <w:p>
            <w:pPr>
              <w:jc w:val="left"/>
              <w:rPr>
                <w:rFonts w:ascii="仿宋_GB2312" w:eastAsia="仿宋_GB2312"/>
                <w:color w:val="auto"/>
                <w:sz w:val="24"/>
                <w:szCs w:val="24"/>
              </w:rPr>
            </w:pPr>
            <w:r>
              <w:rPr>
                <w:rFonts w:ascii="仿宋_GB2312" w:eastAsia="仿宋_GB2312"/>
                <w:color w:val="auto"/>
                <w:sz w:val="24"/>
                <w:szCs w:val="24"/>
              </w:rPr>
              <w:t>1</w:t>
            </w:r>
          </w:p>
        </w:tc>
        <w:tc>
          <w:tcPr>
            <w:tcW w:w="844"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565" w:type="dxa"/>
            <w:vAlign w:val="center"/>
          </w:tcPr>
          <w:p>
            <w:pPr>
              <w:jc w:val="left"/>
              <w:rPr>
                <w:rFonts w:ascii="仿宋_GB2312" w:eastAsia="仿宋_GB2312"/>
                <w:color w:val="auto"/>
                <w:sz w:val="24"/>
                <w:szCs w:val="24"/>
              </w:rPr>
            </w:pPr>
          </w:p>
        </w:tc>
        <w:tc>
          <w:tcPr>
            <w:tcW w:w="696"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147" w:name="_Toc25760"/>
      <w:bookmarkStart w:id="148" w:name="_Toc15540"/>
      <w:bookmarkStart w:id="149" w:name="_Toc17533"/>
      <w:bookmarkStart w:id="150" w:name="_Toc17012"/>
      <w:bookmarkStart w:id="151" w:name="_Toc6804"/>
      <w:r>
        <w:rPr>
          <w:rFonts w:hint="eastAsia" w:ascii="仿宋_GB2312" w:eastAsia="仿宋_GB2312"/>
          <w:color w:val="auto"/>
          <w:sz w:val="30"/>
          <w:szCs w:val="30"/>
        </w:rPr>
        <w:t>3.不予受理的，出具不予受理通知书；</w:t>
      </w:r>
      <w:bookmarkEnd w:id="147"/>
      <w:bookmarkEnd w:id="148"/>
      <w:bookmarkEnd w:id="149"/>
      <w:bookmarkEnd w:id="150"/>
      <w:bookmarkEnd w:id="151"/>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300"/>
        <w:rPr>
          <w:rFonts w:ascii="仿宋_GB2312"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r>
        <w:rPr>
          <w:rFonts w:ascii="仿宋_GB2312" w:eastAsia="仿宋_GB2312"/>
          <w:color w:val="auto"/>
          <w:sz w:val="30"/>
          <w:szCs w:val="30"/>
        </w:rPr>
        <w:br w:type="page"/>
      </w:r>
    </w:p>
    <w:p>
      <w:pPr>
        <w:pStyle w:val="2"/>
        <w:ind w:firstLine="0" w:firstLineChars="0"/>
        <w:rPr>
          <w:color w:val="auto"/>
          <w:sz w:val="32"/>
          <w:szCs w:val="32"/>
        </w:rPr>
      </w:pPr>
      <w:bookmarkStart w:id="152" w:name="_Toc16846"/>
      <w:bookmarkStart w:id="153" w:name="_Toc8054"/>
      <w:bookmarkStart w:id="154" w:name="_Toc17371"/>
      <w:bookmarkStart w:id="155" w:name="_Toc29175"/>
      <w:bookmarkStart w:id="156" w:name="_Toc23743"/>
      <w:r>
        <w:rPr>
          <w:rFonts w:hint="eastAsia"/>
          <w:color w:val="auto"/>
          <w:sz w:val="32"/>
          <w:szCs w:val="32"/>
        </w:rPr>
        <w:t>三、境内机构（不含商业银行）向境外提供商业贷款审批与登记</w:t>
      </w:r>
      <w:bookmarkEnd w:id="152"/>
      <w:bookmarkEnd w:id="153"/>
      <w:bookmarkEnd w:id="154"/>
      <w:bookmarkEnd w:id="155"/>
      <w:bookmarkEnd w:id="156"/>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eastAsia="仿宋_GB2312"/>
          <w:color w:val="auto"/>
          <w:sz w:val="30"/>
          <w:szCs w:val="30"/>
        </w:rPr>
      </w:pPr>
      <w:r>
        <w:rPr>
          <w:rFonts w:hint="eastAsia" w:ascii="仿宋_GB2312" w:eastAsia="仿宋_GB2312"/>
          <w:color w:val="auto"/>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pStyle w:val="3"/>
        <w:rPr>
          <w:color w:val="auto"/>
        </w:rPr>
      </w:pPr>
      <w:bookmarkStart w:id="157" w:name="_Toc2900"/>
      <w:bookmarkStart w:id="158" w:name="_Toc5252"/>
      <w:bookmarkStart w:id="159" w:name="_Toc22386"/>
      <w:bookmarkStart w:id="160" w:name="_Toc21118"/>
      <w:bookmarkStart w:id="161" w:name="_Toc23414"/>
      <w:r>
        <w:rPr>
          <w:rFonts w:hint="eastAsia"/>
          <w:color w:val="auto"/>
        </w:rPr>
        <w:t>（一）、境内机构境外放款额度登记</w:t>
      </w:r>
      <w:bookmarkEnd w:id="157"/>
      <w:bookmarkEnd w:id="158"/>
      <w:bookmarkEnd w:id="159"/>
      <w:bookmarkEnd w:id="160"/>
      <w:bookmarkEnd w:id="161"/>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2.《境内外汇账户管理规定》（银发〔1997〕416号）。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3.《国家外汇管理局关于境内企业境外放款外汇管理有关问题的通知》（汇发〔2009〕24号）。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4.《国家外汇管理局关于鼓励和引导民间投资健康发展有关外汇管理问题的通知》（汇发〔2012〕33号）。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5.《国家外汇管理局关于进一步改进和调整直接投资外汇管理政策的通知》（汇发〔2012〕59号）。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6.《国家外汇管理局关于进一步改进和调整资本项目外汇管理政策的通知》（汇发〔2014〕2号）。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7.《国家外汇管理局关于境内居民通过特殊目的公司境外投融资及返程投资外汇管理有关问题的通知》（汇发〔2014〕37号）。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8.《国家外汇管理局关于废止和修订涉及注册资本登记制度改革相关规范性文件的通知》（汇发〔2015〕20号）。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9.《中国人民银行关于进一步明确境内企业人民币境外放款业务有关事项的通知》（银发〔2016〕306号）。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10.《国家外汇管理局关于进一步推进外汇管理改革完善真实合规性审核的通知》（汇发〔2017〕3号）。</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11.其他相关法规。</w:t>
      </w:r>
    </w:p>
    <w:p>
      <w:pPr>
        <w:rPr>
          <w:rFonts w:ascii="黑体" w:hAnsi="Times New Roman" w:eastAsia="黑体"/>
          <w:color w:val="auto"/>
          <w:sz w:val="30"/>
          <w:szCs w:val="30"/>
        </w:rPr>
      </w:pPr>
      <w:r>
        <w:rPr>
          <w:rFonts w:hint="eastAsia" w:ascii="黑体" w:eastAsia="黑体"/>
          <w:color w:val="auto"/>
          <w:sz w:val="30"/>
          <w:szCs w:val="30"/>
        </w:rPr>
        <w:t>办事条件</w:t>
      </w:r>
    </w:p>
    <w:p>
      <w:pPr>
        <w:ind w:firstLine="600" w:firstLineChars="200"/>
        <w:jc w:val="left"/>
        <w:rPr>
          <w:rFonts w:ascii="仿宋_GB2312" w:eastAsia="仿宋_GB2312"/>
          <w:color w:val="auto"/>
          <w:sz w:val="30"/>
          <w:szCs w:val="30"/>
        </w:rPr>
      </w:pPr>
      <w:r>
        <w:rPr>
          <w:rFonts w:hint="eastAsia" w:ascii="仿宋_GB2312" w:eastAsia="仿宋_GB2312"/>
          <w:color w:val="auto"/>
          <w:sz w:val="30"/>
          <w:szCs w:val="30"/>
        </w:rPr>
        <w:t>1.放款人、借款人需同时符合以下条件：</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放款人在办理本外币境外放款业务前，应到所在地外汇局进行登记。放款人本外币境外放款余额上限为其最近一期经审计财务报表中所有者权益的30％（另有规定的从其规定）。放款人本外币境外放款余额之和不得超过放款人境外放款余额上限（人民币境外放款余额按照银发〔2016〕306号文有关规定计算）。</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放款人指中华人民共和国境内（不含香港、澳门和台湾地区）注册成立的非金融企业。放款人和借款人均依法注册成立且未违反直接投资存量权益登记等相关规定。成立时间不满1年的新设企业，不得开展境外放款业务。</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对直接或间接持股比例无限制。</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3.对于银发〔2016〕306号文件实施前发生的人民币境外放款业务，企业可不向外汇局作补登记，但银发〔2016〕306号文件实施前已经发生的人民币境外放款存量余额应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4.放款人向境外放款的利率应符合商业原则，在合理范围内协商确定，但必须大于零。放款期限原则上应在6个月至五年内，超过5年（含5年）的应报当地人民银行或外汇局进行备案。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5.境外借款人的经营规模应与借款规模相适应，并确保境外放款用途的真实性和合理性。</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6.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境内企业不得办理新的境外放款业务。境内银行发生内保外贷履约，如有反担保人，也应参照前述原则办理。</w:t>
      </w:r>
    </w:p>
    <w:p>
      <w:pPr>
        <w:ind w:firstLine="567"/>
        <w:rPr>
          <w:rFonts w:ascii="仿宋_GB2312" w:eastAsia="仿宋_GB2312"/>
          <w:color w:val="auto"/>
          <w:sz w:val="30"/>
          <w:szCs w:val="30"/>
        </w:rPr>
      </w:pPr>
      <w:r>
        <w:rPr>
          <w:rFonts w:hint="eastAsia" w:ascii="仿宋_GB2312" w:eastAsia="仿宋_GB2312"/>
          <w:color w:val="auto"/>
          <w:sz w:val="30"/>
          <w:szCs w:val="30"/>
        </w:rPr>
        <w:t>7.增加境外放款额度或原放款协议发生变化（如利率调整、期限变更等）的，需办理变更登记。境外放款期限届满后如需继续使用，应在期限届满前1个月内，由放款人向所在地外汇局提出展期申请。</w:t>
      </w:r>
    </w:p>
    <w:p>
      <w:pPr>
        <w:ind w:firstLine="567"/>
        <w:rPr>
          <w:rFonts w:ascii="仿宋_GB2312" w:eastAsia="仿宋_GB2312"/>
          <w:color w:val="auto"/>
          <w:sz w:val="30"/>
          <w:szCs w:val="30"/>
        </w:rPr>
      </w:pPr>
      <w:r>
        <w:rPr>
          <w:rFonts w:hint="eastAsia" w:ascii="仿宋_GB2312" w:eastAsia="仿宋_GB2312"/>
          <w:color w:val="auto"/>
          <w:sz w:val="30"/>
          <w:szCs w:val="30"/>
        </w:rPr>
        <w:t>8.境外放款到期并收回本息的或虽未到期但本息回收完毕（含债转股、债务豁免或担保履约）后不再进行境外放款的，需办理境外放款额度注销登记。</w:t>
      </w:r>
    </w:p>
    <w:p>
      <w:pPr>
        <w:ind w:firstLine="567"/>
        <w:rPr>
          <w:rFonts w:ascii="仿宋_GB2312" w:eastAsia="仿宋_GB2312"/>
          <w:color w:val="auto"/>
          <w:sz w:val="30"/>
          <w:szCs w:val="30"/>
        </w:rPr>
      </w:pPr>
      <w:r>
        <w:rPr>
          <w:rFonts w:hint="eastAsia" w:ascii="仿宋_GB2312" w:eastAsia="仿宋_GB2312"/>
          <w:color w:val="auto"/>
          <w:sz w:val="30"/>
          <w:szCs w:val="30"/>
        </w:rPr>
        <w:t>如确有客观原因无法收回境外放款本息，放款人可向所在地外汇局申请注销该笔境外放款，由放款人所在地外汇分局（外汇管理部）按个案集体审议方式处理。对于无正当理由的逾期放款或逾期不回收的，外汇局或经办行可暂停放款人新的境外放款业务。</w:t>
      </w:r>
    </w:p>
    <w:p>
      <w:pPr>
        <w:ind w:firstLine="567"/>
        <w:rPr>
          <w:rFonts w:ascii="仿宋_GB2312" w:eastAsia="仿宋_GB2312"/>
          <w:color w:val="auto"/>
          <w:sz w:val="30"/>
          <w:szCs w:val="30"/>
        </w:rPr>
      </w:pPr>
      <w:r>
        <w:rPr>
          <w:rFonts w:hint="eastAsia" w:ascii="仿宋_GB2312" w:eastAsia="仿宋_GB2312"/>
          <w:color w:val="auto"/>
          <w:sz w:val="30"/>
          <w:szCs w:val="30"/>
        </w:rPr>
        <w:t>9.境外放款债转股的，境内放款人须先到外汇局办理境外放款额度注销，再到银行办理“境内机构境外直接投资外汇变更登记”。</w:t>
      </w:r>
    </w:p>
    <w:p>
      <w:pPr>
        <w:ind w:firstLine="567"/>
        <w:rPr>
          <w:rFonts w:ascii="仿宋_GB2312" w:eastAsia="仿宋_GB2312"/>
          <w:color w:val="auto"/>
          <w:sz w:val="30"/>
          <w:szCs w:val="30"/>
        </w:rPr>
      </w:pPr>
      <w:r>
        <w:rPr>
          <w:rFonts w:hint="eastAsia" w:ascii="仿宋_GB2312" w:eastAsia="仿宋_GB2312"/>
          <w:color w:val="auto"/>
          <w:sz w:val="30"/>
          <w:szCs w:val="30"/>
        </w:rPr>
        <w:t>放款人拟向境内其他机构转让债权的，债权受让方作为新的放款人应符合境外放款、境外投资等相关业务规定，同时办理以下业务：原放款人办理注销境外放款登记、新放款人办理新的境外放款登记。原放款人办理注销登记时，应提交放款人权力机构同意转让境外放款的决议书以及境外放款转让协议等材料作为注销境外放款的真实性证明材料。新、旧放款人分属不同外汇局管辖的，办理注销登记的外汇局将资本项目信息系统中能够反映原境外放款已经被注销的页面打印后加盖业务章返给原放款人，供原放款人提交给新放款人到所在地外汇局办理境外放款登记手续使用。</w:t>
      </w:r>
    </w:p>
    <w:p>
      <w:pPr>
        <w:rPr>
          <w:rFonts w:ascii="黑体" w:eastAsia="黑体"/>
          <w:color w:val="auto"/>
          <w:sz w:val="30"/>
          <w:szCs w:val="30"/>
        </w:rPr>
      </w:pPr>
      <w:r>
        <w:rPr>
          <w:rFonts w:hint="eastAsia" w:ascii="黑体" w:eastAsia="黑体"/>
          <w:color w:val="auto"/>
          <w:sz w:val="30"/>
          <w:szCs w:val="30"/>
        </w:rPr>
        <w:t>申请材料</w:t>
      </w:r>
    </w:p>
    <w:p>
      <w:pPr>
        <w:ind w:firstLine="600" w:firstLineChars="200"/>
        <w:rPr>
          <w:rFonts w:ascii="黑体" w:eastAsia="黑体"/>
          <w:color w:val="auto"/>
          <w:sz w:val="30"/>
          <w:szCs w:val="30"/>
        </w:rPr>
      </w:pPr>
      <w:r>
        <w:rPr>
          <w:rFonts w:hint="eastAsia" w:ascii="仿宋_GB2312" w:eastAsia="仿宋_GB2312"/>
          <w:color w:val="auto"/>
          <w:sz w:val="30"/>
          <w:szCs w:val="30"/>
        </w:rPr>
        <w:t>1.新增登记申请材料清单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701"/>
        <w:gridCol w:w="992"/>
        <w:gridCol w:w="567"/>
        <w:gridCol w:w="850"/>
        <w:gridCol w:w="2540"/>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kern w:val="0"/>
                <w:sz w:val="24"/>
                <w:szCs w:val="24"/>
              </w:rPr>
            </w:pPr>
            <w:r>
              <w:rPr>
                <w:rFonts w:hint="eastAsia" w:ascii="Times New Roman" w:hAnsi="Times New Roman" w:eastAsia="仿宋_GB2312"/>
                <w:color w:val="auto"/>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kern w:val="0"/>
                <w:sz w:val="24"/>
                <w:szCs w:val="24"/>
              </w:rPr>
            </w:pPr>
            <w:r>
              <w:rPr>
                <w:rFonts w:hint="eastAsia" w:ascii="Times New Roman" w:hAnsi="Times New Roman" w:eastAsia="仿宋_GB2312"/>
                <w:color w:val="auto"/>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《人民币境外放款存量情况表》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内容包括：人民币境外放款余额及逐笔明细信息等</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放款人与境外借款人股权关联关系的证明文件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验原件，留存加盖公章的复印件</w:t>
            </w:r>
          </w:p>
        </w:tc>
      </w:tr>
    </w:tbl>
    <w:p>
      <w:pPr>
        <w:ind w:right="300" w:firstLine="600"/>
        <w:jc w:val="left"/>
        <w:rPr>
          <w:rFonts w:ascii="仿宋_GB2312" w:eastAsia="仿宋_GB2312"/>
          <w:color w:val="auto"/>
          <w:sz w:val="30"/>
          <w:szCs w:val="30"/>
        </w:rPr>
      </w:pPr>
      <w:r>
        <w:rPr>
          <w:rFonts w:hint="eastAsia" w:ascii="仿宋_GB2312" w:eastAsia="仿宋_GB2312"/>
          <w:color w:val="auto"/>
          <w:sz w:val="30"/>
          <w:szCs w:val="30"/>
        </w:rPr>
        <w:t>2.变更登记申请材料清单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color w:val="auto"/>
                <w:sz w:val="24"/>
                <w:szCs w:val="24"/>
              </w:rPr>
            </w:pPr>
            <w:r>
              <w:rPr>
                <w:rFonts w:hint="eastAsia" w:ascii="Times New Roman" w:hAnsi="Times New Roman" w:eastAsia="仿宋_GB2312"/>
                <w:color w:val="auto"/>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kern w:val="0"/>
                <w:sz w:val="24"/>
                <w:szCs w:val="24"/>
              </w:rPr>
            </w:pPr>
            <w:r>
              <w:rPr>
                <w:rFonts w:hint="eastAsia" w:ascii="Times New Roman" w:hAnsi="Times New Roman" w:eastAsia="仿宋_GB2312"/>
                <w:color w:val="auto"/>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hint="eastAsia" w:ascii="仿宋_GB2312" w:eastAsia="仿宋_GB2312"/>
                <w:color w:val="auto"/>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《人民币境外放款存量情况表》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内容包括：人民币境外放款余额及逐笔明细信息等</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hint="eastAsia" w:ascii="仿宋_GB2312" w:eastAsia="仿宋_GB2312"/>
                <w:color w:val="auto"/>
                <w:sz w:val="24"/>
                <w:szCs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验原件，留存加盖公章的复印件</w:t>
            </w:r>
          </w:p>
        </w:tc>
      </w:tr>
    </w:tbl>
    <w:p>
      <w:pPr>
        <w:ind w:firstLine="600" w:firstLineChars="200"/>
        <w:rPr>
          <w:rFonts w:ascii="仿宋_GB2312" w:eastAsia="仿宋_GB2312"/>
          <w:color w:val="auto"/>
          <w:sz w:val="30"/>
          <w:szCs w:val="30"/>
        </w:rPr>
      </w:pPr>
      <w:r>
        <w:rPr>
          <w:rFonts w:hint="eastAsia" w:ascii="仿宋_GB2312" w:eastAsia="仿宋_GB2312"/>
          <w:color w:val="auto"/>
          <w:sz w:val="30"/>
          <w:szCs w:val="30"/>
        </w:rPr>
        <w:t>3.注销登记申请材料清单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境外放款登记业务申请表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Times New Roman" w:hAnsi="Times New Roman" w:eastAsia="仿宋_GB2312"/>
                <w:color w:val="auto"/>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kern w:val="0"/>
                <w:sz w:val="24"/>
                <w:szCs w:val="24"/>
              </w:rPr>
            </w:pPr>
            <w:r>
              <w:rPr>
                <w:rFonts w:hint="eastAsia" w:ascii="Times New Roman" w:hAnsi="Times New Roman" w:eastAsia="仿宋_GB2312"/>
                <w:color w:val="auto"/>
                <w:sz w:val="24"/>
                <w:szCs w:val="24"/>
              </w:rPr>
              <w:t>相关证明材料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hAnsi="Times New Roman" w:eastAsia="仿宋_GB2312"/>
                <w:color w:val="auto"/>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人民银行有关部门、外汇局要求补充的其他材料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auto"/>
                <w:sz w:val="24"/>
                <w:szCs w:val="24"/>
              </w:rPr>
            </w:pPr>
            <w:r>
              <w:rPr>
                <w:rFonts w:hint="eastAsia" w:ascii="仿宋_GB2312" w:eastAsia="仿宋_GB2312"/>
                <w:color w:val="auto"/>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auto"/>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50" w:rightChars="-24"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50" w:rightChars="-24"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300"/>
        <w:rPr>
          <w:rFonts w:ascii="仿宋_GB2312"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0551—63691146 63691141</w:t>
      </w:r>
    </w:p>
    <w:p>
      <w:pPr>
        <w:ind w:right="300"/>
        <w:rPr>
          <w:rFonts w:ascii="仿宋_GB2312" w:eastAsia="仿宋_GB2312"/>
          <w:color w:val="auto"/>
          <w:sz w:val="30"/>
          <w:szCs w:val="30"/>
        </w:rPr>
      </w:pPr>
    </w:p>
    <w:p>
      <w:pPr>
        <w:ind w:right="300"/>
        <w:rPr>
          <w:rFonts w:ascii="黑体" w:eastAsia="黑体"/>
          <w:color w:val="auto"/>
          <w:sz w:val="30"/>
          <w:szCs w:val="30"/>
        </w:rPr>
      </w:pPr>
      <w:r>
        <w:rPr>
          <w:rFonts w:ascii="仿宋_GB2312" w:eastAsia="仿宋_GB2312"/>
          <w:color w:val="auto"/>
          <w:sz w:val="30"/>
          <w:szCs w:val="30"/>
        </w:rPr>
        <w:br w:type="page"/>
      </w:r>
      <w:r>
        <w:rPr>
          <w:rStyle w:val="37"/>
          <w:rFonts w:hint="eastAsia"/>
          <w:color w:val="auto"/>
        </w:rPr>
        <w:t>（二）、融资租赁对外债权登记</w:t>
      </w:r>
    </w:p>
    <w:p>
      <w:pPr>
        <w:ind w:right="-57"/>
        <w:rPr>
          <w:rFonts w:ascii="黑体" w:eastAsia="黑体"/>
          <w:color w:val="auto"/>
          <w:sz w:val="30"/>
          <w:szCs w:val="30"/>
        </w:rPr>
      </w:pPr>
      <w:r>
        <w:rPr>
          <w:rFonts w:hint="eastAsia" w:ascii="黑体" w:eastAsia="黑体"/>
          <w:color w:val="auto"/>
          <w:sz w:val="30"/>
          <w:szCs w:val="30"/>
        </w:rPr>
        <w:t>办理依据</w:t>
      </w:r>
    </w:p>
    <w:p>
      <w:pPr>
        <w:ind w:right="-57"/>
        <w:rPr>
          <w:rFonts w:ascii="仿宋_GB2312" w:eastAsia="仿宋_GB2312"/>
          <w:color w:val="auto"/>
          <w:sz w:val="30"/>
          <w:szCs w:val="30"/>
        </w:rPr>
      </w:pPr>
      <w:r>
        <w:rPr>
          <w:rFonts w:hint="eastAsia" w:ascii="仿宋_GB2312" w:eastAsia="仿宋_GB2312"/>
          <w:color w:val="auto"/>
          <w:sz w:val="30"/>
          <w:szCs w:val="30"/>
        </w:rPr>
        <w:t xml:space="preserve">    1.《中华人民共和国外汇管理条例》（国务院令第532号）。</w:t>
      </w:r>
    </w:p>
    <w:p>
      <w:pPr>
        <w:ind w:right="-57" w:firstLine="600" w:firstLineChars="200"/>
        <w:rPr>
          <w:rFonts w:ascii="仿宋_GB2312" w:eastAsia="仿宋_GB2312"/>
          <w:color w:val="auto"/>
          <w:sz w:val="30"/>
          <w:szCs w:val="30"/>
        </w:rPr>
      </w:pPr>
      <w:r>
        <w:rPr>
          <w:rFonts w:hint="eastAsia" w:ascii="仿宋_GB2312" w:eastAsia="仿宋_GB2312"/>
          <w:color w:val="auto"/>
          <w:sz w:val="30"/>
          <w:szCs w:val="30"/>
        </w:rPr>
        <w:t>2.《国家外汇管理局关于进一步改进和调整资本项目外汇管理政策的通知》（汇发[2014]2号）。</w:t>
      </w:r>
    </w:p>
    <w:p>
      <w:pPr>
        <w:ind w:right="-57"/>
        <w:rPr>
          <w:rFonts w:ascii="仿宋_GB2312" w:eastAsia="仿宋_GB2312"/>
          <w:color w:val="auto"/>
          <w:sz w:val="30"/>
          <w:szCs w:val="30"/>
        </w:rPr>
      </w:pPr>
      <w:r>
        <w:rPr>
          <w:rFonts w:hint="eastAsia" w:ascii="仿宋_GB2312" w:eastAsia="仿宋_GB2312"/>
          <w:color w:val="auto"/>
          <w:sz w:val="30"/>
          <w:szCs w:val="30"/>
        </w:rPr>
        <w:t xml:space="preserve">    3.其他相关法规。</w:t>
      </w:r>
    </w:p>
    <w:p>
      <w:pPr>
        <w:ind w:right="-57"/>
        <w:rPr>
          <w:rFonts w:ascii="黑体" w:eastAsia="黑体"/>
          <w:color w:val="auto"/>
          <w:sz w:val="30"/>
          <w:szCs w:val="30"/>
        </w:rPr>
      </w:pPr>
      <w:r>
        <w:rPr>
          <w:rFonts w:hint="eastAsia" w:ascii="黑体" w:eastAsia="黑体"/>
          <w:color w:val="auto"/>
          <w:sz w:val="30"/>
          <w:szCs w:val="30"/>
        </w:rPr>
        <w:t>办事条件</w:t>
      </w:r>
    </w:p>
    <w:p>
      <w:pPr>
        <w:ind w:right="-57"/>
        <w:rPr>
          <w:rFonts w:ascii="仿宋_GB2312" w:eastAsia="仿宋_GB2312"/>
          <w:color w:val="auto"/>
          <w:sz w:val="30"/>
          <w:szCs w:val="30"/>
        </w:rPr>
      </w:pPr>
      <w:r>
        <w:rPr>
          <w:rFonts w:hint="eastAsia" w:ascii="仿宋_GB2312" w:eastAsia="仿宋_GB2312"/>
          <w:color w:val="auto"/>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ind w:right="-57"/>
        <w:rPr>
          <w:rFonts w:ascii="仿宋_GB2312" w:eastAsia="仿宋_GB2312"/>
          <w:color w:val="auto"/>
          <w:sz w:val="30"/>
          <w:szCs w:val="30"/>
        </w:rPr>
      </w:pPr>
      <w:r>
        <w:rPr>
          <w:rFonts w:hint="eastAsia" w:ascii="仿宋_GB2312" w:eastAsia="仿宋_GB2312"/>
          <w:color w:val="auto"/>
          <w:sz w:val="30"/>
          <w:szCs w:val="30"/>
        </w:rPr>
        <w:t xml:space="preserve">    2.融资租赁类公司或其项目公司开展对外融资租赁业务时，应在融资租赁对外债权发生后15个工作日内，到所在地外汇局办理融资租赁对外债权登记。</w:t>
      </w:r>
    </w:p>
    <w:p>
      <w:pPr>
        <w:ind w:right="-57"/>
        <w:rPr>
          <w:rFonts w:ascii="仿宋_GB2312" w:eastAsia="仿宋_GB2312"/>
          <w:color w:val="auto"/>
          <w:sz w:val="30"/>
          <w:szCs w:val="30"/>
        </w:rPr>
      </w:pPr>
      <w:r>
        <w:rPr>
          <w:rFonts w:hint="eastAsia" w:ascii="仿宋_GB2312" w:eastAsia="仿宋_GB2312"/>
          <w:color w:val="auto"/>
          <w:sz w:val="30"/>
          <w:szCs w:val="30"/>
        </w:rPr>
        <w:t xml:space="preserve">    3.融资租赁类公司开展对外融资租赁业务时，不受现行境内企业境外放款额度限制。</w:t>
      </w:r>
    </w:p>
    <w:p>
      <w:pPr>
        <w:ind w:right="-57" w:firstLine="600"/>
        <w:rPr>
          <w:rFonts w:ascii="仿宋_GB2312" w:eastAsia="仿宋_GB2312"/>
          <w:color w:val="auto"/>
          <w:sz w:val="30"/>
          <w:szCs w:val="30"/>
        </w:rPr>
      </w:pPr>
      <w:r>
        <w:rPr>
          <w:rFonts w:hint="eastAsia" w:ascii="仿宋_GB2312" w:eastAsia="仿宋_GB2312"/>
          <w:color w:val="auto"/>
          <w:sz w:val="30"/>
          <w:szCs w:val="30"/>
        </w:rPr>
        <w:t>4.融资租赁类公司完成对外债权登记后，应按规定办理非资金划转类提款备案。</w:t>
      </w:r>
    </w:p>
    <w:p>
      <w:pPr>
        <w:rPr>
          <w:rFonts w:ascii="仿宋_GB2312" w:eastAsia="仿宋_GB2312"/>
          <w:color w:val="auto"/>
          <w:sz w:val="30"/>
          <w:szCs w:val="30"/>
        </w:rPr>
      </w:pPr>
      <w:r>
        <w:rPr>
          <w:rFonts w:hint="eastAsia" w:ascii="黑体" w:eastAsia="黑体"/>
          <w:color w:val="auto"/>
          <w:sz w:val="30"/>
          <w:szCs w:val="30"/>
        </w:rPr>
        <w:t>申请材料</w:t>
      </w:r>
    </w:p>
    <w:tbl>
      <w:tblPr>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92"/>
        <w:gridCol w:w="3544"/>
        <w:gridCol w:w="1417"/>
        <w:gridCol w:w="425"/>
        <w:gridCol w:w="993"/>
        <w:gridCol w:w="425"/>
        <w:gridCol w:w="1277"/>
      </w:tblGrid>
      <w:tr>
        <w:tc>
          <w:tcPr>
            <w:tcW w:w="392" w:type="dxa"/>
            <w:vAlign w:val="center"/>
          </w:tcPr>
          <w:p>
            <w:pPr>
              <w:ind w:right="300"/>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3544" w:type="dxa"/>
            <w:vAlign w:val="center"/>
          </w:tcPr>
          <w:p>
            <w:pPr>
              <w:ind w:right="-116"/>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417" w:type="dxa"/>
            <w:vAlign w:val="center"/>
          </w:tcPr>
          <w:p>
            <w:pPr>
              <w:ind w:left="-113" w:leftChars="-54" w:right="-115"/>
              <w:jc w:val="center"/>
              <w:rPr>
                <w:rFonts w:ascii="仿宋_GB2312" w:eastAsia="仿宋_GB2312"/>
                <w:b/>
                <w:color w:val="auto"/>
                <w:sz w:val="24"/>
                <w:szCs w:val="24"/>
              </w:rPr>
            </w:pPr>
            <w:r>
              <w:rPr>
                <w:rFonts w:hint="eastAsia" w:ascii="仿宋_GB2312" w:eastAsia="仿宋_GB2312"/>
                <w:b/>
                <w:color w:val="auto"/>
                <w:sz w:val="24"/>
                <w:szCs w:val="24"/>
              </w:rPr>
              <w:t>原件/</w:t>
            </w:r>
          </w:p>
          <w:p>
            <w:pPr>
              <w:ind w:left="-113" w:leftChars="-54" w:right="-115"/>
              <w:jc w:val="center"/>
              <w:rPr>
                <w:rFonts w:ascii="仿宋_GB2312" w:eastAsia="仿宋_GB2312"/>
                <w:b/>
                <w:color w:val="auto"/>
                <w:sz w:val="24"/>
                <w:szCs w:val="24"/>
              </w:rPr>
            </w:pPr>
            <w:r>
              <w:rPr>
                <w:rFonts w:hint="eastAsia" w:ascii="仿宋_GB2312" w:eastAsia="仿宋_GB2312"/>
                <w:b/>
                <w:color w:val="auto"/>
                <w:sz w:val="24"/>
                <w:szCs w:val="24"/>
              </w:rPr>
              <w:t>复印件</w:t>
            </w:r>
          </w:p>
        </w:tc>
        <w:tc>
          <w:tcPr>
            <w:tcW w:w="425" w:type="dxa"/>
            <w:vAlign w:val="center"/>
          </w:tcPr>
          <w:p>
            <w:pPr>
              <w:ind w:left="-103" w:leftChars="-49" w:right="-104"/>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993" w:type="dxa"/>
            <w:vAlign w:val="center"/>
          </w:tcPr>
          <w:p>
            <w:pPr>
              <w:tabs>
                <w:tab w:val="left" w:pos="776"/>
              </w:tabs>
              <w:ind w:left="-97" w:leftChars="-46" w:right="-119"/>
              <w:jc w:val="center"/>
              <w:rPr>
                <w:rFonts w:ascii="仿宋_GB2312" w:eastAsia="仿宋_GB2312"/>
                <w:b/>
                <w:color w:val="auto"/>
                <w:sz w:val="24"/>
                <w:szCs w:val="24"/>
              </w:rPr>
            </w:pPr>
            <w:r>
              <w:rPr>
                <w:rFonts w:hint="eastAsia" w:ascii="仿宋_GB2312" w:eastAsia="仿宋_GB2312"/>
                <w:b/>
                <w:color w:val="auto"/>
                <w:sz w:val="24"/>
                <w:szCs w:val="24"/>
              </w:rPr>
              <w:t>纸质/</w:t>
            </w:r>
          </w:p>
          <w:p>
            <w:pPr>
              <w:tabs>
                <w:tab w:val="left" w:pos="776"/>
              </w:tabs>
              <w:ind w:left="-97" w:leftChars="-46" w:right="-119"/>
              <w:jc w:val="center"/>
              <w:rPr>
                <w:rFonts w:ascii="仿宋_GB2312" w:eastAsia="仿宋_GB2312"/>
                <w:b/>
                <w:color w:val="auto"/>
                <w:sz w:val="24"/>
                <w:szCs w:val="24"/>
              </w:rPr>
            </w:pPr>
            <w:r>
              <w:rPr>
                <w:rFonts w:hint="eastAsia" w:ascii="仿宋_GB2312" w:eastAsia="仿宋_GB2312"/>
                <w:b/>
                <w:color w:val="auto"/>
                <w:sz w:val="24"/>
                <w:szCs w:val="24"/>
              </w:rPr>
              <w:t>电子</w:t>
            </w:r>
          </w:p>
        </w:tc>
        <w:tc>
          <w:tcPr>
            <w:tcW w:w="425" w:type="dxa"/>
            <w:vAlign w:val="center"/>
          </w:tcPr>
          <w:p>
            <w:pPr>
              <w:ind w:left="-101" w:leftChars="-48" w:right="-105"/>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77" w:type="dxa"/>
            <w:vAlign w:val="center"/>
          </w:tcPr>
          <w:p>
            <w:pPr>
              <w:ind w:left="-107" w:leftChars="-51" w:right="-115"/>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392" w:type="dxa"/>
            <w:vAlign w:val="center"/>
          </w:tcPr>
          <w:p>
            <w:pPr>
              <w:ind w:right="300"/>
              <w:jc w:val="center"/>
              <w:rPr>
                <w:rFonts w:ascii="仿宋_GB2312" w:eastAsia="仿宋_GB2312"/>
                <w:color w:val="auto"/>
                <w:sz w:val="24"/>
                <w:szCs w:val="24"/>
              </w:rPr>
            </w:pPr>
            <w:r>
              <w:rPr>
                <w:rFonts w:hint="eastAsia" w:ascii="仿宋_GB2312" w:eastAsia="仿宋_GB2312"/>
                <w:color w:val="auto"/>
                <w:sz w:val="24"/>
                <w:szCs w:val="24"/>
              </w:rPr>
              <w:t>1</w:t>
            </w:r>
          </w:p>
        </w:tc>
        <w:tc>
          <w:tcPr>
            <w:tcW w:w="3544" w:type="dxa"/>
            <w:vAlign w:val="center"/>
          </w:tcPr>
          <w:p>
            <w:pPr>
              <w:ind w:left="31" w:leftChars="15"/>
              <w:jc w:val="left"/>
              <w:rPr>
                <w:rFonts w:ascii="仿宋_GB2312" w:eastAsia="仿宋_GB2312"/>
                <w:color w:val="auto"/>
                <w:sz w:val="24"/>
                <w:szCs w:val="24"/>
              </w:rPr>
            </w:pPr>
            <w:r>
              <w:rPr>
                <w:rFonts w:hint="eastAsia" w:ascii="仿宋_GB2312" w:eastAsia="仿宋_GB2312"/>
                <w:color w:val="auto"/>
                <w:sz w:val="24"/>
                <w:szCs w:val="24"/>
              </w:rPr>
              <w:t>申请书，包括但不限于公司基本情况及租赁项目的基本情况</w:t>
            </w:r>
          </w:p>
        </w:tc>
        <w:tc>
          <w:tcPr>
            <w:tcW w:w="1417" w:type="dxa"/>
            <w:vAlign w:val="center"/>
          </w:tcPr>
          <w:p>
            <w:pPr>
              <w:ind w:left="34" w:leftChars="16"/>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425" w:type="dxa"/>
            <w:vAlign w:val="center"/>
          </w:tcPr>
          <w:p>
            <w:pPr>
              <w:ind w:left="-101" w:leftChars="-48" w:right="-104" w:firstLine="101" w:firstLineChars="42"/>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97" w:leftChars="-46" w:right="-108"/>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77" w:type="dxa"/>
            <w:vAlign w:val="center"/>
          </w:tcPr>
          <w:p>
            <w:pPr>
              <w:ind w:left="-107" w:leftChars="-51" w:right="-115"/>
              <w:jc w:val="left"/>
              <w:rPr>
                <w:rFonts w:ascii="仿宋_GB2312" w:eastAsia="仿宋_GB2312"/>
                <w:color w:val="auto"/>
                <w:sz w:val="24"/>
                <w:szCs w:val="24"/>
              </w:rPr>
            </w:pPr>
          </w:p>
        </w:tc>
      </w:tr>
      <w:tr>
        <w:trPr>
          <w:trHeight w:val="1040" w:hRule="atLeast"/>
        </w:trPr>
        <w:tc>
          <w:tcPr>
            <w:tcW w:w="392" w:type="dxa"/>
            <w:vAlign w:val="center"/>
          </w:tcPr>
          <w:p>
            <w:pPr>
              <w:ind w:right="300"/>
              <w:jc w:val="center"/>
              <w:rPr>
                <w:rFonts w:ascii="仿宋_GB2312" w:eastAsia="仿宋_GB2312"/>
                <w:color w:val="auto"/>
                <w:sz w:val="24"/>
                <w:szCs w:val="24"/>
              </w:rPr>
            </w:pPr>
            <w:r>
              <w:rPr>
                <w:rFonts w:hint="eastAsia" w:ascii="仿宋_GB2312" w:eastAsia="仿宋_GB2312"/>
                <w:color w:val="auto"/>
                <w:sz w:val="24"/>
                <w:szCs w:val="24"/>
              </w:rPr>
              <w:t>2</w:t>
            </w:r>
          </w:p>
        </w:tc>
        <w:tc>
          <w:tcPr>
            <w:tcW w:w="3544" w:type="dxa"/>
            <w:vAlign w:val="center"/>
          </w:tcPr>
          <w:p>
            <w:pPr>
              <w:ind w:left="31" w:leftChars="15"/>
              <w:jc w:val="left"/>
              <w:rPr>
                <w:rFonts w:ascii="仿宋_GB2312" w:eastAsia="仿宋_GB2312"/>
                <w:color w:val="auto"/>
                <w:sz w:val="24"/>
                <w:szCs w:val="24"/>
              </w:rPr>
            </w:pPr>
            <w:r>
              <w:rPr>
                <w:rFonts w:hint="eastAsia" w:ascii="仿宋_GB2312" w:eastAsia="仿宋_GB2312"/>
                <w:color w:val="auto"/>
                <w:sz w:val="24"/>
                <w:szCs w:val="24"/>
              </w:rPr>
              <w:t>主管部门同意设立融资租赁公司或项目公司的批复和工商营业执照</w:t>
            </w:r>
          </w:p>
        </w:tc>
        <w:tc>
          <w:tcPr>
            <w:tcW w:w="1417" w:type="dxa"/>
            <w:vAlign w:val="center"/>
          </w:tcPr>
          <w:p>
            <w:pPr>
              <w:ind w:left="34" w:leftChars="16"/>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97" w:leftChars="-46" w:right="-108"/>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77" w:type="dxa"/>
            <w:vAlign w:val="center"/>
          </w:tcPr>
          <w:p>
            <w:pPr>
              <w:ind w:left="1"/>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392" w:type="dxa"/>
            <w:vAlign w:val="center"/>
          </w:tcPr>
          <w:p>
            <w:pPr>
              <w:ind w:right="300"/>
              <w:jc w:val="center"/>
              <w:rPr>
                <w:rFonts w:ascii="仿宋_GB2312" w:eastAsia="仿宋_GB2312"/>
                <w:color w:val="auto"/>
                <w:sz w:val="24"/>
                <w:szCs w:val="24"/>
              </w:rPr>
            </w:pPr>
            <w:r>
              <w:rPr>
                <w:rFonts w:hint="eastAsia" w:ascii="仿宋_GB2312" w:eastAsia="仿宋_GB2312"/>
                <w:color w:val="auto"/>
                <w:sz w:val="24"/>
                <w:szCs w:val="24"/>
              </w:rPr>
              <w:t>3</w:t>
            </w:r>
          </w:p>
        </w:tc>
        <w:tc>
          <w:tcPr>
            <w:tcW w:w="3544" w:type="dxa"/>
            <w:vAlign w:val="center"/>
          </w:tcPr>
          <w:p>
            <w:pPr>
              <w:ind w:left="31" w:leftChars="15"/>
              <w:jc w:val="left"/>
              <w:rPr>
                <w:rFonts w:ascii="仿宋_GB2312" w:eastAsia="仿宋_GB2312"/>
                <w:color w:val="auto"/>
                <w:sz w:val="24"/>
                <w:szCs w:val="24"/>
              </w:rPr>
            </w:pPr>
            <w:r>
              <w:rPr>
                <w:rFonts w:hint="eastAsia" w:ascii="仿宋_GB2312" w:eastAsia="仿宋_GB2312"/>
                <w:color w:val="auto"/>
                <w:sz w:val="24"/>
                <w:szCs w:val="24"/>
              </w:rPr>
              <w:t>上年度经审计的财务报告及最近一期财务报表</w:t>
            </w:r>
          </w:p>
        </w:tc>
        <w:tc>
          <w:tcPr>
            <w:tcW w:w="1417" w:type="dxa"/>
            <w:vAlign w:val="center"/>
          </w:tcPr>
          <w:p>
            <w:pPr>
              <w:ind w:left="34" w:leftChars="16"/>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97" w:leftChars="-46" w:right="-108"/>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77" w:type="dxa"/>
            <w:vAlign w:val="center"/>
          </w:tcPr>
          <w:p>
            <w:pPr>
              <w:ind w:left="1"/>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124" w:hRule="atLeast"/>
        </w:trPr>
        <w:tc>
          <w:tcPr>
            <w:tcW w:w="392" w:type="dxa"/>
            <w:vAlign w:val="center"/>
          </w:tcPr>
          <w:p>
            <w:pPr>
              <w:ind w:right="300"/>
              <w:jc w:val="center"/>
              <w:rPr>
                <w:rFonts w:ascii="仿宋_GB2312" w:eastAsia="仿宋_GB2312"/>
                <w:color w:val="auto"/>
                <w:sz w:val="24"/>
                <w:szCs w:val="24"/>
              </w:rPr>
            </w:pPr>
            <w:r>
              <w:rPr>
                <w:rFonts w:hint="eastAsia" w:ascii="仿宋_GB2312" w:eastAsia="仿宋_GB2312"/>
                <w:color w:val="auto"/>
                <w:sz w:val="24"/>
                <w:szCs w:val="24"/>
              </w:rPr>
              <w:t>4</w:t>
            </w:r>
          </w:p>
        </w:tc>
        <w:tc>
          <w:tcPr>
            <w:tcW w:w="3544" w:type="dxa"/>
            <w:vAlign w:val="center"/>
          </w:tcPr>
          <w:p>
            <w:pPr>
              <w:ind w:left="31" w:leftChars="15"/>
              <w:jc w:val="left"/>
              <w:rPr>
                <w:rFonts w:ascii="仿宋_GB2312" w:eastAsia="仿宋_GB2312"/>
                <w:color w:val="auto"/>
                <w:sz w:val="24"/>
                <w:szCs w:val="24"/>
              </w:rPr>
            </w:pPr>
            <w:r>
              <w:rPr>
                <w:rFonts w:hint="eastAsia" w:ascii="仿宋_GB2312" w:eastAsia="仿宋_GB2312"/>
                <w:color w:val="auto"/>
                <w:sz w:val="24"/>
                <w:szCs w:val="24"/>
              </w:rPr>
              <w:t>租赁合同及租赁物转移的证明材料（如报关单、备案清单、发票等）</w:t>
            </w:r>
          </w:p>
        </w:tc>
        <w:tc>
          <w:tcPr>
            <w:tcW w:w="1417" w:type="dxa"/>
            <w:vAlign w:val="center"/>
          </w:tcPr>
          <w:p>
            <w:pPr>
              <w:ind w:left="34" w:leftChars="16"/>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97" w:leftChars="-46" w:right="-108"/>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77" w:type="dxa"/>
            <w:vAlign w:val="center"/>
          </w:tcPr>
          <w:p>
            <w:pPr>
              <w:ind w:left="1"/>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699" w:hRule="atLeast"/>
        </w:trPr>
        <w:tc>
          <w:tcPr>
            <w:tcW w:w="392" w:type="dxa"/>
            <w:vAlign w:val="center"/>
          </w:tcPr>
          <w:p>
            <w:pPr>
              <w:ind w:right="300"/>
              <w:jc w:val="center"/>
              <w:rPr>
                <w:rFonts w:ascii="仿宋_GB2312" w:eastAsia="仿宋_GB2312"/>
                <w:color w:val="auto"/>
                <w:sz w:val="24"/>
                <w:szCs w:val="24"/>
              </w:rPr>
            </w:pPr>
            <w:r>
              <w:rPr>
                <w:rFonts w:ascii="仿宋_GB2312" w:eastAsia="仿宋_GB2312"/>
                <w:color w:val="auto"/>
                <w:sz w:val="24"/>
                <w:szCs w:val="24"/>
              </w:rPr>
              <w:t>5</w:t>
            </w:r>
          </w:p>
        </w:tc>
        <w:tc>
          <w:tcPr>
            <w:tcW w:w="3544" w:type="dxa"/>
            <w:vAlign w:val="center"/>
          </w:tcPr>
          <w:p>
            <w:pPr>
              <w:ind w:left="31" w:leftChars="15"/>
              <w:jc w:val="left"/>
              <w:rPr>
                <w:rFonts w:ascii="仿宋_GB2312" w:eastAsia="仿宋_GB2312"/>
                <w:color w:val="auto"/>
                <w:sz w:val="24"/>
                <w:szCs w:val="24"/>
              </w:rPr>
            </w:pPr>
            <w:r>
              <w:rPr>
                <w:rFonts w:hint="eastAsia" w:ascii="仿宋_GB2312" w:eastAsia="仿宋_GB2312"/>
                <w:color w:val="auto"/>
                <w:sz w:val="24"/>
                <w:szCs w:val="24"/>
              </w:rPr>
              <w:t>外汇局要求提供的其他材料</w:t>
            </w:r>
          </w:p>
        </w:tc>
        <w:tc>
          <w:tcPr>
            <w:tcW w:w="1417" w:type="dxa"/>
            <w:vAlign w:val="center"/>
          </w:tcPr>
          <w:p>
            <w:pPr>
              <w:ind w:left="34" w:leftChars="16"/>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101" w:leftChars="-48" w:right="-104" w:firstLine="101" w:firstLineChars="42"/>
              <w:jc w:val="left"/>
              <w:rPr>
                <w:rFonts w:ascii="仿宋_GB2312" w:eastAsia="仿宋_GB2312"/>
                <w:color w:val="auto"/>
                <w:sz w:val="24"/>
                <w:szCs w:val="24"/>
              </w:rPr>
            </w:pPr>
            <w:r>
              <w:rPr>
                <w:rFonts w:ascii="仿宋_GB2312" w:eastAsia="仿宋_GB2312"/>
                <w:color w:val="auto"/>
                <w:sz w:val="24"/>
                <w:szCs w:val="24"/>
              </w:rPr>
              <w:t>1</w:t>
            </w:r>
          </w:p>
        </w:tc>
        <w:tc>
          <w:tcPr>
            <w:tcW w:w="993" w:type="dxa"/>
            <w:vAlign w:val="center"/>
          </w:tcPr>
          <w:p>
            <w:pPr>
              <w:ind w:left="-97" w:leftChars="-46" w:right="-108"/>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77" w:type="dxa"/>
            <w:vAlign w:val="center"/>
          </w:tcPr>
          <w:p>
            <w:pPr>
              <w:ind w:left="-107" w:leftChars="-51" w:right="-115"/>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right="-58"/>
        <w:rPr>
          <w:rFonts w:ascii="仿宋_GB2312" w:eastAsia="仿宋_GB2312"/>
          <w:color w:val="auto"/>
          <w:sz w:val="30"/>
          <w:szCs w:val="30"/>
        </w:rPr>
      </w:pPr>
      <w:r>
        <w:rPr>
          <w:rFonts w:hint="eastAsia" w:ascii="黑体" w:hAnsi="黑体"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hAnsi="Times New Roman"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300"/>
        <w:jc w:val="left"/>
        <w:rPr>
          <w:b/>
          <w:color w:val="auto"/>
          <w:sz w:val="24"/>
          <w:szCs w:val="24"/>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0551-69691296</w:t>
      </w:r>
    </w:p>
    <w:p>
      <w:pPr>
        <w:ind w:right="-57"/>
        <w:rPr>
          <w:rFonts w:ascii="黑体" w:hAnsi="黑体" w:eastAsia="黑体"/>
          <w:color w:val="auto"/>
          <w:sz w:val="30"/>
          <w:szCs w:val="30"/>
        </w:rPr>
      </w:pPr>
      <w:r>
        <w:rPr>
          <w:rFonts w:ascii="仿宋_GB2312" w:eastAsia="仿宋_GB2312"/>
          <w:color w:val="auto"/>
          <w:sz w:val="30"/>
          <w:szCs w:val="30"/>
        </w:rPr>
        <w:br w:type="page"/>
      </w:r>
      <w:r>
        <w:rPr>
          <w:rFonts w:hint="eastAsia" w:ascii="黑体" w:hAnsi="黑体" w:eastAsia="黑体"/>
          <w:color w:val="auto"/>
          <w:sz w:val="30"/>
          <w:szCs w:val="30"/>
        </w:rPr>
        <w:t>（三）、内保外贷担保履约对外债权登记</w:t>
      </w:r>
    </w:p>
    <w:p>
      <w:pPr>
        <w:ind w:right="-57"/>
        <w:rPr>
          <w:rFonts w:ascii="黑体" w:hAnsi="黑体" w:eastAsia="黑体"/>
          <w:color w:val="auto"/>
          <w:sz w:val="30"/>
          <w:szCs w:val="30"/>
        </w:rPr>
      </w:pPr>
      <w:r>
        <w:rPr>
          <w:rFonts w:hint="eastAsia" w:ascii="黑体" w:hAnsi="黑体" w:eastAsia="黑体"/>
          <w:color w:val="auto"/>
          <w:sz w:val="30"/>
          <w:szCs w:val="30"/>
        </w:rPr>
        <w:t>办理依据</w:t>
      </w:r>
    </w:p>
    <w:p>
      <w:pPr>
        <w:ind w:right="-57"/>
        <w:rPr>
          <w:rFonts w:ascii="仿宋_GB2312" w:eastAsia="仿宋_GB2312"/>
          <w:color w:val="auto"/>
          <w:sz w:val="30"/>
          <w:szCs w:val="30"/>
        </w:rPr>
      </w:pPr>
      <w:r>
        <w:rPr>
          <w:rFonts w:hint="eastAsia" w:ascii="仿宋_GB2312" w:eastAsia="仿宋_GB2312"/>
          <w:color w:val="auto"/>
          <w:sz w:val="30"/>
          <w:szCs w:val="30"/>
        </w:rPr>
        <w:t xml:space="preserve">    1.《中华人民共和国外汇管理条例》（国务院令第532号）。</w:t>
      </w:r>
    </w:p>
    <w:p>
      <w:pPr>
        <w:widowControl/>
        <w:ind w:right="-57"/>
        <w:rPr>
          <w:rFonts w:ascii="仿宋_GB2312" w:eastAsia="仿宋_GB2312"/>
          <w:color w:val="auto"/>
          <w:sz w:val="30"/>
          <w:szCs w:val="30"/>
        </w:rPr>
      </w:pPr>
      <w:r>
        <w:rPr>
          <w:rFonts w:hint="eastAsia" w:ascii="仿宋_GB2312" w:eastAsia="仿宋_GB2312"/>
          <w:color w:val="auto"/>
          <w:sz w:val="30"/>
          <w:szCs w:val="30"/>
        </w:rPr>
        <w:t xml:space="preserve">    2.《国家外汇管理局关于发布〈跨境担保外汇管理规定〉的通知》（汇发</w:t>
      </w:r>
      <w:r>
        <w:rPr>
          <w:rFonts w:ascii="仿宋_GB2312" w:eastAsia="仿宋_GB2312"/>
          <w:color w:val="auto"/>
          <w:sz w:val="30"/>
          <w:szCs w:val="30"/>
        </w:rPr>
        <w:t>〔2014〕29</w:t>
      </w:r>
      <w:r>
        <w:rPr>
          <w:rFonts w:hint="eastAsia" w:ascii="仿宋_GB2312" w:eastAsia="仿宋_GB2312"/>
          <w:color w:val="auto"/>
          <w:sz w:val="30"/>
          <w:szCs w:val="30"/>
        </w:rPr>
        <w:t>号）。</w:t>
      </w:r>
    </w:p>
    <w:p>
      <w:pPr>
        <w:widowControl/>
        <w:ind w:right="-57" w:firstLine="600"/>
        <w:rPr>
          <w:rFonts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《国家外汇管理局关于发布〈金融机构外汇业务数据采集规范（1.1版）〉的通知》（汇发〔2016〕22号）。</w:t>
      </w:r>
    </w:p>
    <w:p>
      <w:pPr>
        <w:widowControl/>
        <w:ind w:right="-57" w:firstLine="600"/>
        <w:rPr>
          <w:rFonts w:ascii="仿宋_GB2312" w:eastAsia="仿宋_GB2312"/>
          <w:color w:val="auto"/>
          <w:sz w:val="30"/>
          <w:szCs w:val="30"/>
        </w:rPr>
      </w:pPr>
      <w:r>
        <w:rPr>
          <w:rFonts w:hint="eastAsia" w:ascii="仿宋_GB2312" w:eastAsia="仿宋_GB2312"/>
          <w:color w:val="auto"/>
          <w:sz w:val="30"/>
          <w:szCs w:val="30"/>
        </w:rPr>
        <w:t>4.《国家外汇管理局关于进一步推进外汇管理改革完善真实合规性审核的通知》（汇发〔2017〕3号）。</w:t>
      </w:r>
    </w:p>
    <w:p>
      <w:pPr>
        <w:ind w:right="-57"/>
        <w:rPr>
          <w:rFonts w:ascii="仿宋_GB2312" w:hAnsi="黑体" w:eastAsia="仿宋_GB2312"/>
          <w:color w:val="auto"/>
          <w:sz w:val="30"/>
          <w:szCs w:val="30"/>
        </w:rPr>
      </w:pPr>
      <w:r>
        <w:rPr>
          <w:rFonts w:hint="eastAsia" w:ascii="仿宋_GB2312" w:eastAsia="仿宋_GB2312"/>
          <w:color w:val="auto"/>
          <w:sz w:val="30"/>
          <w:szCs w:val="30"/>
        </w:rPr>
        <w:t xml:space="preserve">    5.其他相关法规。</w:t>
      </w:r>
    </w:p>
    <w:p>
      <w:pPr>
        <w:ind w:right="-57"/>
        <w:rPr>
          <w:rFonts w:ascii="黑体" w:hAnsi="黑体" w:eastAsia="黑体"/>
          <w:color w:val="auto"/>
          <w:sz w:val="30"/>
          <w:szCs w:val="30"/>
        </w:rPr>
      </w:pPr>
      <w:r>
        <w:rPr>
          <w:rFonts w:hint="eastAsia" w:ascii="黑体" w:hAnsi="黑体" w:eastAsia="黑体"/>
          <w:color w:val="auto"/>
          <w:sz w:val="30"/>
          <w:szCs w:val="30"/>
        </w:rPr>
        <w:t>办事条件</w:t>
      </w:r>
    </w:p>
    <w:p>
      <w:pPr>
        <w:widowControl/>
        <w:ind w:right="-57" w:firstLine="600"/>
        <w:rPr>
          <w:rFonts w:ascii="仿宋_GB2312" w:eastAsia="仿宋_GB2312"/>
          <w:color w:val="auto"/>
          <w:sz w:val="30"/>
          <w:szCs w:val="30"/>
        </w:rPr>
      </w:pPr>
      <w:r>
        <w:rPr>
          <w:rFonts w:hint="eastAsia" w:ascii="仿宋_GB2312" w:eastAsia="仿宋_GB2312"/>
          <w:color w:val="auto"/>
          <w:sz w:val="30"/>
          <w:szCs w:val="30"/>
        </w:rPr>
        <w:t>1.内保外贷发生担保履约的，成为对外债权人的境内担保人或境内反担保人，应办理对外债权登记。</w:t>
      </w:r>
    </w:p>
    <w:p>
      <w:pPr>
        <w:widowControl/>
        <w:ind w:right="-57" w:firstLine="600"/>
        <w:rPr>
          <w:rFonts w:ascii="仿宋_GB2312" w:eastAsia="仿宋_GB2312"/>
          <w:color w:val="auto"/>
          <w:sz w:val="30"/>
          <w:szCs w:val="30"/>
        </w:rPr>
      </w:pPr>
      <w:r>
        <w:rPr>
          <w:rFonts w:hint="eastAsia" w:ascii="仿宋_GB2312" w:eastAsia="仿宋_GB2312"/>
          <w:color w:val="auto"/>
          <w:sz w:val="30"/>
          <w:szCs w:val="30"/>
        </w:rPr>
        <w:t>2.债权人为非银行机构的，应在担保履约后15个工作日内到所在地外汇局办理对外债权登记，并按规定办理与对外债权相关的变更、注销手续。</w:t>
      </w:r>
    </w:p>
    <w:p>
      <w:pPr>
        <w:widowControl/>
        <w:ind w:right="-57" w:firstLine="600"/>
        <w:rPr>
          <w:rFonts w:ascii="仿宋_GB2312" w:eastAsia="仿宋_GB2312"/>
          <w:color w:val="auto"/>
          <w:sz w:val="30"/>
          <w:szCs w:val="30"/>
        </w:rPr>
      </w:pPr>
      <w:r>
        <w:rPr>
          <w:rFonts w:hint="eastAsia" w:ascii="仿宋_GB2312" w:eastAsia="仿宋_GB2312"/>
          <w:color w:val="auto"/>
          <w:sz w:val="30"/>
          <w:szCs w:val="30"/>
        </w:rPr>
        <w:t>3．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widowControl/>
        <w:rPr>
          <w:rFonts w:ascii="仿宋_GB2312" w:eastAsia="仿宋_GB2312"/>
          <w:color w:val="auto"/>
          <w:sz w:val="30"/>
          <w:szCs w:val="30"/>
        </w:rPr>
      </w:pPr>
      <w:r>
        <w:rPr>
          <w:rFonts w:hint="eastAsia" w:ascii="黑体" w:hAnsi="黑体" w:eastAsia="黑体"/>
          <w:color w:val="auto"/>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0"/>
        <w:gridCol w:w="3222"/>
        <w:gridCol w:w="1701"/>
        <w:gridCol w:w="425"/>
        <w:gridCol w:w="993"/>
        <w:gridCol w:w="425"/>
        <w:gridCol w:w="1206"/>
      </w:tblGrid>
      <w:tr>
        <w:tc>
          <w:tcPr>
            <w:tcW w:w="430" w:type="dxa"/>
            <w:vAlign w:val="center"/>
          </w:tcPr>
          <w:p>
            <w:pPr>
              <w:ind w:left="-141" w:leftChars="-67" w:right="-108"/>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3222" w:type="dxa"/>
            <w:vAlign w:val="center"/>
          </w:tcPr>
          <w:p>
            <w:pPr>
              <w:ind w:left="-84" w:leftChars="-40" w:right="-116"/>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701" w:type="dxa"/>
            <w:vAlign w:val="center"/>
          </w:tcPr>
          <w:p>
            <w:pPr>
              <w:ind w:left="-126" w:leftChars="-60" w:right="-125"/>
              <w:jc w:val="center"/>
              <w:rPr>
                <w:rFonts w:ascii="仿宋_GB2312" w:eastAsia="仿宋_GB2312"/>
                <w:b/>
                <w:color w:val="auto"/>
                <w:sz w:val="24"/>
                <w:szCs w:val="24"/>
              </w:rPr>
            </w:pPr>
            <w:r>
              <w:rPr>
                <w:rFonts w:hint="eastAsia" w:ascii="仿宋_GB2312" w:eastAsia="仿宋_GB2312"/>
                <w:b/>
                <w:color w:val="auto"/>
                <w:sz w:val="24"/>
                <w:szCs w:val="24"/>
              </w:rPr>
              <w:t>原件/</w:t>
            </w:r>
          </w:p>
          <w:p>
            <w:pPr>
              <w:ind w:left="-126" w:leftChars="-60" w:right="-125"/>
              <w:jc w:val="center"/>
              <w:rPr>
                <w:rFonts w:ascii="仿宋_GB2312" w:eastAsia="仿宋_GB2312"/>
                <w:b/>
                <w:color w:val="auto"/>
                <w:sz w:val="24"/>
                <w:szCs w:val="24"/>
              </w:rPr>
            </w:pPr>
            <w:r>
              <w:rPr>
                <w:rFonts w:hint="eastAsia" w:ascii="仿宋_GB2312" w:eastAsia="仿宋_GB2312"/>
                <w:b/>
                <w:color w:val="auto"/>
                <w:sz w:val="24"/>
                <w:szCs w:val="24"/>
              </w:rPr>
              <w:t>复印件</w:t>
            </w:r>
          </w:p>
        </w:tc>
        <w:tc>
          <w:tcPr>
            <w:tcW w:w="425" w:type="dxa"/>
            <w:vAlign w:val="center"/>
          </w:tcPr>
          <w:p>
            <w:pPr>
              <w:ind w:left="-90" w:leftChars="-43" w:right="-104"/>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993" w:type="dxa"/>
            <w:vAlign w:val="center"/>
          </w:tcPr>
          <w:p>
            <w:pPr>
              <w:ind w:left="-111" w:leftChars="-53" w:right="-89" w:firstLine="111" w:firstLineChars="46"/>
              <w:jc w:val="center"/>
              <w:rPr>
                <w:rFonts w:ascii="仿宋_GB2312" w:eastAsia="仿宋_GB2312"/>
                <w:b/>
                <w:color w:val="auto"/>
                <w:sz w:val="24"/>
                <w:szCs w:val="24"/>
              </w:rPr>
            </w:pPr>
            <w:r>
              <w:rPr>
                <w:rFonts w:hint="eastAsia" w:ascii="仿宋_GB2312" w:eastAsia="仿宋_GB2312"/>
                <w:b/>
                <w:color w:val="auto"/>
                <w:sz w:val="24"/>
                <w:szCs w:val="24"/>
              </w:rPr>
              <w:t>纸质/</w:t>
            </w:r>
          </w:p>
          <w:p>
            <w:pPr>
              <w:ind w:left="-111" w:leftChars="-53" w:right="-89" w:firstLine="111" w:firstLineChars="46"/>
              <w:jc w:val="center"/>
              <w:rPr>
                <w:rFonts w:ascii="仿宋_GB2312" w:eastAsia="仿宋_GB2312"/>
                <w:b/>
                <w:color w:val="auto"/>
                <w:sz w:val="24"/>
                <w:szCs w:val="24"/>
              </w:rPr>
            </w:pPr>
            <w:r>
              <w:rPr>
                <w:rFonts w:hint="eastAsia" w:ascii="仿宋_GB2312" w:eastAsia="仿宋_GB2312"/>
                <w:b/>
                <w:color w:val="auto"/>
                <w:sz w:val="24"/>
                <w:szCs w:val="24"/>
              </w:rPr>
              <w:t>电子</w:t>
            </w:r>
          </w:p>
        </w:tc>
        <w:tc>
          <w:tcPr>
            <w:tcW w:w="425" w:type="dxa"/>
            <w:vAlign w:val="center"/>
          </w:tcPr>
          <w:p>
            <w:pPr>
              <w:ind w:left="-141" w:leftChars="-67" w:right="-121"/>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06" w:type="dxa"/>
            <w:vAlign w:val="center"/>
          </w:tcPr>
          <w:p>
            <w:pPr>
              <w:ind w:left="-94" w:leftChars="-45" w:right="-73" w:firstLine="94" w:firstLineChars="39"/>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430" w:type="dxa"/>
            <w:vAlign w:val="center"/>
          </w:tcPr>
          <w:p>
            <w:pPr>
              <w:ind w:left="-141" w:leftChars="-67" w:right="-107" w:rightChars="-51"/>
              <w:jc w:val="center"/>
              <w:rPr>
                <w:rFonts w:ascii="仿宋_GB2312" w:eastAsia="仿宋_GB2312"/>
                <w:color w:val="auto"/>
                <w:sz w:val="24"/>
                <w:szCs w:val="24"/>
              </w:rPr>
            </w:pPr>
            <w:r>
              <w:rPr>
                <w:rFonts w:hint="eastAsia" w:ascii="仿宋_GB2312" w:eastAsia="仿宋_GB2312"/>
                <w:color w:val="auto"/>
                <w:sz w:val="24"/>
                <w:szCs w:val="24"/>
              </w:rPr>
              <w:t>1</w:t>
            </w:r>
          </w:p>
        </w:tc>
        <w:tc>
          <w:tcPr>
            <w:tcW w:w="3222" w:type="dxa"/>
            <w:vAlign w:val="center"/>
          </w:tcPr>
          <w:p>
            <w:pPr>
              <w:ind w:left="-2" w:right="33"/>
              <w:jc w:val="left"/>
              <w:rPr>
                <w:rFonts w:ascii="仿宋_GB2312" w:eastAsia="仿宋_GB2312"/>
                <w:color w:val="auto"/>
                <w:sz w:val="24"/>
                <w:szCs w:val="24"/>
              </w:rPr>
            </w:pPr>
            <w:r>
              <w:rPr>
                <w:rFonts w:hint="eastAsia" w:ascii="仿宋_GB2312" w:eastAsia="仿宋_GB2312"/>
                <w:color w:val="auto"/>
                <w:sz w:val="24"/>
                <w:szCs w:val="24"/>
              </w:rPr>
              <w:t>申请书</w:t>
            </w:r>
            <w:r>
              <w:rPr>
                <w:rFonts w:hint="eastAsia" w:ascii="仿宋_GB2312" w:hAnsi="宋体" w:eastAsia="仿宋_GB2312"/>
                <w:color w:val="auto"/>
                <w:kern w:val="0"/>
                <w:sz w:val="24"/>
                <w:szCs w:val="24"/>
              </w:rPr>
              <w:t>（内容包括但不限于担保履约的原因、履约资金来源、境外债务人还款计划及未来还款资金来源等）</w:t>
            </w:r>
          </w:p>
        </w:tc>
        <w:tc>
          <w:tcPr>
            <w:tcW w:w="1701" w:type="dxa"/>
            <w:vAlign w:val="center"/>
          </w:tcPr>
          <w:p>
            <w:pPr>
              <w:ind w:right="-125"/>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425" w:type="dxa"/>
            <w:vAlign w:val="center"/>
          </w:tcPr>
          <w:p>
            <w:pPr>
              <w:ind w:left="-90" w:leftChars="-43" w:right="-104"/>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111" w:leftChars="-53" w:right="-89" w:firstLine="110" w:firstLineChars="46"/>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06" w:type="dxa"/>
            <w:vAlign w:val="center"/>
          </w:tcPr>
          <w:p>
            <w:pPr>
              <w:ind w:right="-73"/>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321" w:hRule="atLeast"/>
        </w:trPr>
        <w:tc>
          <w:tcPr>
            <w:tcW w:w="430" w:type="dxa"/>
            <w:vAlign w:val="center"/>
          </w:tcPr>
          <w:p>
            <w:pPr>
              <w:ind w:left="-141" w:leftChars="-67" w:right="-108"/>
              <w:jc w:val="center"/>
              <w:rPr>
                <w:rFonts w:ascii="仿宋_GB2312" w:eastAsia="仿宋_GB2312"/>
                <w:color w:val="auto"/>
                <w:sz w:val="24"/>
                <w:szCs w:val="24"/>
              </w:rPr>
            </w:pPr>
            <w:r>
              <w:rPr>
                <w:rFonts w:hint="eastAsia" w:ascii="仿宋_GB2312" w:eastAsia="仿宋_GB2312"/>
                <w:color w:val="auto"/>
                <w:sz w:val="24"/>
                <w:szCs w:val="24"/>
              </w:rPr>
              <w:t>2</w:t>
            </w:r>
          </w:p>
        </w:tc>
        <w:tc>
          <w:tcPr>
            <w:tcW w:w="3222" w:type="dxa"/>
            <w:vAlign w:val="center"/>
          </w:tcPr>
          <w:p>
            <w:pPr>
              <w:ind w:left="-2" w:right="33"/>
              <w:jc w:val="left"/>
              <w:rPr>
                <w:rFonts w:ascii="仿宋_GB2312" w:eastAsia="仿宋_GB2312"/>
                <w:color w:val="auto"/>
                <w:sz w:val="24"/>
                <w:szCs w:val="24"/>
              </w:rPr>
            </w:pPr>
            <w:r>
              <w:rPr>
                <w:rFonts w:hint="eastAsia" w:ascii="仿宋_GB2312" w:hAnsi="宋体" w:eastAsia="仿宋_GB2312"/>
                <w:color w:val="auto"/>
                <w:kern w:val="0"/>
                <w:sz w:val="24"/>
                <w:szCs w:val="24"/>
              </w:rPr>
              <w:t>担保履约的证明材料</w:t>
            </w:r>
          </w:p>
        </w:tc>
        <w:tc>
          <w:tcPr>
            <w:tcW w:w="1701" w:type="dxa"/>
            <w:vAlign w:val="center"/>
          </w:tcPr>
          <w:p>
            <w:pPr>
              <w:ind w:right="-125"/>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90" w:leftChars="-43" w:right="-104"/>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111" w:leftChars="-53" w:right="-89" w:firstLine="110" w:firstLineChars="46"/>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06" w:type="dxa"/>
            <w:vAlign w:val="center"/>
          </w:tcPr>
          <w:p>
            <w:pPr>
              <w:ind w:right="-73"/>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413" w:hRule="atLeast"/>
        </w:trPr>
        <w:tc>
          <w:tcPr>
            <w:tcW w:w="430" w:type="dxa"/>
            <w:vAlign w:val="center"/>
          </w:tcPr>
          <w:p>
            <w:pPr>
              <w:ind w:left="-141" w:leftChars="-67" w:right="-108"/>
              <w:jc w:val="center"/>
              <w:rPr>
                <w:rFonts w:ascii="仿宋_GB2312" w:eastAsia="仿宋_GB2312"/>
                <w:color w:val="auto"/>
                <w:sz w:val="24"/>
                <w:szCs w:val="24"/>
              </w:rPr>
            </w:pPr>
            <w:r>
              <w:rPr>
                <w:rFonts w:hint="eastAsia" w:ascii="仿宋_GB2312" w:eastAsia="仿宋_GB2312"/>
                <w:color w:val="auto"/>
                <w:sz w:val="24"/>
                <w:szCs w:val="24"/>
              </w:rPr>
              <w:t>3</w:t>
            </w:r>
          </w:p>
        </w:tc>
        <w:tc>
          <w:tcPr>
            <w:tcW w:w="3222" w:type="dxa"/>
            <w:vAlign w:val="center"/>
          </w:tcPr>
          <w:p>
            <w:pPr>
              <w:ind w:left="-2" w:right="33"/>
              <w:jc w:val="left"/>
              <w:rPr>
                <w:rFonts w:ascii="仿宋_GB2312" w:eastAsia="仿宋_GB2312"/>
                <w:color w:val="auto"/>
                <w:sz w:val="24"/>
                <w:szCs w:val="24"/>
              </w:rPr>
            </w:pPr>
            <w:r>
              <w:rPr>
                <w:rFonts w:hint="eastAsia" w:ascii="仿宋_GB2312" w:hAnsi="宋体" w:eastAsia="仿宋_GB2312"/>
                <w:color w:val="auto"/>
                <w:kern w:val="0"/>
                <w:sz w:val="24"/>
                <w:szCs w:val="24"/>
              </w:rPr>
              <w:t>内保外贷签约登记凭证。</w:t>
            </w:r>
          </w:p>
        </w:tc>
        <w:tc>
          <w:tcPr>
            <w:tcW w:w="1701" w:type="dxa"/>
            <w:vAlign w:val="center"/>
          </w:tcPr>
          <w:p>
            <w:pPr>
              <w:ind w:right="-125"/>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425" w:type="dxa"/>
            <w:vAlign w:val="center"/>
          </w:tcPr>
          <w:p>
            <w:pPr>
              <w:ind w:left="-90" w:leftChars="-43" w:right="-104"/>
              <w:jc w:val="left"/>
              <w:rPr>
                <w:rFonts w:ascii="仿宋_GB2312" w:eastAsia="仿宋_GB2312"/>
                <w:color w:val="auto"/>
                <w:sz w:val="24"/>
                <w:szCs w:val="24"/>
              </w:rPr>
            </w:pPr>
            <w:r>
              <w:rPr>
                <w:rFonts w:hint="eastAsia" w:ascii="仿宋_GB2312" w:eastAsia="仿宋_GB2312"/>
                <w:color w:val="auto"/>
                <w:sz w:val="24"/>
                <w:szCs w:val="24"/>
              </w:rPr>
              <w:t>1</w:t>
            </w:r>
          </w:p>
        </w:tc>
        <w:tc>
          <w:tcPr>
            <w:tcW w:w="993" w:type="dxa"/>
            <w:vAlign w:val="center"/>
          </w:tcPr>
          <w:p>
            <w:pPr>
              <w:ind w:left="-111" w:leftChars="-53" w:right="-89" w:firstLine="110" w:firstLineChars="46"/>
              <w:jc w:val="left"/>
              <w:rPr>
                <w:rFonts w:ascii="仿宋_GB2312" w:eastAsia="仿宋_GB2312"/>
                <w:color w:val="auto"/>
                <w:sz w:val="24"/>
                <w:szCs w:val="24"/>
              </w:rPr>
            </w:pPr>
            <w:r>
              <w:rPr>
                <w:rFonts w:hint="eastAsia" w:ascii="仿宋_GB2312" w:eastAsia="仿宋_GB2312"/>
                <w:color w:val="auto"/>
                <w:sz w:val="24"/>
                <w:szCs w:val="24"/>
              </w:rPr>
              <w:t>纸质</w:t>
            </w:r>
          </w:p>
        </w:tc>
        <w:tc>
          <w:tcPr>
            <w:tcW w:w="425" w:type="dxa"/>
            <w:vAlign w:val="center"/>
          </w:tcPr>
          <w:p>
            <w:pPr>
              <w:ind w:right="300"/>
              <w:jc w:val="left"/>
              <w:rPr>
                <w:rFonts w:ascii="仿宋_GB2312" w:eastAsia="仿宋_GB2312"/>
                <w:color w:val="auto"/>
                <w:sz w:val="24"/>
                <w:szCs w:val="24"/>
              </w:rPr>
            </w:pPr>
          </w:p>
        </w:tc>
        <w:tc>
          <w:tcPr>
            <w:tcW w:w="1206" w:type="dxa"/>
            <w:vAlign w:val="center"/>
          </w:tcPr>
          <w:p>
            <w:pPr>
              <w:ind w:right="-73"/>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413" w:hRule="atLeast"/>
        </w:trPr>
        <w:tc>
          <w:tcPr>
            <w:tcW w:w="430" w:type="dxa"/>
            <w:vAlign w:val="center"/>
          </w:tcPr>
          <w:p>
            <w:pPr>
              <w:ind w:left="-141" w:leftChars="-67" w:right="-108"/>
              <w:jc w:val="center"/>
              <w:rPr>
                <w:rFonts w:ascii="仿宋_GB2312" w:eastAsia="仿宋_GB2312"/>
                <w:color w:val="auto"/>
                <w:sz w:val="24"/>
                <w:szCs w:val="24"/>
              </w:rPr>
            </w:pPr>
            <w:r>
              <w:rPr>
                <w:rFonts w:hint="eastAsia" w:ascii="仿宋_GB2312" w:eastAsia="仿宋_GB2312"/>
                <w:color w:val="auto"/>
                <w:sz w:val="24"/>
                <w:szCs w:val="24"/>
              </w:rPr>
              <w:t>4</w:t>
            </w:r>
          </w:p>
        </w:tc>
        <w:tc>
          <w:tcPr>
            <w:tcW w:w="3222" w:type="dxa"/>
            <w:vAlign w:val="center"/>
          </w:tcPr>
          <w:p>
            <w:pPr>
              <w:ind w:right="-58"/>
              <w:jc w:val="left"/>
              <w:rPr>
                <w:rFonts w:ascii="Times New Roman" w:hAnsi="Times New Roman" w:eastAsia="仿宋_GB2312"/>
                <w:color w:val="auto"/>
                <w:sz w:val="24"/>
                <w:szCs w:val="24"/>
              </w:rPr>
            </w:pPr>
            <w:r>
              <w:rPr>
                <w:rFonts w:hint="eastAsia" w:ascii="仿宋_GB2312" w:eastAsia="仿宋_GB2312"/>
                <w:color w:val="auto"/>
                <w:sz w:val="24"/>
                <w:szCs w:val="24"/>
              </w:rPr>
              <w:t>外汇局要求提供的其他材料</w:t>
            </w:r>
          </w:p>
        </w:tc>
        <w:tc>
          <w:tcPr>
            <w:tcW w:w="1701" w:type="dxa"/>
            <w:vAlign w:val="center"/>
          </w:tcPr>
          <w:p>
            <w:pPr>
              <w:ind w:right="-58"/>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原件及加盖企业公章的复印件</w:t>
            </w:r>
          </w:p>
        </w:tc>
        <w:tc>
          <w:tcPr>
            <w:tcW w:w="425" w:type="dxa"/>
            <w:vAlign w:val="center"/>
          </w:tcPr>
          <w:p>
            <w:pPr>
              <w:ind w:right="-58"/>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1</w:t>
            </w:r>
          </w:p>
        </w:tc>
        <w:tc>
          <w:tcPr>
            <w:tcW w:w="993" w:type="dxa"/>
            <w:vAlign w:val="center"/>
          </w:tcPr>
          <w:p>
            <w:pPr>
              <w:ind w:right="-58"/>
              <w:jc w:val="left"/>
              <w:rPr>
                <w:rFonts w:ascii="Times New Roman" w:hAnsi="Times New Roman" w:eastAsia="仿宋_GB2312"/>
                <w:color w:val="auto"/>
                <w:sz w:val="24"/>
                <w:szCs w:val="24"/>
              </w:rPr>
            </w:pPr>
            <w:r>
              <w:rPr>
                <w:rFonts w:hint="eastAsia" w:ascii="Times New Roman" w:hAnsi="Times New Roman" w:eastAsia="仿宋_GB2312"/>
                <w:color w:val="auto"/>
                <w:sz w:val="24"/>
                <w:szCs w:val="24"/>
              </w:rPr>
              <w:t>纸质</w:t>
            </w:r>
          </w:p>
        </w:tc>
        <w:tc>
          <w:tcPr>
            <w:tcW w:w="425" w:type="dxa"/>
            <w:vAlign w:val="center"/>
          </w:tcPr>
          <w:p>
            <w:pPr>
              <w:ind w:right="-58"/>
              <w:jc w:val="left"/>
              <w:rPr>
                <w:rFonts w:ascii="Times New Roman" w:hAnsi="Times New Roman" w:eastAsia="仿宋_GB2312"/>
                <w:color w:val="auto"/>
                <w:sz w:val="24"/>
                <w:szCs w:val="24"/>
              </w:rPr>
            </w:pPr>
          </w:p>
        </w:tc>
        <w:tc>
          <w:tcPr>
            <w:tcW w:w="1206" w:type="dxa"/>
            <w:vAlign w:val="center"/>
          </w:tcPr>
          <w:p>
            <w:pPr>
              <w:ind w:right="-58"/>
              <w:jc w:val="left"/>
              <w:rPr>
                <w:rFonts w:ascii="Times New Roman" w:hAnsi="Times New Roman" w:eastAsia="仿宋_GB2312"/>
                <w:color w:val="auto"/>
                <w:sz w:val="24"/>
                <w:szCs w:val="24"/>
              </w:rPr>
            </w:pPr>
            <w:r>
              <w:rPr>
                <w:rFonts w:hint="eastAsia" w:ascii="仿宋_GB2312" w:eastAsia="仿宋_GB2312"/>
                <w:color w:val="auto"/>
                <w:sz w:val="24"/>
                <w:szCs w:val="24"/>
              </w:rPr>
              <w:t>验原件，留存加盖公章的复印件</w:t>
            </w:r>
          </w:p>
        </w:tc>
      </w:tr>
    </w:tbl>
    <w:p>
      <w:pPr>
        <w:ind w:right="-58"/>
        <w:rPr>
          <w:rFonts w:ascii="黑体" w:hAnsi="黑体" w:eastAsia="黑体"/>
          <w:color w:val="auto"/>
          <w:sz w:val="30"/>
          <w:szCs w:val="30"/>
        </w:rPr>
      </w:pPr>
      <w:r>
        <w:rPr>
          <w:rFonts w:hint="eastAsia" w:ascii="黑体" w:hAnsi="黑体"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上午8:00-12:00，下午2:00-5:00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58"/>
        <w:rPr>
          <w:rFonts w:ascii="黑体" w:hAnsi="黑体" w:eastAsia="黑体"/>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Cs w:val="21"/>
        </w:rPr>
      </w:pPr>
      <w:r>
        <w:rPr>
          <w:rFonts w:ascii="仿宋_GB2312" w:eastAsia="仿宋_GB2312"/>
          <w:color w:val="auto"/>
          <w:sz w:val="30"/>
          <w:szCs w:val="30"/>
        </w:rPr>
        <w:br w:type="page"/>
      </w:r>
    </w:p>
    <w:p>
      <w:pPr>
        <w:pStyle w:val="2"/>
        <w:ind w:firstLine="0" w:firstLineChars="0"/>
        <w:rPr>
          <w:color w:val="auto"/>
          <w:sz w:val="32"/>
          <w:szCs w:val="32"/>
        </w:rPr>
      </w:pPr>
      <w:bookmarkStart w:id="162" w:name="_Toc29378"/>
      <w:bookmarkStart w:id="163" w:name="_Toc13643"/>
      <w:bookmarkStart w:id="164" w:name="_Toc12813"/>
      <w:bookmarkStart w:id="165" w:name="_Toc14504"/>
      <w:bookmarkStart w:id="166" w:name="_Toc6494"/>
      <w:r>
        <w:rPr>
          <w:rFonts w:hint="eastAsia"/>
          <w:color w:val="auto"/>
          <w:sz w:val="32"/>
          <w:szCs w:val="32"/>
        </w:rPr>
        <w:t>四、资本项目外汇资金汇出境外的购付汇核准</w:t>
      </w:r>
      <w:bookmarkEnd w:id="162"/>
      <w:bookmarkEnd w:id="163"/>
      <w:bookmarkEnd w:id="164"/>
      <w:bookmarkEnd w:id="165"/>
      <w:bookmarkEnd w:id="166"/>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《国务院对确需保留的行政审批项目设定行政许可的决定》（国务院令第412号）附件第468项“资本项目外汇资金汇出境外的购付汇核准”。</w:t>
      </w:r>
    </w:p>
    <w:p>
      <w:pPr>
        <w:pStyle w:val="3"/>
        <w:rPr>
          <w:color w:val="auto"/>
        </w:rPr>
      </w:pPr>
      <w:bookmarkStart w:id="167" w:name="_Toc31464"/>
      <w:bookmarkStart w:id="168" w:name="_Toc2901"/>
      <w:bookmarkStart w:id="169" w:name="_Toc17099"/>
      <w:bookmarkStart w:id="170" w:name="_Toc12318"/>
      <w:bookmarkStart w:id="171" w:name="_Toc21618"/>
      <w:r>
        <w:rPr>
          <w:rFonts w:hint="eastAsia"/>
          <w:color w:val="auto"/>
        </w:rPr>
        <w:t>（一）、特殊目的公司项下境内个人购付汇核准</w:t>
      </w:r>
      <w:bookmarkEnd w:id="167"/>
      <w:bookmarkEnd w:id="168"/>
      <w:bookmarkEnd w:id="169"/>
      <w:bookmarkEnd w:id="170"/>
      <w:bookmarkEnd w:id="171"/>
    </w:p>
    <w:p>
      <w:pPr>
        <w:ind w:right="-58"/>
        <w:rPr>
          <w:rFonts w:ascii="黑体" w:eastAsia="黑体"/>
          <w:color w:val="auto"/>
          <w:sz w:val="30"/>
          <w:szCs w:val="30"/>
        </w:rPr>
      </w:pPr>
      <w:r>
        <w:rPr>
          <w:rFonts w:hint="eastAsia" w:ascii="黑体" w:eastAsia="黑体"/>
          <w:color w:val="auto"/>
          <w:sz w:val="30"/>
          <w:szCs w:val="30"/>
        </w:rPr>
        <w:t>办理依据</w:t>
      </w:r>
    </w:p>
    <w:p>
      <w:pPr>
        <w:spacing w:line="276" w:lineRule="auto"/>
        <w:ind w:right="-58" w:firstLine="600" w:firstLineChars="200"/>
        <w:rPr>
          <w:rFonts w:ascii="Times New Roman" w:hAnsi="Times New Roman" w:eastAsia="仿宋_GB2312"/>
          <w:color w:val="auto"/>
          <w:kern w:val="0"/>
          <w:sz w:val="30"/>
          <w:szCs w:val="30"/>
        </w:rPr>
      </w:pPr>
      <w:r>
        <w:rPr>
          <w:rFonts w:hint="eastAsia" w:ascii="仿宋_GB2312" w:eastAsia="仿宋_GB2312"/>
          <w:color w:val="auto"/>
          <w:sz w:val="30"/>
          <w:szCs w:val="30"/>
        </w:rPr>
        <w:t>1.</w:t>
      </w:r>
      <w:r>
        <w:rPr>
          <w:rFonts w:hint="eastAsia" w:ascii="Times New Roman" w:hAnsi="Times New Roman" w:eastAsia="仿宋_GB2312"/>
          <w:color w:val="auto"/>
          <w:kern w:val="0"/>
          <w:sz w:val="30"/>
          <w:szCs w:val="30"/>
        </w:rPr>
        <w:t>《中华人民共和国外汇管理条例》（国务院令第</w:t>
      </w:r>
      <w:r>
        <w:rPr>
          <w:rFonts w:ascii="Times New Roman" w:hAnsi="Times New Roman" w:eastAsia="仿宋_GB2312"/>
          <w:color w:val="auto"/>
          <w:kern w:val="0"/>
          <w:sz w:val="30"/>
          <w:szCs w:val="30"/>
        </w:rPr>
        <w:t>532</w:t>
      </w:r>
      <w:r>
        <w:rPr>
          <w:rFonts w:hint="eastAsia" w:ascii="Times New Roman" w:hAnsi="Times New Roman" w:eastAsia="仿宋_GB2312"/>
          <w:color w:val="auto"/>
          <w:kern w:val="0"/>
          <w:sz w:val="30"/>
          <w:szCs w:val="30"/>
        </w:rPr>
        <w:t>号）；</w:t>
      </w:r>
    </w:p>
    <w:p>
      <w:pPr>
        <w:spacing w:line="276" w:lineRule="auto"/>
        <w:ind w:right="-58" w:firstLine="600" w:firstLineChars="200"/>
        <w:rPr>
          <w:rFonts w:ascii="Times New Roman" w:hAnsi="Times New Roman" w:eastAsia="仿宋_GB2312"/>
          <w:color w:val="auto"/>
          <w:kern w:val="0"/>
          <w:sz w:val="30"/>
          <w:szCs w:val="30"/>
        </w:rPr>
      </w:pPr>
      <w:r>
        <w:rPr>
          <w:rFonts w:hint="eastAsia" w:ascii="仿宋_GB2312" w:eastAsia="仿宋_GB2312"/>
          <w:color w:val="auto"/>
          <w:sz w:val="30"/>
          <w:szCs w:val="30"/>
        </w:rPr>
        <w:t>2.</w:t>
      </w:r>
      <w:r>
        <w:rPr>
          <w:rFonts w:hint="eastAsia" w:ascii="Times New Roman" w:hAnsi="Times New Roman" w:eastAsia="仿宋_GB2312"/>
          <w:color w:val="auto"/>
          <w:kern w:val="0"/>
          <w:sz w:val="30"/>
          <w:szCs w:val="30"/>
        </w:rPr>
        <w:t>《关于外国投资者并购境内企业的规定》（中华人民共和国商务部国务院国有资产监督管理委员会国家税务总局国家工商行政管理总局中国证券监督管理委员会国家外汇管理局令</w:t>
      </w:r>
      <w:r>
        <w:rPr>
          <w:rFonts w:ascii="Times New Roman" w:hAnsi="Times New Roman" w:eastAsia="仿宋_GB2312"/>
          <w:color w:val="auto"/>
          <w:kern w:val="0"/>
          <w:sz w:val="30"/>
          <w:szCs w:val="30"/>
        </w:rPr>
        <w:t>2006</w:t>
      </w:r>
      <w:r>
        <w:rPr>
          <w:rFonts w:hint="eastAsia" w:ascii="Times New Roman" w:hAnsi="Times New Roman" w:eastAsia="仿宋_GB2312"/>
          <w:color w:val="auto"/>
          <w:kern w:val="0"/>
          <w:sz w:val="30"/>
          <w:szCs w:val="30"/>
        </w:rPr>
        <w:t>年第</w:t>
      </w:r>
      <w:r>
        <w:rPr>
          <w:rFonts w:ascii="Times New Roman" w:hAnsi="Times New Roman" w:eastAsia="仿宋_GB2312"/>
          <w:color w:val="auto"/>
          <w:kern w:val="0"/>
          <w:sz w:val="30"/>
          <w:szCs w:val="30"/>
        </w:rPr>
        <w:t>10</w:t>
      </w:r>
      <w:r>
        <w:rPr>
          <w:rFonts w:hint="eastAsia" w:ascii="Times New Roman" w:hAnsi="Times New Roman" w:eastAsia="仿宋_GB2312"/>
          <w:color w:val="auto"/>
          <w:kern w:val="0"/>
          <w:sz w:val="30"/>
          <w:szCs w:val="30"/>
        </w:rPr>
        <w:t>号）；</w:t>
      </w:r>
    </w:p>
    <w:p>
      <w:pPr>
        <w:spacing w:line="276" w:lineRule="auto"/>
        <w:ind w:right="-58" w:firstLine="600" w:firstLineChars="200"/>
        <w:rPr>
          <w:rFonts w:ascii="Times New Roman" w:hAnsi="Times New Roman" w:eastAsia="仿宋_GB2312"/>
          <w:color w:val="auto"/>
          <w:kern w:val="0"/>
          <w:sz w:val="30"/>
          <w:szCs w:val="30"/>
        </w:rPr>
      </w:pPr>
      <w:r>
        <w:rPr>
          <w:rFonts w:hint="eastAsia" w:ascii="仿宋_GB2312" w:eastAsia="仿宋_GB2312"/>
          <w:color w:val="auto"/>
          <w:sz w:val="30"/>
          <w:szCs w:val="30"/>
        </w:rPr>
        <w:t>3.</w:t>
      </w:r>
      <w:r>
        <w:rPr>
          <w:rFonts w:hint="eastAsia" w:ascii="Times New Roman" w:hAnsi="Times New Roman" w:eastAsia="仿宋_GB2312"/>
          <w:color w:val="auto"/>
          <w:kern w:val="0"/>
          <w:sz w:val="30"/>
          <w:szCs w:val="30"/>
        </w:rPr>
        <w:t>《国家外汇管理局关于境内居民通过特殊目的公司境外投融资及返程投资外汇管理有关问题的通知》（汇发</w:t>
      </w:r>
      <w:r>
        <w:rPr>
          <w:rFonts w:hint="eastAsia" w:ascii="仿宋_GB2312" w:hAnsi="Times New Roman" w:eastAsia="仿宋_GB2312"/>
          <w:color w:val="auto"/>
          <w:kern w:val="0"/>
          <w:sz w:val="30"/>
          <w:szCs w:val="30"/>
        </w:rPr>
        <w:t>〔</w:t>
      </w:r>
      <w:r>
        <w:rPr>
          <w:rFonts w:ascii="Times New Roman" w:hAnsi="Times New Roman" w:eastAsia="仿宋_GB2312"/>
          <w:color w:val="auto"/>
          <w:kern w:val="0"/>
          <w:sz w:val="30"/>
          <w:szCs w:val="30"/>
        </w:rPr>
        <w:t>2014</w:t>
      </w:r>
      <w:r>
        <w:rPr>
          <w:rFonts w:hint="eastAsia" w:ascii="仿宋_GB2312" w:hAnsi="Times New Roman" w:eastAsia="仿宋_GB2312"/>
          <w:color w:val="auto"/>
          <w:kern w:val="0"/>
          <w:sz w:val="30"/>
          <w:szCs w:val="30"/>
        </w:rPr>
        <w:t>〕</w:t>
      </w:r>
      <w:r>
        <w:rPr>
          <w:rFonts w:ascii="Times New Roman" w:hAnsi="Times New Roman" w:eastAsia="仿宋_GB2312"/>
          <w:color w:val="auto"/>
          <w:kern w:val="0"/>
          <w:sz w:val="30"/>
          <w:szCs w:val="30"/>
        </w:rPr>
        <w:t>37</w:t>
      </w:r>
      <w:r>
        <w:rPr>
          <w:rFonts w:hint="eastAsia" w:ascii="Times New Roman" w:hAnsi="Times New Roman" w:eastAsia="仿宋_GB2312"/>
          <w:color w:val="auto"/>
          <w:kern w:val="0"/>
          <w:sz w:val="30"/>
          <w:szCs w:val="30"/>
        </w:rPr>
        <w:t>号）；</w:t>
      </w:r>
    </w:p>
    <w:p>
      <w:pPr>
        <w:ind w:right="-58"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4.</w:t>
      </w:r>
      <w:r>
        <w:rPr>
          <w:rFonts w:hint="eastAsia" w:ascii="Times New Roman" w:hAnsi="Times New Roman" w:eastAsia="仿宋_GB2312"/>
          <w:color w:val="auto"/>
          <w:kern w:val="0"/>
          <w:sz w:val="30"/>
          <w:szCs w:val="30"/>
        </w:rPr>
        <w:t>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1.境内居民个人在真实、合理需求的基础上可向其已登记的特殊目的公司汇出资金用于特殊目的公司设立、股份回购或退市操作等。</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2.境内居民个人购汇汇出的资金应专项用于申请事项，不得转作其他用途。</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3.境内居民个人应在汇出设立特殊目的公司款项前，按相关规定办理“境内居民个人特殊目的公司外汇登记</w:t>
      </w:r>
      <w:r>
        <w:rPr>
          <w:rFonts w:ascii="仿宋_GB2312" w:hAnsi="Times New Roman" w:eastAsia="仿宋_GB2312"/>
          <w:color w:val="auto"/>
          <w:sz w:val="30"/>
          <w:szCs w:val="30"/>
        </w:rPr>
        <w:t>”</w:t>
      </w:r>
      <w:r>
        <w:rPr>
          <w:rFonts w:hint="eastAsia" w:ascii="仿宋_GB2312" w:hAnsi="Times New Roman" w:eastAsia="仿宋_GB2312"/>
          <w:color w:val="auto"/>
          <w:sz w:val="30"/>
          <w:szCs w:val="30"/>
        </w:rPr>
        <w:t xml:space="preserve">。 </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 xml:space="preserve">4.境内居民个人应在股份认购、股权回购或退市完成后到所在地银行办理变更登记手续。 </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5.境内居民个人可以集中委托特定境内机构或个人，在境内集中用于收购或回购的人民币资金，由集中受托人向外汇局申请购汇汇出。</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409"/>
        <w:gridCol w:w="1276"/>
        <w:gridCol w:w="709"/>
        <w:gridCol w:w="850"/>
        <w:gridCol w:w="1134"/>
        <w:gridCol w:w="149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b/>
                <w:color w:val="auto"/>
                <w:sz w:val="24"/>
                <w:szCs w:val="24"/>
              </w:rPr>
            </w:pPr>
            <w:r>
              <w:rPr>
                <w:rFonts w:hint="eastAsia" w:ascii="仿宋_GB2312" w:hAnsi="Times New Roman"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书面申请与《境内居民个人境外投资外汇登记表》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书面申请示范文本及境内居民个人境外投资外汇登记表见附录二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kern w:val="0"/>
                <w:sz w:val="24"/>
                <w:szCs w:val="24"/>
              </w:rPr>
            </w:pPr>
            <w:r>
              <w:rPr>
                <w:rFonts w:hint="eastAsia" w:ascii="仿宋_GB2312" w:hAnsi="Times New Roman" w:eastAsia="仿宋_GB2312"/>
                <w:color w:val="auto"/>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Times New Roman" w:eastAsia="仿宋_GB2312"/>
                <w:color w:val="auto"/>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kern w:val="0"/>
                <w:sz w:val="24"/>
                <w:szCs w:val="24"/>
              </w:rPr>
            </w:pPr>
            <w:r>
              <w:rPr>
                <w:rFonts w:hint="eastAsia" w:ascii="仿宋_GB2312" w:hAnsi="Times New Roman" w:eastAsia="仿宋_GB2312"/>
                <w:color w:val="auto"/>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color w:val="auto"/>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kern w:val="0"/>
                <w:sz w:val="24"/>
                <w:szCs w:val="24"/>
              </w:rPr>
            </w:pPr>
            <w:r>
              <w:rPr>
                <w:rFonts w:hint="eastAsia" w:ascii="仿宋_GB2312" w:hAnsi="Times New Roman" w:eastAsia="仿宋_GB2312"/>
                <w:color w:val="auto"/>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color w:val="auto"/>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kern w:val="0"/>
                <w:sz w:val="24"/>
                <w:szCs w:val="24"/>
              </w:rPr>
            </w:pPr>
            <w:r>
              <w:rPr>
                <w:rFonts w:hint="eastAsia" w:ascii="仿宋_GB2312" w:hAnsi="Times New Roman" w:eastAsia="仿宋_GB2312"/>
                <w:color w:val="auto"/>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color w:val="auto"/>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kern w:val="0"/>
                <w:sz w:val="24"/>
                <w:szCs w:val="24"/>
              </w:rPr>
            </w:pPr>
            <w:r>
              <w:rPr>
                <w:rFonts w:hint="eastAsia" w:ascii="仿宋_GB2312" w:hAnsi="Times New Roman" w:eastAsia="仿宋_GB2312"/>
                <w:color w:val="auto"/>
                <w:kern w:val="0"/>
                <w:sz w:val="24"/>
                <w:szCs w:val="24"/>
              </w:rPr>
              <w:t>在前述材料不能充分说明交易的真实性或申请材料之间的一致性时，要求提供的补充材料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仿宋_GB2312" w:hAnsi="Times New Roman" w:eastAsia="仿宋_GB2312"/>
                <w:color w:val="auto"/>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验原件，留存加盖签章的复印件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rPr>
          <w:rFonts w:ascii="仿宋_GB2312" w:hAnsi="Times New Roman"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0551—63691146 63691141</w:t>
      </w:r>
      <w:r>
        <w:rPr>
          <w:rFonts w:ascii="仿宋_GB2312" w:eastAsia="仿宋_GB2312"/>
          <w:color w:val="auto"/>
          <w:sz w:val="30"/>
          <w:szCs w:val="30"/>
        </w:rPr>
        <w:br w:type="page"/>
      </w:r>
    </w:p>
    <w:p>
      <w:pPr>
        <w:tabs>
          <w:tab w:val="left" w:pos="8306"/>
        </w:tabs>
        <w:ind w:right="-58"/>
        <w:jc w:val="left"/>
        <w:rPr>
          <w:rFonts w:ascii="黑体" w:eastAsia="黑体"/>
          <w:color w:val="auto"/>
          <w:sz w:val="30"/>
          <w:szCs w:val="30"/>
        </w:rPr>
      </w:pPr>
      <w:bookmarkStart w:id="172" w:name="_Toc18389"/>
      <w:bookmarkStart w:id="173" w:name="_Toc30601"/>
      <w:bookmarkStart w:id="174" w:name="_Toc19669"/>
      <w:bookmarkStart w:id="175" w:name="_Toc18509"/>
      <w:bookmarkStart w:id="176" w:name="_Toc7168"/>
      <w:r>
        <w:rPr>
          <w:rStyle w:val="37"/>
          <w:rFonts w:hint="eastAsia"/>
          <w:color w:val="auto"/>
        </w:rPr>
        <w:t>（二）、移民财产转移核准</w:t>
      </w:r>
      <w:bookmarkEnd w:id="172"/>
      <w:bookmarkEnd w:id="173"/>
      <w:bookmarkEnd w:id="174"/>
      <w:bookmarkEnd w:id="175"/>
      <w:bookmarkEnd w:id="176"/>
    </w:p>
    <w:p>
      <w:pPr>
        <w:tabs>
          <w:tab w:val="left" w:pos="8306"/>
        </w:tabs>
        <w:ind w:right="-58"/>
        <w:rPr>
          <w:rFonts w:ascii="黑体" w:eastAsia="黑体"/>
          <w:color w:val="auto"/>
          <w:sz w:val="30"/>
          <w:szCs w:val="30"/>
        </w:rPr>
      </w:pPr>
      <w:r>
        <w:rPr>
          <w:rFonts w:hint="eastAsia" w:ascii="黑体" w:eastAsia="黑体"/>
          <w:color w:val="auto"/>
          <w:sz w:val="30"/>
          <w:szCs w:val="30"/>
        </w:rPr>
        <w:t>办理依据</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1．《个人财产对外转移售付汇管理暂行办法》（中国人民银行公告2004年第16号）。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2．《国家外汇管理局关于印发&lt;个人财产对外转移售付汇管理暂行办法操作指引（试行）&gt;的通知》（汇发[2004]118号）。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3．《国家税务总局 国家外汇管理局关于个人财产对外转移提交税收证明或者完税凭证有关问题的通知》（国税发[2005]13号）。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4．《国家外汇管理局 外交部 公安部 监察部 司法部关于实施&lt;个人财产对外转移售付汇管理暂行办法&gt;有关问题的通知》（汇发[2005]9号）。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5．《国家外汇管理局关于调整部分资本项目外汇业务审批权限的通知》（汇发[2009]21号）。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6.《国家外汇管理局关于进一步改进和调整资本项目外汇管理政策的通知》（汇发[2014]2号）。</w:t>
      </w:r>
    </w:p>
    <w:p>
      <w:pPr>
        <w:tabs>
          <w:tab w:val="left" w:pos="8306"/>
        </w:tabs>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7．其他相关法规。</w:t>
      </w:r>
    </w:p>
    <w:p>
      <w:pPr>
        <w:tabs>
          <w:tab w:val="left" w:pos="8306"/>
        </w:tabs>
        <w:ind w:right="-58"/>
        <w:rPr>
          <w:rFonts w:ascii="黑体" w:hAnsi="Times New Roman" w:eastAsia="黑体"/>
          <w:color w:val="auto"/>
          <w:sz w:val="30"/>
          <w:szCs w:val="30"/>
        </w:rPr>
      </w:pPr>
      <w:r>
        <w:rPr>
          <w:rFonts w:hint="eastAsia" w:ascii="黑体" w:eastAsia="黑体"/>
          <w:color w:val="auto"/>
          <w:sz w:val="30"/>
          <w:szCs w:val="30"/>
        </w:rPr>
        <w:t>办事条件</w:t>
      </w:r>
    </w:p>
    <w:p>
      <w:pPr>
        <w:tabs>
          <w:tab w:val="left" w:pos="8306"/>
        </w:tabs>
        <w:ind w:right="-58" w:firstLine="600" w:firstLineChars="200"/>
        <w:rPr>
          <w:rFonts w:ascii="Times New Roman" w:hAnsi="Times New Roman" w:eastAsia="仿宋_GB2312"/>
          <w:color w:val="auto"/>
          <w:sz w:val="30"/>
          <w:szCs w:val="30"/>
        </w:rPr>
      </w:pPr>
      <w:r>
        <w:rPr>
          <w:rFonts w:hint="eastAsia" w:ascii="Times New Roman" w:hAnsi="Times New Roman" w:eastAsia="仿宋_GB2312"/>
          <w:color w:val="auto"/>
          <w:sz w:val="30"/>
          <w:szCs w:val="30"/>
        </w:rPr>
        <w:t>申请人将其在取得外国永久居留权、外国公民身份或港澳台地区居民身份之前在境内拥有的合法财产变现并汇出。</w:t>
      </w:r>
    </w:p>
    <w:p>
      <w:pPr>
        <w:tabs>
          <w:tab w:val="left" w:pos="8306"/>
        </w:tabs>
        <w:ind w:right="-58" w:firstLine="600" w:firstLineChars="200"/>
        <w:rPr>
          <w:rFonts w:ascii="Times New Roman" w:hAnsi="Times New Roman" w:eastAsia="仿宋_GB2312"/>
          <w:color w:val="auto"/>
          <w:sz w:val="30"/>
          <w:szCs w:val="30"/>
        </w:rPr>
      </w:pPr>
      <w:r>
        <w:rPr>
          <w:rFonts w:hint="eastAsia" w:ascii="Times New Roman" w:hAnsi="Times New Roman" w:eastAsia="仿宋_GB2312"/>
          <w:color w:val="auto"/>
          <w:sz w:val="30"/>
          <w:szCs w:val="30"/>
        </w:rPr>
        <w:t>司法、监察等部门依法限制对外转移的财产对外转移申请，不予受理。</w:t>
      </w:r>
    </w:p>
    <w:p>
      <w:pPr>
        <w:tabs>
          <w:tab w:val="left" w:pos="8306"/>
        </w:tabs>
        <w:ind w:right="-58" w:firstLine="600" w:firstLineChars="200"/>
        <w:rPr>
          <w:rFonts w:ascii="Times New Roman" w:hAnsi="Times New Roman" w:eastAsia="仿宋_GB2312"/>
          <w:color w:val="auto"/>
          <w:sz w:val="30"/>
          <w:szCs w:val="30"/>
        </w:rPr>
      </w:pPr>
      <w:r>
        <w:rPr>
          <w:rFonts w:ascii="Times New Roman" w:hAnsi="Times New Roman" w:eastAsia="仿宋_GB2312"/>
          <w:color w:val="auto"/>
          <w:sz w:val="30"/>
          <w:szCs w:val="30"/>
        </w:rPr>
        <w:t>对涉及国家公职人员及其近亲属，申请金额超过100万元人民币的申请，在审核过程中</w:t>
      </w:r>
      <w:r>
        <w:rPr>
          <w:rFonts w:hint="eastAsia" w:ascii="Times New Roman" w:hAnsi="Times New Roman" w:eastAsia="仿宋_GB2312"/>
          <w:color w:val="auto"/>
          <w:sz w:val="30"/>
          <w:szCs w:val="30"/>
        </w:rPr>
        <w:t>可</w:t>
      </w:r>
      <w:r>
        <w:rPr>
          <w:rFonts w:ascii="Times New Roman" w:hAnsi="Times New Roman" w:eastAsia="仿宋_GB2312"/>
          <w:color w:val="auto"/>
          <w:sz w:val="30"/>
          <w:szCs w:val="30"/>
        </w:rPr>
        <w:t>向相应级别的监察部门（省级（含）以上）进行询证。对大额可疑或涉嫌非法转移财产的申请，在审核过程中要询证相应级别的公安、司法部门。</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7"/>
        <w:gridCol w:w="1352"/>
        <w:gridCol w:w="993"/>
        <w:gridCol w:w="457"/>
        <w:gridCol w:w="818"/>
        <w:gridCol w:w="3107"/>
        <w:gridCol w:w="1218"/>
      </w:tblGrid>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原件</w:t>
            </w:r>
            <w:r>
              <w:rPr>
                <w:rFonts w:ascii="Times New Roman" w:hAnsi="Times New Roman" w:eastAsia="仿宋_GB2312"/>
                <w:b/>
                <w:color w:val="auto"/>
                <w:sz w:val="24"/>
                <w:szCs w:val="24"/>
              </w:rPr>
              <w:t>/</w:t>
            </w:r>
            <w:r>
              <w:rPr>
                <w:rFonts w:hint="eastAsia" w:ascii="Times New Roman" w:hAnsi="Times New Roman" w:eastAsia="仿宋_GB2312"/>
                <w:b/>
                <w:color w:val="auto"/>
                <w:sz w:val="24"/>
                <w:szCs w:val="24"/>
              </w:rPr>
              <w:t>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纸质</w:t>
            </w:r>
            <w:r>
              <w:rPr>
                <w:rFonts w:ascii="Times New Roman" w:hAnsi="Times New Roman" w:eastAsia="仿宋_GB2312"/>
                <w:b/>
                <w:color w:val="auto"/>
                <w:sz w:val="24"/>
                <w:szCs w:val="24"/>
              </w:rPr>
              <w:t>/</w:t>
            </w:r>
            <w:r>
              <w:rPr>
                <w:rFonts w:hint="eastAsia" w:ascii="Times New Roman" w:hAnsi="Times New Roman" w:eastAsia="仿宋_GB2312"/>
                <w:b/>
                <w:color w:val="auto"/>
                <w:sz w:val="24"/>
                <w:szCs w:val="24"/>
              </w:rPr>
              <w:t>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备注</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szCs w:val="24"/>
              </w:rPr>
            </w:pPr>
            <w:r>
              <w:rPr>
                <w:rFonts w:hint="eastAsia" w:ascii="Times New Roman" w:hAnsi="Times New Roman" w:eastAsia="仿宋_GB2312"/>
                <w:color w:val="auto"/>
                <w:sz w:val="24"/>
                <w:szCs w:val="24"/>
              </w:rPr>
              <w:t>《个人财产转移业务申请表》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szCs w:val="24"/>
              </w:rPr>
            </w:pPr>
            <w:r>
              <w:rPr>
                <w:rFonts w:hint="eastAsia" w:ascii="Times New Roman" w:hAnsi="Times New Roman" w:eastAsia="仿宋_GB2312"/>
                <w:color w:val="auto"/>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szCs w:val="24"/>
              </w:rPr>
            </w:pPr>
            <w:r>
              <w:rPr>
                <w:rFonts w:hint="eastAsia" w:ascii="Times New Roman" w:hAnsi="Times New Roman" w:eastAsia="仿宋_GB2312"/>
                <w:color w:val="auto"/>
                <w:sz w:val="24"/>
                <w:szCs w:val="24"/>
              </w:rPr>
              <w:t>见附录二</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（1）申请人为取得外国永久居留权的中国籍公民的，应提供：</w:t>
            </w:r>
            <w:r>
              <w:rPr>
                <w:rFonts w:hint="eastAsia" w:ascii="仿宋_GB2312" w:hAnsi="宋体" w:eastAsia="仿宋_GB2312" w:cs="宋体"/>
                <w:color w:val="auto"/>
                <w:sz w:val="24"/>
                <w:szCs w:val="24"/>
              </w:rPr>
              <w:t>①</w:t>
            </w:r>
            <w:r>
              <w:rPr>
                <w:rFonts w:hint="eastAsia" w:ascii="仿宋_GB2312" w:hAnsi="宋体" w:eastAsia="仿宋_GB2312"/>
                <w:color w:val="auto"/>
                <w:sz w:val="24"/>
                <w:szCs w:val="24"/>
              </w:rPr>
              <w:t>有效的中华人民共和国护照或居住国颁发的外侨证等有效身份证明。</w:t>
            </w:r>
            <w:r>
              <w:rPr>
                <w:rFonts w:hint="eastAsia" w:ascii="仿宋_GB2312" w:hAnsi="宋体" w:eastAsia="仿宋_GB2312" w:cs="宋体"/>
                <w:color w:val="auto"/>
                <w:sz w:val="24"/>
                <w:szCs w:val="24"/>
              </w:rPr>
              <w:t>②</w:t>
            </w:r>
            <w:r>
              <w:rPr>
                <w:rFonts w:hint="eastAsia" w:ascii="仿宋_GB2312" w:hAnsi="宋体" w:eastAsia="仿宋_GB2312"/>
                <w:color w:val="auto"/>
                <w:sz w:val="24"/>
                <w:szCs w:val="24"/>
              </w:rPr>
              <w:t>中国驻外使领馆出具（或认证）的申请人在国外定居证明。</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（2）申请人为取得外国公民身份的，应提供：①申请人居住国居民身份证或其他有效身份证明（如护照）。②申请人在境外定居的相关证明材料。</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（3）申请人为香港特别行政区、澳门特别行政区居民的，应提供：</w:t>
            </w:r>
            <w:r>
              <w:rPr>
                <w:rFonts w:hint="eastAsia" w:ascii="仿宋_GB2312" w:hAnsi="宋体" w:eastAsia="仿宋_GB2312" w:cs="宋体"/>
                <w:color w:val="auto"/>
                <w:sz w:val="24"/>
                <w:szCs w:val="24"/>
              </w:rPr>
              <w:t>①</w:t>
            </w:r>
            <w:r>
              <w:rPr>
                <w:rFonts w:hint="eastAsia" w:ascii="仿宋_GB2312" w:hAnsi="宋体" w:eastAsia="仿宋_GB2312"/>
                <w:color w:val="auto"/>
                <w:sz w:val="24"/>
                <w:szCs w:val="24"/>
              </w:rPr>
              <w:t>香港特别行政区、澳门特别行政区（永久）居民身份证或其他有效身份证明。</w:t>
            </w:r>
            <w:r>
              <w:rPr>
                <w:rFonts w:hint="eastAsia" w:ascii="仿宋_GB2312" w:hAnsi="宋体" w:eastAsia="仿宋_GB2312" w:cs="宋体"/>
                <w:color w:val="auto"/>
                <w:sz w:val="24"/>
                <w:szCs w:val="24"/>
              </w:rPr>
              <w:t>②</w:t>
            </w:r>
            <w:r>
              <w:rPr>
                <w:rFonts w:hint="eastAsia" w:ascii="仿宋_GB2312" w:hAnsi="宋体" w:eastAsia="仿宋_GB2312"/>
                <w:color w:val="auto"/>
                <w:sz w:val="24"/>
                <w:szCs w:val="24"/>
              </w:rPr>
              <w:t>港澳居民来往内地通行证或者特区护照。</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（4）申请人为台湾地区居民的应提供：①台湾地区居民身份证或其他在台湾地区居住的有效身份证明。②台湾居民往来大陆通行证或其他出入境证件。</w:t>
            </w:r>
          </w:p>
          <w:p>
            <w:pPr>
              <w:rPr>
                <w:rFonts w:ascii="仿宋_GB2312" w:hAnsi="Times New Roman"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（1）对个人薪酬所得（包括工资和薪金所得、稿酬所得、劳务报酬等）应提交有关收入来源证明。</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（3）对资本所得及变现：</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①利息、股息、红利所得应提交存款证明，股票、债券开户及交易记录。</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②财产租赁所得、财产转让所得、特许权使用等应提供：</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a、财产租赁、转让、特许权使用的合同或协议。</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b、房屋产权证。</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c、房地产买卖契约或拆迁补偿安置协议。</w:t>
            </w:r>
          </w:p>
          <w:p>
            <w:pPr>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（4）偶然所得（包括合法的福利彩票、体育彩票等）及其他财产或收入需提交真实交易记录证明。</w:t>
            </w:r>
          </w:p>
          <w:p>
            <w:pPr>
              <w:rPr>
                <w:rFonts w:ascii="仿宋_GB2312" w:hAnsi="Times New Roman"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kern w:val="0"/>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宋体" w:eastAsia="仿宋_GB2312"/>
                <w:color w:val="auto"/>
                <w:sz w:val="24"/>
                <w:szCs w:val="24"/>
              </w:rPr>
              <w:t>主管税务部门出具的税务证明原件（按规定无需提交的除外）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仿宋_GB2312" w:hAnsi="Times New Roman" w:eastAsia="仿宋_GB2312"/>
                <w:color w:val="auto"/>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申请转移财产所在地或收入来源地主管税务机关出具的完税证明。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委托他人办理的应提供委托代理协议和代理人身份证明。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外汇局要求提供的其他资料</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hAnsi="Times New Roman" w:eastAsia="仿宋_GB2312"/>
                <w:color w:val="auto"/>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rPr>
                <w:rFonts w:ascii="仿宋_GB2312" w:hAnsi="Times New Roman"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rPr>
          <w:rFonts w:ascii="仿宋_GB2312" w:hAnsi="ˎ̥" w:eastAsia="仿宋_GB2312" w:cs="宋体"/>
          <w:color w:val="auto"/>
          <w:kern w:val="0"/>
          <w:sz w:val="30"/>
          <w:szCs w:val="30"/>
        </w:rPr>
      </w:pPr>
    </w:p>
    <w:p>
      <w:pPr>
        <w:pStyle w:val="3"/>
        <w:rPr>
          <w:color w:val="auto"/>
        </w:rPr>
      </w:pPr>
      <w:bookmarkStart w:id="177" w:name="_Toc3810"/>
      <w:bookmarkStart w:id="178" w:name="_Toc24997"/>
      <w:bookmarkStart w:id="179" w:name="_Toc24602"/>
      <w:bookmarkStart w:id="180" w:name="_Toc20153"/>
      <w:bookmarkStart w:id="181" w:name="_Toc5475"/>
      <w:r>
        <w:rPr>
          <w:rFonts w:hint="eastAsia"/>
          <w:color w:val="auto"/>
        </w:rPr>
        <w:t>（三）、继承财产转移核准</w:t>
      </w:r>
      <w:bookmarkEnd w:id="177"/>
      <w:bookmarkEnd w:id="178"/>
      <w:bookmarkEnd w:id="179"/>
      <w:bookmarkEnd w:id="180"/>
      <w:bookmarkEnd w:id="181"/>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1.《个人财产对外转移售付汇管理暂行办法》（中国人民银行公告2004年第16号）。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2.《国家外汇管理局关于印发&lt;个人财产对外转移售付汇管理暂行办法操作指引（试行）&gt;的通知》（汇发[2004]118号）。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3.《国家税务总局 国家外汇管理局关于个人财产对外转移提交税收证明或者完税凭证有关问题的通知》（国税发[2005]13号）。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4.《国家外汇管理局 外交部 公安部 监察部 司法部关于实施&lt;个人财产对外转移售付汇管理暂行办法&gt;有关问题的通知》（汇发[2005]9号）。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5.《国家外汇管理局关于调整部分资本项目外汇业务审批权限的通知》（汇发[2009]21号）。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6.《国家外汇管理局关于进一步改进和调整资本项目外汇管理政策的通知》（汇发[2014]2号）。</w:t>
      </w:r>
    </w:p>
    <w:p>
      <w:pPr>
        <w:ind w:right="-58" w:firstLine="600" w:firstLineChars="200"/>
        <w:rPr>
          <w:rFonts w:ascii="仿宋_GB2312" w:hAnsi="宋体" w:eastAsia="仿宋_GB2312"/>
          <w:color w:val="auto"/>
          <w:sz w:val="30"/>
          <w:szCs w:val="30"/>
        </w:rPr>
      </w:pPr>
      <w:r>
        <w:rPr>
          <w:rFonts w:hint="eastAsia" w:ascii="仿宋_GB2312" w:hAnsi="宋体" w:eastAsia="仿宋_GB2312"/>
          <w:color w:val="auto"/>
          <w:sz w:val="30"/>
          <w:szCs w:val="30"/>
        </w:rPr>
        <w:t>7.其他相关法规。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申请人为需将依法继承的境内遗产变现的外国公民、香港特别行政区、澳门特别行政区居民或台湾地区居民。</w:t>
      </w:r>
    </w:p>
    <w:p>
      <w:pPr>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司法、监察等部门依法限制对外转移的财产对外转移申请，不予受理。</w:t>
      </w:r>
    </w:p>
    <w:p>
      <w:pPr>
        <w:ind w:right="-58" w:firstLine="600" w:firstLineChars="200"/>
        <w:rPr>
          <w:rFonts w:ascii="仿宋_GB2312" w:hAnsi="Times New Roman" w:eastAsia="仿宋_GB2312"/>
          <w:color w:val="auto"/>
          <w:sz w:val="30"/>
          <w:szCs w:val="30"/>
        </w:rPr>
      </w:pPr>
      <w:r>
        <w:rPr>
          <w:rFonts w:ascii="仿宋_GB2312" w:hAnsi="Times New Roman" w:eastAsia="仿宋_GB2312"/>
          <w:color w:val="auto"/>
          <w:sz w:val="30"/>
          <w:szCs w:val="30"/>
        </w:rPr>
        <w:t>对涉及国家公职人员及其近亲属，申请金额超过100万元人民币的申请，在审核过程中</w:t>
      </w:r>
      <w:r>
        <w:rPr>
          <w:rFonts w:hint="eastAsia" w:ascii="仿宋_GB2312" w:hAnsi="Times New Roman" w:eastAsia="仿宋_GB2312"/>
          <w:color w:val="auto"/>
          <w:sz w:val="30"/>
          <w:szCs w:val="30"/>
        </w:rPr>
        <w:t>可</w:t>
      </w:r>
      <w:r>
        <w:rPr>
          <w:rFonts w:ascii="仿宋_GB2312" w:hAnsi="Times New Roman" w:eastAsia="仿宋_GB2312"/>
          <w:color w:val="auto"/>
          <w:sz w:val="30"/>
          <w:szCs w:val="30"/>
        </w:rPr>
        <w:t>向相应级别的监察部门（省级（含）以上）进行询证。对大额可疑或涉嫌非法转移财产的申请，在审核过程中要询证相应级别的公安、司法部门。</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134"/>
        <w:gridCol w:w="992"/>
        <w:gridCol w:w="567"/>
        <w:gridCol w:w="850"/>
        <w:gridCol w:w="3107"/>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Times New Roman" w:hAnsi="Times New Roman" w:eastAsia="仿宋_GB2312"/>
                <w:color w:val="auto"/>
                <w:sz w:val="24"/>
                <w:szCs w:val="24"/>
              </w:rPr>
              <w:t>《个人财产转移业务申请表》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hAnsi="Times New Roman" w:eastAsia="仿宋_GB2312"/>
                <w:color w:val="auto"/>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Times New Roman" w:hAnsi="Times New Roman" w:eastAsia="仿宋_GB2312"/>
                <w:color w:val="auto"/>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hAnsi="Times New Roman" w:eastAsia="仿宋_GB2312"/>
                <w:color w:val="auto"/>
                <w:sz w:val="24"/>
                <w:szCs w:val="24"/>
              </w:rPr>
              <w:t>原件及加盖签章的</w:t>
            </w:r>
            <w:r>
              <w:rPr>
                <w:rFonts w:hint="eastAsia" w:ascii="仿宋_GB2312" w:eastAsia="仿宋_GB2312"/>
                <w:color w:val="auto"/>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rPr>
            </w:pPr>
            <w:r>
              <w:rPr>
                <w:rFonts w:hint="eastAsia" w:ascii="仿宋_GB2312" w:hAnsi="宋体" w:eastAsia="仿宋_GB2312"/>
                <w:color w:val="auto"/>
                <w:sz w:val="24"/>
              </w:rPr>
              <w:t>（1）申请人为外国公民的，应提供：</w:t>
            </w:r>
          </w:p>
          <w:p>
            <w:pPr>
              <w:rPr>
                <w:rFonts w:ascii="仿宋_GB2312" w:hAnsi="宋体" w:eastAsia="仿宋_GB2312"/>
                <w:color w:val="auto"/>
                <w:sz w:val="24"/>
              </w:rPr>
            </w:pPr>
            <w:r>
              <w:rPr>
                <w:rFonts w:hint="eastAsia" w:ascii="仿宋_GB2312" w:hAnsi="宋体" w:eastAsia="仿宋_GB2312" w:cs="宋体"/>
                <w:color w:val="auto"/>
                <w:sz w:val="24"/>
              </w:rPr>
              <w:t>①</w:t>
            </w:r>
            <w:r>
              <w:rPr>
                <w:rFonts w:hint="eastAsia" w:ascii="仿宋_GB2312" w:hAnsi="宋体" w:eastAsia="仿宋_GB2312"/>
                <w:color w:val="auto"/>
                <w:sz w:val="24"/>
              </w:rPr>
              <w:t>申请人持有的外国护照或其他证明其国籍的证明文件。</w:t>
            </w:r>
          </w:p>
          <w:p>
            <w:pPr>
              <w:rPr>
                <w:rFonts w:ascii="仿宋_GB2312" w:hAnsi="宋体" w:eastAsia="仿宋_GB2312"/>
                <w:color w:val="auto"/>
                <w:sz w:val="24"/>
              </w:rPr>
            </w:pPr>
            <w:r>
              <w:rPr>
                <w:rFonts w:hint="eastAsia" w:ascii="仿宋_GB2312" w:hAnsi="宋体" w:eastAsia="仿宋_GB2312" w:cs="宋体"/>
                <w:color w:val="auto"/>
                <w:sz w:val="24"/>
              </w:rPr>
              <w:t>②</w:t>
            </w:r>
            <w:r>
              <w:rPr>
                <w:rFonts w:hint="eastAsia" w:ascii="仿宋_GB2312" w:hAnsi="宋体" w:eastAsia="仿宋_GB2312"/>
                <w:color w:val="auto"/>
                <w:sz w:val="24"/>
              </w:rPr>
              <w:t>申请人居住国居民身份证或其他有效身份证明。</w:t>
            </w:r>
          </w:p>
          <w:p>
            <w:pPr>
              <w:rPr>
                <w:rFonts w:ascii="仿宋_GB2312" w:hAnsi="宋体" w:eastAsia="仿宋_GB2312"/>
                <w:color w:val="auto"/>
                <w:sz w:val="24"/>
              </w:rPr>
            </w:pPr>
            <w:r>
              <w:rPr>
                <w:rFonts w:hint="eastAsia" w:ascii="仿宋_GB2312" w:hAnsi="宋体" w:eastAsia="仿宋_GB2312" w:cs="宋体"/>
                <w:color w:val="auto"/>
                <w:sz w:val="24"/>
              </w:rPr>
              <w:t>③</w:t>
            </w:r>
            <w:r>
              <w:rPr>
                <w:rFonts w:hint="eastAsia" w:ascii="仿宋_GB2312" w:hAnsi="宋体" w:eastAsia="仿宋_GB2312"/>
                <w:color w:val="auto"/>
                <w:sz w:val="24"/>
              </w:rPr>
              <w:t>中国驻外使领馆认证的申请人在该国定居证明。</w:t>
            </w:r>
          </w:p>
          <w:p>
            <w:pPr>
              <w:rPr>
                <w:rFonts w:ascii="仿宋_GB2312" w:hAnsi="宋体" w:eastAsia="仿宋_GB2312"/>
                <w:color w:val="auto"/>
                <w:sz w:val="24"/>
              </w:rPr>
            </w:pPr>
            <w:r>
              <w:rPr>
                <w:rFonts w:hint="eastAsia" w:ascii="仿宋_GB2312" w:hAnsi="宋体" w:eastAsia="仿宋_GB2312"/>
                <w:color w:val="auto"/>
                <w:sz w:val="24"/>
              </w:rPr>
              <w:t>（2）申请人为香港特别行政区、澳门特别行政区居民的，应提供：</w:t>
            </w:r>
          </w:p>
          <w:p>
            <w:pPr>
              <w:rPr>
                <w:rFonts w:ascii="仿宋_GB2312" w:hAnsi="宋体" w:eastAsia="仿宋_GB2312"/>
                <w:color w:val="auto"/>
                <w:sz w:val="24"/>
              </w:rPr>
            </w:pPr>
            <w:r>
              <w:rPr>
                <w:rFonts w:hint="eastAsia" w:ascii="仿宋_GB2312" w:hAnsi="宋体" w:eastAsia="仿宋_GB2312" w:cs="宋体"/>
                <w:color w:val="auto"/>
                <w:sz w:val="24"/>
              </w:rPr>
              <w:t>①</w:t>
            </w:r>
            <w:r>
              <w:rPr>
                <w:rFonts w:hint="eastAsia" w:ascii="仿宋_GB2312" w:hAnsi="宋体" w:eastAsia="仿宋_GB2312"/>
                <w:color w:val="auto"/>
                <w:sz w:val="24"/>
              </w:rPr>
              <w:t>香港特别行政区、澳门特别行政区（永久）居民身份证或其他有效身份证明。</w:t>
            </w:r>
          </w:p>
          <w:p>
            <w:pPr>
              <w:rPr>
                <w:rFonts w:ascii="仿宋_GB2312" w:hAnsi="宋体" w:eastAsia="仿宋_GB2312"/>
                <w:color w:val="auto"/>
                <w:sz w:val="24"/>
              </w:rPr>
            </w:pPr>
            <w:r>
              <w:rPr>
                <w:rFonts w:hint="eastAsia" w:ascii="仿宋_GB2312" w:hAnsi="宋体" w:eastAsia="仿宋_GB2312" w:cs="宋体"/>
                <w:color w:val="auto"/>
                <w:sz w:val="24"/>
              </w:rPr>
              <w:t>②</w:t>
            </w:r>
            <w:r>
              <w:rPr>
                <w:rFonts w:hint="eastAsia" w:ascii="仿宋_GB2312" w:hAnsi="宋体" w:eastAsia="仿宋_GB2312"/>
                <w:color w:val="auto"/>
                <w:sz w:val="24"/>
              </w:rPr>
              <w:t>港澳居民来往内地通行证或者特区护照。</w:t>
            </w:r>
          </w:p>
          <w:p>
            <w:pPr>
              <w:rPr>
                <w:rFonts w:ascii="仿宋_GB2312" w:hAnsi="宋体" w:eastAsia="仿宋_GB2312"/>
                <w:color w:val="auto"/>
                <w:sz w:val="24"/>
              </w:rPr>
            </w:pPr>
            <w:r>
              <w:rPr>
                <w:rFonts w:hint="eastAsia" w:ascii="仿宋_GB2312" w:hAnsi="宋体" w:eastAsia="仿宋_GB2312"/>
                <w:color w:val="auto"/>
                <w:sz w:val="24"/>
              </w:rPr>
              <w:t>（3）申请人为台湾地区居民的，应提供：</w:t>
            </w:r>
          </w:p>
          <w:p>
            <w:pPr>
              <w:rPr>
                <w:rFonts w:ascii="仿宋_GB2312" w:hAnsi="宋体" w:eastAsia="仿宋_GB2312"/>
                <w:color w:val="auto"/>
                <w:sz w:val="24"/>
              </w:rPr>
            </w:pPr>
            <w:r>
              <w:rPr>
                <w:rFonts w:hint="eastAsia" w:ascii="仿宋_GB2312" w:hAnsi="宋体" w:eastAsia="仿宋_GB2312" w:cs="宋体"/>
                <w:color w:val="auto"/>
                <w:sz w:val="24"/>
              </w:rPr>
              <w:t>①</w:t>
            </w:r>
            <w:r>
              <w:rPr>
                <w:rFonts w:hint="eastAsia" w:ascii="仿宋_GB2312" w:hAnsi="宋体" w:eastAsia="仿宋_GB2312"/>
                <w:color w:val="auto"/>
                <w:sz w:val="24"/>
              </w:rPr>
              <w:t>台湾地区居民身份证或其他在台湾地区居住的有效身份证明。</w:t>
            </w:r>
          </w:p>
          <w:p>
            <w:pPr>
              <w:rPr>
                <w:rFonts w:ascii="仿宋_GB2312" w:hAnsi="宋体" w:eastAsia="仿宋_GB2312"/>
                <w:color w:val="auto"/>
                <w:sz w:val="24"/>
              </w:rPr>
            </w:pPr>
            <w:r>
              <w:rPr>
                <w:rFonts w:hint="eastAsia" w:ascii="仿宋_GB2312" w:hAnsi="宋体" w:eastAsia="仿宋_GB2312"/>
                <w:color w:val="auto"/>
                <w:sz w:val="24"/>
              </w:rPr>
              <w:t>②台湾居民往来大陆通行证或其他出入境证件。</w:t>
            </w:r>
          </w:p>
          <w:p>
            <w:pPr>
              <w:rPr>
                <w:rFonts w:ascii="仿宋_GB2312"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hAnsi="Times New Roman" w:eastAsia="仿宋_GB2312"/>
                <w:color w:val="auto"/>
                <w:sz w:val="24"/>
                <w:szCs w:val="24"/>
              </w:rPr>
              <w:t>原件及加盖签章的</w:t>
            </w:r>
            <w:r>
              <w:rPr>
                <w:rFonts w:hint="eastAsia" w:ascii="仿宋_GB2312" w:eastAsia="仿宋_GB2312"/>
                <w:color w:val="auto"/>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highlight w:val="lightGray"/>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hAnsi="Times New Roman" w:eastAsia="仿宋_GB2312"/>
                <w:color w:val="auto"/>
                <w:sz w:val="24"/>
                <w:szCs w:val="24"/>
              </w:rPr>
              <w:t>原件及加盖签章的</w:t>
            </w:r>
            <w:r>
              <w:rPr>
                <w:rFonts w:hint="eastAsia" w:ascii="仿宋_GB2312" w:eastAsia="仿宋_GB2312"/>
                <w:color w:val="auto"/>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hAnsi="宋体" w:eastAsia="仿宋_GB2312"/>
                <w:color w:val="auto"/>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宋体" w:eastAsia="仿宋_GB2312"/>
                <w:color w:val="auto"/>
                <w:sz w:val="24"/>
              </w:rPr>
              <w:t>主管税务部门出具的税务证明原件（按规定无需提交的除外）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hAnsi="Times New Roman" w:eastAsia="仿宋_GB2312"/>
                <w:color w:val="auto"/>
                <w:sz w:val="24"/>
                <w:szCs w:val="24"/>
              </w:rPr>
              <w:t>原件及加盖签章的</w:t>
            </w:r>
            <w:r>
              <w:rPr>
                <w:rFonts w:hint="eastAsia" w:ascii="仿宋_GB2312" w:eastAsia="仿宋_GB2312"/>
                <w:color w:val="auto"/>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被继承人财产所在地主管税务机关开具的完税证明。</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仿宋_GB2312" w:hAnsi="Times New Roman" w:eastAsia="仿宋_GB2312"/>
                <w:color w:val="auto"/>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hAnsi="Times New Roman" w:eastAsia="仿宋_GB2312"/>
                <w:color w:val="auto"/>
                <w:sz w:val="24"/>
                <w:szCs w:val="24"/>
              </w:rPr>
              <w:t>原件及加盖签章的</w:t>
            </w:r>
            <w:r>
              <w:rPr>
                <w:rFonts w:hint="eastAsia" w:ascii="仿宋_GB2312" w:eastAsia="仿宋_GB2312"/>
                <w:color w:val="auto"/>
                <w:sz w:val="24"/>
                <w:szCs w:val="24"/>
              </w:rPr>
              <w:t>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hAnsi="Times New Roman" w:eastAsia="仿宋_GB2312"/>
                <w:color w:val="auto"/>
                <w:sz w:val="24"/>
                <w:szCs w:val="24"/>
              </w:rPr>
              <w:t>委托他人办理的应提供委托代理协议和代理人身份证明。</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color w:val="auto"/>
              </w:rPr>
            </w:pPr>
            <w:r>
              <w:rPr>
                <w:rFonts w:hint="eastAsia" w:ascii="仿宋_GB2312" w:hAnsi="Times New Roman" w:eastAsia="仿宋_GB2312"/>
                <w:color w:val="auto"/>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szCs w:val="24"/>
              </w:rPr>
            </w:pPr>
            <w:r>
              <w:rPr>
                <w:rFonts w:hint="eastAsia" w:ascii="仿宋_GB2312" w:eastAsia="仿宋_GB2312"/>
                <w:color w:val="auto"/>
                <w:sz w:val="24"/>
                <w:szCs w:val="24"/>
              </w:rPr>
              <w:t>7</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auto"/>
                <w:sz w:val="24"/>
                <w:szCs w:val="24"/>
              </w:rPr>
            </w:pPr>
            <w:r>
              <w:rPr>
                <w:rFonts w:hint="eastAsia" w:ascii="Times New Roman" w:hAnsi="Times New Roman" w:eastAsia="仿宋_GB2312"/>
                <w:color w:val="auto"/>
                <w:sz w:val="24"/>
                <w:szCs w:val="24"/>
              </w:rPr>
              <w:t>外汇局要求提供的其他资料</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szCs w:val="24"/>
              </w:rPr>
            </w:pPr>
            <w:r>
              <w:rPr>
                <w:rFonts w:hint="eastAsia" w:ascii="仿宋_GB2312" w:eastAsia="仿宋_GB2312"/>
                <w:color w:val="auto"/>
                <w:sz w:val="24"/>
                <w:szCs w:val="24"/>
              </w:rPr>
              <w:t>原件或加盖签章的复印件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eastAsia="仿宋_GB2312"/>
                <w:color w:val="auto"/>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jc w:val="center"/>
              <w:rPr>
                <w:rFonts w:ascii="仿宋_GB2312" w:eastAsia="仿宋_GB2312"/>
                <w:color w:val="auto"/>
                <w:sz w:val="24"/>
                <w:szCs w:val="24"/>
              </w:rPr>
            </w:pPr>
            <w:r>
              <w:rPr>
                <w:rFonts w:hint="eastAsia" w:ascii="仿宋_GB2312" w:eastAsia="仿宋_GB2312"/>
                <w:color w:val="auto"/>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keepNext/>
              <w:keepLines/>
              <w:spacing w:before="260" w:after="260" w:line="415" w:lineRule="auto"/>
              <w:rPr>
                <w:rFonts w:ascii="仿宋_GB2312" w:hAnsi="Times New Roman" w:eastAsia="仿宋_GB2312"/>
                <w:color w:val="auto"/>
                <w:sz w:val="24"/>
                <w:szCs w:val="24"/>
              </w:rPr>
            </w:pPr>
          </w:p>
        </w:tc>
        <w:tc>
          <w:tcPr>
            <w:tcW w:w="1218" w:type="dxa"/>
            <w:tcBorders>
              <w:top w:val="single" w:color="auto" w:sz="4" w:space="0"/>
              <w:left w:val="single" w:color="auto" w:sz="4" w:space="0"/>
              <w:bottom w:val="single" w:color="auto" w:sz="4" w:space="0"/>
              <w:right w:val="single" w:color="auto" w:sz="4" w:space="0"/>
            </w:tcBorders>
            <w:vAlign w:val="top"/>
          </w:tcPr>
          <w:p>
            <w:pPr>
              <w:rPr>
                <w:color w:val="auto"/>
              </w:rPr>
            </w:pPr>
            <w:r>
              <w:rPr>
                <w:rFonts w:hint="eastAsia" w:ascii="仿宋_GB2312" w:hAnsi="Times New Roman" w:eastAsia="仿宋_GB2312"/>
                <w:color w:val="auto"/>
                <w:sz w:val="24"/>
                <w:szCs w:val="24"/>
              </w:rPr>
              <w:t>验原件，留存加盖签章的复印件</w:t>
            </w:r>
          </w:p>
        </w:tc>
      </w:tr>
    </w:tbl>
    <w:p>
      <w:pPr>
        <w:rPr>
          <w:rFonts w:ascii="黑体" w:hAnsi="Times New Roman" w:eastAsia="黑体"/>
          <w:color w:val="auto"/>
          <w:sz w:val="30"/>
          <w:szCs w:val="30"/>
        </w:rPr>
      </w:pPr>
      <w:r>
        <w:rPr>
          <w:rFonts w:hint="eastAsia" w:ascii="黑体" w:hAnsi="Times New Roman" w:eastAsia="黑体"/>
          <w:color w:val="auto"/>
          <w:sz w:val="30"/>
          <w:szCs w:val="30"/>
        </w:rPr>
        <w:t>基本办理流程</w:t>
      </w:r>
    </w:p>
    <w:p>
      <w:pPr>
        <w:tabs>
          <w:tab w:val="left" w:pos="615"/>
        </w:tabs>
        <w:rPr>
          <w:rFonts w:ascii="仿宋_GB2312" w:eastAsia="仿宋_GB2312"/>
          <w:color w:val="auto"/>
          <w:sz w:val="30"/>
          <w:szCs w:val="30"/>
        </w:rPr>
      </w:pPr>
      <w:r>
        <w:rPr>
          <w:rFonts w:hint="eastAsia" w:ascii="仿宋_GB2312" w:hAnsi="Times New Roman" w:eastAsia="仿宋_GB2312"/>
          <w:color w:val="auto"/>
          <w:sz w:val="30"/>
          <w:szCs w:val="30"/>
        </w:rPr>
        <w:tab/>
      </w: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tabs>
          <w:tab w:val="center" w:pos="4363"/>
        </w:tabs>
        <w:rPr>
          <w:rFonts w:ascii="仿宋_GB2312" w:eastAsia="仿宋_GB2312"/>
          <w:color w:val="auto"/>
          <w:sz w:val="30"/>
          <w:szCs w:val="30"/>
        </w:rPr>
      </w:pPr>
    </w:p>
    <w:p>
      <w:pPr>
        <w:tabs>
          <w:tab w:val="center" w:pos="4363"/>
        </w:tabs>
        <w:rPr>
          <w:rFonts w:ascii="仿宋_GB2312" w:hAnsi="ˎ̥" w:eastAsia="仿宋_GB2312" w:cs="宋体"/>
          <w:color w:val="auto"/>
          <w:kern w:val="0"/>
          <w:sz w:val="30"/>
          <w:szCs w:val="30"/>
        </w:rPr>
      </w:pPr>
      <w:r>
        <w:rPr>
          <w:rFonts w:ascii="仿宋_GB2312" w:eastAsia="仿宋_GB2312"/>
          <w:color w:val="auto"/>
          <w:sz w:val="30"/>
          <w:szCs w:val="30"/>
        </w:rPr>
        <w:tab/>
      </w:r>
    </w:p>
    <w:p>
      <w:pPr>
        <w:pStyle w:val="3"/>
        <w:rPr>
          <w:color w:val="auto"/>
        </w:rPr>
      </w:pPr>
      <w:bookmarkStart w:id="182" w:name="_Toc22127"/>
      <w:bookmarkStart w:id="183" w:name="_Toc27161"/>
      <w:bookmarkStart w:id="184" w:name="_Toc8077"/>
      <w:bookmarkStart w:id="185" w:name="_Toc11904"/>
      <w:bookmarkStart w:id="186" w:name="_Toc18885"/>
      <w:r>
        <w:rPr>
          <w:rFonts w:hint="eastAsia"/>
          <w:color w:val="auto"/>
        </w:rPr>
        <w:t>（四）、金融机构内保外贷履约购付汇备案</w:t>
      </w:r>
      <w:bookmarkEnd w:id="182"/>
      <w:bookmarkEnd w:id="183"/>
      <w:bookmarkEnd w:id="184"/>
      <w:bookmarkEnd w:id="185"/>
      <w:bookmarkEnd w:id="186"/>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jc w:val="left"/>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.《国家外汇管理局关于发布</w:t>
      </w:r>
      <w:r>
        <w:rPr>
          <w:rFonts w:ascii="仿宋_GB2312" w:eastAsia="仿宋_GB2312"/>
          <w:color w:val="auto"/>
          <w:sz w:val="30"/>
          <w:szCs w:val="30"/>
        </w:rPr>
        <w:t>&lt;</w:t>
      </w:r>
      <w:r>
        <w:rPr>
          <w:rFonts w:hint="eastAsia" w:ascii="仿宋_GB2312" w:eastAsia="仿宋_GB2312"/>
          <w:color w:val="auto"/>
          <w:sz w:val="30"/>
          <w:szCs w:val="30"/>
        </w:rPr>
        <w:t>跨境担保外汇管理规定</w:t>
      </w:r>
      <w:r>
        <w:rPr>
          <w:rFonts w:ascii="仿宋_GB2312" w:eastAsia="仿宋_GB2312"/>
          <w:color w:val="auto"/>
          <w:sz w:val="30"/>
          <w:szCs w:val="30"/>
        </w:rPr>
        <w:t>&gt;</w:t>
      </w:r>
      <w:r>
        <w:rPr>
          <w:rFonts w:hint="eastAsia" w:ascii="仿宋_GB2312" w:eastAsia="仿宋_GB2312"/>
          <w:color w:val="auto"/>
          <w:sz w:val="30"/>
          <w:szCs w:val="30"/>
        </w:rPr>
        <w:t>的通知》（汇发[2014]29号）；</w:t>
      </w:r>
    </w:p>
    <w:p>
      <w:pPr>
        <w:widowControl/>
        <w:ind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3.《国家外汇管理局关于进一步推进外汇管理改革完善真实合规性审核的通知》（汇发〔2017〕3号）。</w:t>
      </w:r>
    </w:p>
    <w:p>
      <w:pPr>
        <w:ind w:right="-58"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4．其他相关法规。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widowControl/>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2977"/>
        <w:gridCol w:w="1985"/>
        <w:gridCol w:w="567"/>
        <w:gridCol w:w="850"/>
        <w:gridCol w:w="567"/>
        <w:gridCol w:w="1043"/>
      </w:tblGrid>
      <w:tr>
        <w:tc>
          <w:tcPr>
            <w:tcW w:w="53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977" w:type="dxa"/>
            <w:vAlign w:val="center"/>
          </w:tcPr>
          <w:p>
            <w:pPr>
              <w:jc w:val="left"/>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98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97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keepNext/>
              <w:keepLines/>
              <w:spacing w:before="340" w:after="330" w:line="578" w:lineRule="auto"/>
              <w:jc w:val="left"/>
              <w:rPr>
                <w:rFonts w:ascii="仿宋_GB2312" w:eastAsia="仿宋_GB2312"/>
                <w:color w:val="auto"/>
                <w:sz w:val="24"/>
                <w:szCs w:val="24"/>
              </w:rPr>
            </w:pPr>
          </w:p>
        </w:tc>
      </w:tr>
      <w:tr>
        <w:trPr>
          <w:trHeight w:val="1732"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977" w:type="dxa"/>
            <w:vAlign w:val="center"/>
          </w:tcPr>
          <w:p>
            <w:pPr>
              <w:jc w:val="left"/>
              <w:rPr>
                <w:rFonts w:ascii="仿宋_GB2312" w:eastAsia="仿宋_GB2312"/>
                <w:color w:val="auto"/>
                <w:sz w:val="24"/>
                <w:szCs w:val="24"/>
              </w:rPr>
            </w:pPr>
            <w:r>
              <w:rPr>
                <w:rFonts w:hint="eastAsia" w:ascii="仿宋_GB2312" w:hAnsi="宋体" w:eastAsia="仿宋_GB2312" w:cs="宋体"/>
                <w:color w:val="auto"/>
                <w:kern w:val="0"/>
                <w:sz w:val="24"/>
                <w:szCs w:val="24"/>
              </w:rPr>
              <w:t>内保外贷业务合同（或合同简明条款）</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713"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2977" w:type="dxa"/>
            <w:vAlign w:val="center"/>
          </w:tcPr>
          <w:p>
            <w:pPr>
              <w:jc w:val="left"/>
              <w:rPr>
                <w:rFonts w:ascii="仿宋_GB2312" w:eastAsia="仿宋_GB2312"/>
                <w:color w:val="auto"/>
                <w:sz w:val="24"/>
                <w:szCs w:val="24"/>
              </w:rPr>
            </w:pPr>
            <w:r>
              <w:rPr>
                <w:rFonts w:hint="eastAsia" w:ascii="仿宋_GB2312" w:hAnsi="宋体" w:eastAsia="仿宋_GB2312" w:cs="宋体"/>
                <w:color w:val="auto"/>
                <w:kern w:val="0"/>
                <w:sz w:val="24"/>
                <w:szCs w:val="24"/>
              </w:rPr>
              <w:t>证明购汇资金来源的书面材料</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848" w:hRule="atLeast"/>
        </w:trP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2977" w:type="dxa"/>
            <w:vAlign w:val="center"/>
          </w:tcPr>
          <w:p>
            <w:pPr>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内保外贷履约证明材料（银行发生内保外贷担保履约时可提供索偿报文及履约原因说明）。</w:t>
            </w:r>
          </w:p>
        </w:tc>
        <w:tc>
          <w:tcPr>
            <w:tcW w:w="1985" w:type="dxa"/>
            <w:vAlign w:val="center"/>
          </w:tcPr>
          <w:p>
            <w:pPr>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原件及加盖公章的复印件</w:t>
            </w:r>
          </w:p>
        </w:tc>
        <w:tc>
          <w:tcPr>
            <w:tcW w:w="567"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848" w:hRule="atLeast"/>
        </w:trP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5</w:t>
            </w:r>
          </w:p>
        </w:tc>
        <w:tc>
          <w:tcPr>
            <w:tcW w:w="2977" w:type="dxa"/>
            <w:vAlign w:val="center"/>
          </w:tcPr>
          <w:p>
            <w:pPr>
              <w:jc w:val="left"/>
              <w:rPr>
                <w:rFonts w:ascii="仿宋_GB2312" w:eastAsia="仿宋_GB2312"/>
                <w:color w:val="auto"/>
                <w:sz w:val="24"/>
                <w:szCs w:val="24"/>
              </w:rPr>
            </w:pPr>
            <w:r>
              <w:rPr>
                <w:rFonts w:hint="eastAsia" w:ascii="仿宋_GB2312" w:hAnsi="宋体" w:eastAsia="仿宋_GB2312" w:cs="宋体"/>
                <w:color w:val="auto"/>
                <w:kern w:val="0"/>
                <w:sz w:val="24"/>
                <w:szCs w:val="24"/>
              </w:rPr>
              <w:t>债务人提供的外保内贷履约项下外债登记证明文件（因清算、解散、债务豁免或其他合理因素导致债务人无法取得外债登记证明的，应当说明原因）</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922" w:hRule="atLeast"/>
        </w:trP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6</w:t>
            </w:r>
          </w:p>
        </w:tc>
        <w:tc>
          <w:tcPr>
            <w:tcW w:w="297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外汇局认为必要的其他证明材料</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原件或加盖公章的复印件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300"/>
        <w:rPr>
          <w:rFonts w:ascii="仿宋_GB2312"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pStyle w:val="3"/>
        <w:rPr>
          <w:color w:val="auto"/>
        </w:rPr>
      </w:pPr>
      <w:bookmarkStart w:id="187" w:name="_Toc30489"/>
      <w:bookmarkStart w:id="188" w:name="_Toc17301"/>
      <w:bookmarkStart w:id="189" w:name="_Toc3359"/>
      <w:bookmarkStart w:id="190" w:name="_Toc22076"/>
      <w:bookmarkStart w:id="191" w:name="_Toc22766"/>
      <w:r>
        <w:rPr>
          <w:rFonts w:hint="eastAsia"/>
          <w:color w:val="auto"/>
        </w:rPr>
        <w:t>（五）、购汇偿还已结汇使用的国内外汇贷款备案</w:t>
      </w:r>
      <w:bookmarkEnd w:id="187"/>
      <w:bookmarkEnd w:id="188"/>
      <w:bookmarkEnd w:id="189"/>
      <w:bookmarkEnd w:id="190"/>
      <w:bookmarkEnd w:id="191"/>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jc w:val="left"/>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《国家外汇管理局关于进一步推进外汇管理改革完善真实合规性审核的通知》（汇发〔2017〕3号）</w:t>
      </w:r>
    </w:p>
    <w:p>
      <w:pPr>
        <w:widowControl/>
        <w:ind w:firstLine="600" w:firstLineChars="200"/>
        <w:rPr>
          <w:rFonts w:ascii="仿宋_GB2312" w:eastAsia="仿宋_GB2312"/>
          <w:color w:val="auto"/>
          <w:sz w:val="30"/>
          <w:szCs w:val="30"/>
        </w:rPr>
      </w:pPr>
      <w:r>
        <w:rPr>
          <w:rFonts w:ascii="仿宋_GB2312" w:eastAsia="仿宋_GB2312"/>
          <w:color w:val="auto"/>
          <w:sz w:val="30"/>
          <w:szCs w:val="30"/>
        </w:rPr>
        <w:t>3.</w:t>
      </w:r>
      <w:r>
        <w:rPr>
          <w:rFonts w:hint="eastAsia" w:ascii="仿宋_GB2312" w:eastAsia="仿宋_GB2312"/>
          <w:color w:val="auto"/>
          <w:sz w:val="30"/>
          <w:szCs w:val="30"/>
        </w:rPr>
        <w:t>《国家外汇管理局关于进一步推进外汇管理改革完善真实合规性审核的通知》（汇发〔2017〕3号）政策问答（第二期）。</w:t>
      </w:r>
    </w:p>
    <w:p>
      <w:pPr>
        <w:ind w:right="-58"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4．其他相关法规。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widowControl/>
        <w:ind w:right="-58" w:firstLine="600" w:firstLineChars="200"/>
        <w:rPr>
          <w:rFonts w:ascii="仿宋_GB2312" w:eastAsia="仿宋_GB2312"/>
          <w:color w:val="auto"/>
          <w:sz w:val="30"/>
          <w:szCs w:val="30"/>
        </w:rPr>
      </w:pPr>
      <w:r>
        <w:rPr>
          <w:rFonts w:ascii="仿宋_GB2312" w:hAnsi="Times New Roman" w:eastAsia="仿宋_GB2312"/>
          <w:color w:val="auto"/>
          <w:sz w:val="30"/>
          <w:szCs w:val="30"/>
        </w:rPr>
        <w:t>1.</w:t>
      </w:r>
      <w:r>
        <w:rPr>
          <w:rFonts w:hint="eastAsia" w:ascii="仿宋_GB2312" w:hAnsi="Times New Roman" w:eastAsia="仿宋_GB2312"/>
          <w:color w:val="auto"/>
          <w:sz w:val="30"/>
          <w:szCs w:val="30"/>
        </w:rPr>
        <w:t>已经进入国内外汇贷款专户，且按照</w:t>
      </w:r>
      <w:r>
        <w:rPr>
          <w:rFonts w:hint="eastAsia" w:ascii="仿宋_GB2312" w:eastAsia="仿宋_GB2312"/>
          <w:color w:val="auto"/>
          <w:sz w:val="30"/>
          <w:szCs w:val="30"/>
        </w:rPr>
        <w:t>《国家外汇管理局关于进一步推进外汇管理改革完善真实合规性审核的通知》（汇发〔2017〕3号）要求结汇使用的国内外汇贷款，境内机构应以自有外汇或货物贸易出口收汇资金偿还，原则上不允许购汇偿还。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ind w:right="-58" w:firstLine="600" w:firstLineChars="200"/>
        <w:rPr>
          <w:rFonts w:ascii="仿宋_GB2312" w:eastAsia="仿宋_GB2312"/>
          <w:color w:val="auto"/>
          <w:sz w:val="30"/>
          <w:szCs w:val="30"/>
        </w:rPr>
      </w:pPr>
      <w:r>
        <w:rPr>
          <w:rFonts w:hint="eastAsia" w:ascii="仿宋_GB2312" w:eastAsia="仿宋_GB2312"/>
          <w:color w:val="auto"/>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2977"/>
        <w:gridCol w:w="1985"/>
        <w:gridCol w:w="567"/>
        <w:gridCol w:w="850"/>
        <w:gridCol w:w="567"/>
        <w:gridCol w:w="1043"/>
      </w:tblGrid>
      <w:tr>
        <w:tc>
          <w:tcPr>
            <w:tcW w:w="53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2977" w:type="dxa"/>
            <w:vAlign w:val="center"/>
          </w:tcPr>
          <w:p>
            <w:pPr>
              <w:jc w:val="left"/>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1985"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04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297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申请书（包括但不限于申请购汇所涉及的国内外汇贷款情况，相关的贸易出口业务情况，购汇偿还国内外汇贷款的必要性分析）</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left"/>
              <w:rPr>
                <w:rFonts w:ascii="仿宋_GB2312" w:eastAsia="仿宋_GB2312"/>
                <w:color w:val="auto"/>
                <w:sz w:val="24"/>
                <w:szCs w:val="24"/>
              </w:rPr>
            </w:pPr>
          </w:p>
        </w:tc>
        <w:tc>
          <w:tcPr>
            <w:tcW w:w="1043" w:type="dxa"/>
            <w:vAlign w:val="center"/>
          </w:tcPr>
          <w:p>
            <w:pPr>
              <w:keepNext/>
              <w:keepLines/>
              <w:spacing w:before="340" w:after="330" w:line="578" w:lineRule="auto"/>
              <w:jc w:val="left"/>
              <w:rPr>
                <w:rFonts w:ascii="仿宋_GB2312" w:eastAsia="仿宋_GB2312"/>
                <w:color w:val="auto"/>
                <w:sz w:val="24"/>
                <w:szCs w:val="24"/>
              </w:rPr>
            </w:pPr>
          </w:p>
        </w:tc>
      </w:tr>
      <w:tr>
        <w:trPr>
          <w:trHeight w:val="1732"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2</w:t>
            </w:r>
          </w:p>
        </w:tc>
        <w:tc>
          <w:tcPr>
            <w:tcW w:w="297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申请国内外汇贷款所涉及的贷款合同出口合同（合同为外文的，需要提供主要条款中文翻译件）</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713"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3</w:t>
            </w:r>
          </w:p>
        </w:tc>
        <w:tc>
          <w:tcPr>
            <w:tcW w:w="2977" w:type="dxa"/>
            <w:vAlign w:val="center"/>
          </w:tcPr>
          <w:p>
            <w:pPr>
              <w:jc w:val="left"/>
              <w:rPr>
                <w:rFonts w:ascii="仿宋_GB2312" w:eastAsia="仿宋_GB2312"/>
                <w:color w:val="auto"/>
                <w:sz w:val="24"/>
                <w:szCs w:val="24"/>
              </w:rPr>
            </w:pPr>
            <w:r>
              <w:rPr>
                <w:rFonts w:hint="eastAsia" w:ascii="仿宋_GB2312" w:hAnsi="宋体" w:eastAsia="仿宋_GB2312" w:cs="宋体"/>
                <w:color w:val="auto"/>
                <w:kern w:val="0"/>
                <w:sz w:val="24"/>
                <w:szCs w:val="24"/>
              </w:rPr>
              <w:t>证明购汇归还贷款的必要性的材料</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keepNext/>
              <w:keepLines/>
              <w:spacing w:before="340" w:after="330" w:line="578" w:lineRule="auto"/>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rPr>
          <w:trHeight w:val="1922" w:hRule="atLeast"/>
        </w:trPr>
        <w:tc>
          <w:tcPr>
            <w:tcW w:w="533" w:type="dxa"/>
            <w:vAlign w:val="center"/>
          </w:tcPr>
          <w:p>
            <w:pPr>
              <w:jc w:val="center"/>
              <w:rPr>
                <w:rFonts w:ascii="仿宋_GB2312" w:eastAsia="仿宋_GB2312"/>
                <w:color w:val="auto"/>
                <w:sz w:val="24"/>
                <w:szCs w:val="24"/>
              </w:rPr>
            </w:pPr>
            <w:r>
              <w:rPr>
                <w:rFonts w:ascii="仿宋_GB2312" w:eastAsia="仿宋_GB2312"/>
                <w:color w:val="auto"/>
                <w:sz w:val="24"/>
                <w:szCs w:val="24"/>
              </w:rPr>
              <w:t>4</w:t>
            </w:r>
          </w:p>
        </w:tc>
        <w:tc>
          <w:tcPr>
            <w:tcW w:w="2977"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外汇局认为必要的其他证明材料</w:t>
            </w:r>
          </w:p>
        </w:tc>
        <w:tc>
          <w:tcPr>
            <w:tcW w:w="1985"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原件或加盖公章的复印件</w:t>
            </w:r>
          </w:p>
        </w:tc>
        <w:tc>
          <w:tcPr>
            <w:tcW w:w="567" w:type="dxa"/>
            <w:vAlign w:val="center"/>
          </w:tcPr>
          <w:p>
            <w:pPr>
              <w:jc w:val="center"/>
              <w:rPr>
                <w:rFonts w:ascii="仿宋_GB2312" w:eastAsia="仿宋_GB2312"/>
                <w:color w:val="auto"/>
                <w:sz w:val="24"/>
                <w:szCs w:val="24"/>
              </w:rPr>
            </w:pPr>
            <w:r>
              <w:rPr>
                <w:rFonts w:ascii="仿宋_GB2312" w:eastAsia="仿宋_GB2312"/>
                <w:color w:val="auto"/>
                <w:sz w:val="24"/>
                <w:szCs w:val="24"/>
              </w:rPr>
              <w:t>1</w:t>
            </w:r>
          </w:p>
        </w:tc>
        <w:tc>
          <w:tcPr>
            <w:tcW w:w="85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jc w:val="center"/>
              <w:rPr>
                <w:rFonts w:ascii="仿宋_GB2312" w:eastAsia="仿宋_GB2312"/>
                <w:color w:val="auto"/>
                <w:sz w:val="24"/>
                <w:szCs w:val="24"/>
              </w:rPr>
            </w:pPr>
          </w:p>
        </w:tc>
        <w:tc>
          <w:tcPr>
            <w:tcW w:w="1043" w:type="dxa"/>
            <w:vAlign w:val="center"/>
          </w:tcPr>
          <w:p>
            <w:pPr>
              <w:jc w:val="left"/>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firstLine="600"/>
        <w:jc w:val="left"/>
        <w:rPr>
          <w:rFonts w:ascii="仿宋_GB2312" w:eastAsia="仿宋_GB2312"/>
          <w:color w:val="auto"/>
          <w:sz w:val="30"/>
          <w:szCs w:val="30"/>
        </w:rPr>
      </w:pPr>
      <w:r>
        <w:rPr>
          <w:rFonts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rPr>
          <w:rFonts w:ascii="黑体" w:hAnsi="黑体" w:eastAsia="黑体"/>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sectPr>
          <w:footerReference r:id="rId4" w:type="default"/>
          <w:pgSz w:w="11906" w:h="16838"/>
          <w:pgMar w:top="1440" w:right="1800" w:bottom="1440" w:left="1800" w:header="851" w:footer="992" w:gutter="0"/>
          <w:cols w:space="720" w:num="1"/>
          <w:docGrid w:type="lines" w:linePitch="312"/>
        </w:sectPr>
      </w:pPr>
    </w:p>
    <w:p>
      <w:pPr>
        <w:pStyle w:val="2"/>
        <w:ind w:firstLine="0" w:firstLineChars="0"/>
        <w:rPr>
          <w:color w:val="auto"/>
          <w:sz w:val="32"/>
          <w:szCs w:val="32"/>
        </w:rPr>
      </w:pPr>
      <w:bookmarkStart w:id="192" w:name="_Toc1749"/>
      <w:bookmarkStart w:id="193" w:name="_Toc18696"/>
      <w:bookmarkStart w:id="194" w:name="_Toc14749"/>
      <w:bookmarkStart w:id="195" w:name="_Toc26948"/>
      <w:bookmarkStart w:id="196" w:name="_Toc23311"/>
      <w:r>
        <w:rPr>
          <w:rFonts w:hint="eastAsia"/>
          <w:color w:val="auto"/>
          <w:sz w:val="32"/>
          <w:szCs w:val="32"/>
        </w:rPr>
        <w:t>五、资本项目外汇资金结汇核准</w:t>
      </w:r>
      <w:bookmarkEnd w:id="192"/>
      <w:bookmarkEnd w:id="193"/>
      <w:bookmarkEnd w:id="194"/>
      <w:bookmarkEnd w:id="195"/>
      <w:bookmarkEnd w:id="196"/>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hAnsi="Times New Roman" w:eastAsia="仿宋_GB2312"/>
          <w:color w:val="auto"/>
          <w:sz w:val="30"/>
          <w:szCs w:val="30"/>
        </w:rPr>
      </w:pPr>
      <w:r>
        <w:rPr>
          <w:rFonts w:hint="eastAsia" w:ascii="仿宋_GB2312" w:hAnsi="Times New Roman" w:eastAsia="仿宋_GB2312"/>
          <w:color w:val="auto"/>
          <w:sz w:val="30"/>
          <w:szCs w:val="30"/>
        </w:rPr>
        <w:t>《中华人民共和国外汇管理条例》（国务院令第532号）第二十一条：“</w:t>
      </w:r>
      <w:r>
        <w:rPr>
          <w:rFonts w:ascii="仿宋_GB2312" w:hAnsi="Times New Roman" w:eastAsia="仿宋_GB2312"/>
          <w:color w:val="auto"/>
          <w:sz w:val="30"/>
          <w:szCs w:val="30"/>
        </w:rPr>
        <w:t>资本项目外汇收入保留或者卖给经营结汇、售汇业务的金融机构，应当经外汇管理机关批准，但国家规定无需批准的除外</w:t>
      </w:r>
      <w:r>
        <w:rPr>
          <w:rFonts w:hint="eastAsia" w:ascii="仿宋_GB2312" w:hAnsi="Times New Roman" w:eastAsia="仿宋_GB2312"/>
          <w:color w:val="auto"/>
          <w:sz w:val="30"/>
          <w:szCs w:val="30"/>
        </w:rPr>
        <w:t>”。</w:t>
      </w:r>
    </w:p>
    <w:p>
      <w:pPr>
        <w:pStyle w:val="3"/>
        <w:rPr>
          <w:color w:val="auto"/>
        </w:rPr>
      </w:pPr>
      <w:bookmarkStart w:id="197" w:name="_Toc15204"/>
      <w:bookmarkStart w:id="198" w:name="_Toc935"/>
      <w:bookmarkStart w:id="199" w:name="_Toc10679"/>
      <w:bookmarkStart w:id="200" w:name="_Toc13094"/>
      <w:bookmarkStart w:id="201" w:name="_Toc27300"/>
      <w:r>
        <w:rPr>
          <w:rFonts w:hint="eastAsia"/>
          <w:color w:val="auto"/>
        </w:rPr>
        <w:t>（一）、外保内贷境外担保履约款结汇核准</w:t>
      </w:r>
      <w:bookmarkEnd w:id="197"/>
      <w:bookmarkEnd w:id="198"/>
      <w:bookmarkEnd w:id="199"/>
      <w:bookmarkEnd w:id="200"/>
      <w:bookmarkEnd w:id="201"/>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1.</w:t>
      </w:r>
      <w:r>
        <w:rPr>
          <w:rFonts w:ascii="仿宋_GB2312" w:eastAsia="仿宋_GB2312"/>
          <w:color w:val="auto"/>
          <w:sz w:val="30"/>
          <w:szCs w:val="30"/>
        </w:rPr>
        <w:t>《中华人民共和国外汇管理条例》（国务院令第532号）</w:t>
      </w:r>
      <w:r>
        <w:rPr>
          <w:rFonts w:hint="eastAsia" w:ascii="仿宋_GB2312" w:eastAsia="仿宋_GB2312"/>
          <w:color w:val="auto"/>
          <w:sz w:val="30"/>
          <w:szCs w:val="30"/>
        </w:rPr>
        <w:t>；</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2.《国家外汇管理局关于发布&lt;跨境担保外汇管理规定&gt;的通知》（汇发[2014]29号）；</w:t>
      </w:r>
    </w:p>
    <w:p>
      <w:pPr>
        <w:ind w:right="-58" w:firstLine="600" w:firstLineChars="200"/>
        <w:rPr>
          <w:rFonts w:ascii="仿宋_GB2312" w:hAnsi="Times New Roman" w:eastAsia="仿宋_GB2312"/>
          <w:color w:val="auto"/>
          <w:sz w:val="30"/>
          <w:szCs w:val="30"/>
        </w:rPr>
      </w:pPr>
      <w:r>
        <w:rPr>
          <w:rFonts w:hint="eastAsia" w:ascii="仿宋_GB2312" w:eastAsia="仿宋_GB2312"/>
          <w:color w:val="auto"/>
          <w:sz w:val="30"/>
          <w:szCs w:val="30"/>
        </w:rPr>
        <w:t>3．其他相关法规。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widowControl/>
        <w:ind w:right="-58" w:firstLine="600" w:firstLineChars="200"/>
        <w:rPr>
          <w:rFonts w:ascii="仿宋_GB2312" w:hAnsi="Times New Roman" w:eastAsia="仿宋_GB2312"/>
          <w:color w:val="auto"/>
          <w:sz w:val="30"/>
          <w:szCs w:val="30"/>
        </w:rPr>
      </w:pPr>
      <w:r>
        <w:rPr>
          <w:rFonts w:hint="eastAsia" w:ascii="仿宋_GB2312" w:hAnsi="Times New Roman" w:eastAsia="仿宋_GB2312"/>
          <w:color w:val="auto"/>
          <w:sz w:val="30"/>
          <w:szCs w:val="30"/>
        </w:rPr>
        <w:t>金融机构办理外保内贷履约，如担保履约资金与担保项下债务提款币种不一致而需要办理结汇，由其分行或总行/总部汇总自身及下属分支机构的担保履约款结汇申请后，向其所在地外汇局集中提出申请。</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3970"/>
        <w:gridCol w:w="992"/>
        <w:gridCol w:w="567"/>
        <w:gridCol w:w="850"/>
        <w:gridCol w:w="426"/>
        <w:gridCol w:w="1184"/>
      </w:tblGrid>
      <w:tr>
        <w:tc>
          <w:tcPr>
            <w:tcW w:w="533"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序号</w:t>
            </w:r>
          </w:p>
        </w:tc>
        <w:tc>
          <w:tcPr>
            <w:tcW w:w="397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992"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份数</w:t>
            </w:r>
          </w:p>
        </w:tc>
        <w:tc>
          <w:tcPr>
            <w:tcW w:w="850"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纸质/电子</w:t>
            </w:r>
          </w:p>
        </w:tc>
        <w:tc>
          <w:tcPr>
            <w:tcW w:w="426"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要求</w:t>
            </w:r>
          </w:p>
        </w:tc>
        <w:tc>
          <w:tcPr>
            <w:tcW w:w="1184" w:type="dxa"/>
            <w:vAlign w:val="center"/>
          </w:tcPr>
          <w:p>
            <w:pPr>
              <w:jc w:val="center"/>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1</w:t>
            </w:r>
          </w:p>
        </w:tc>
        <w:tc>
          <w:tcPr>
            <w:tcW w:w="3970" w:type="dxa"/>
            <w:vAlign w:val="center"/>
          </w:tcPr>
          <w:p>
            <w:pPr>
              <w:rPr>
                <w:rFonts w:ascii="仿宋_GB2312" w:eastAsia="仿宋_GB2312"/>
                <w:color w:val="auto"/>
                <w:sz w:val="24"/>
                <w:szCs w:val="24"/>
              </w:rPr>
            </w:pPr>
            <w:r>
              <w:rPr>
                <w:rFonts w:hint="eastAsia" w:ascii="仿宋_GB2312" w:eastAsia="仿宋_GB2312"/>
                <w:color w:val="auto"/>
                <w:sz w:val="24"/>
                <w:szCs w:val="24"/>
              </w:rPr>
              <w:t>申请书</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26" w:type="dxa"/>
            <w:vAlign w:val="center"/>
          </w:tcPr>
          <w:p>
            <w:pPr>
              <w:rPr>
                <w:rFonts w:ascii="仿宋_GB2312" w:eastAsia="仿宋_GB2312"/>
                <w:color w:val="auto"/>
                <w:sz w:val="24"/>
                <w:szCs w:val="24"/>
              </w:rPr>
            </w:pPr>
          </w:p>
        </w:tc>
        <w:tc>
          <w:tcPr>
            <w:tcW w:w="1184" w:type="dxa"/>
            <w:vAlign w:val="center"/>
          </w:tcPr>
          <w:p>
            <w:pPr>
              <w:rPr>
                <w:rFonts w:ascii="仿宋_GB2312" w:eastAsia="仿宋_GB2312"/>
                <w:color w:val="auto"/>
                <w:sz w:val="24"/>
                <w:szCs w:val="24"/>
              </w:rPr>
            </w:pPr>
          </w:p>
        </w:tc>
      </w:tr>
      <w:tr>
        <w:trPr>
          <w:trHeight w:val="378" w:hRule="atLeast"/>
        </w:trP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2</w:t>
            </w:r>
          </w:p>
        </w:tc>
        <w:tc>
          <w:tcPr>
            <w:tcW w:w="3970" w:type="dxa"/>
            <w:vAlign w:val="center"/>
          </w:tcPr>
          <w:p>
            <w:pPr>
              <w:rPr>
                <w:rFonts w:ascii="仿宋_GB2312" w:eastAsia="仿宋_GB2312"/>
                <w:color w:val="auto"/>
                <w:sz w:val="24"/>
                <w:szCs w:val="24"/>
              </w:rPr>
            </w:pPr>
            <w:r>
              <w:rPr>
                <w:rFonts w:hint="eastAsia" w:ascii="仿宋_GB2312" w:hAnsi="宋体" w:eastAsia="仿宋_GB2312" w:cs="宋体"/>
                <w:color w:val="auto"/>
                <w:kern w:val="0"/>
                <w:sz w:val="24"/>
                <w:szCs w:val="24"/>
              </w:rPr>
              <w:t>外保内贷业务合同（或合同简明条款）</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26" w:type="dxa"/>
            <w:vAlign w:val="center"/>
          </w:tcPr>
          <w:p>
            <w:pPr>
              <w:rPr>
                <w:rFonts w:ascii="仿宋_GB2312" w:eastAsia="仿宋_GB2312"/>
                <w:color w:val="auto"/>
                <w:sz w:val="24"/>
                <w:szCs w:val="24"/>
              </w:rPr>
            </w:pPr>
          </w:p>
        </w:tc>
        <w:tc>
          <w:tcPr>
            <w:tcW w:w="1184" w:type="dxa"/>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3</w:t>
            </w:r>
          </w:p>
        </w:tc>
        <w:tc>
          <w:tcPr>
            <w:tcW w:w="3970" w:type="dxa"/>
            <w:vAlign w:val="center"/>
          </w:tcPr>
          <w:p>
            <w:pPr>
              <w:rPr>
                <w:rFonts w:ascii="仿宋_GB2312" w:eastAsia="仿宋_GB2312"/>
                <w:color w:val="auto"/>
                <w:sz w:val="24"/>
                <w:szCs w:val="24"/>
              </w:rPr>
            </w:pPr>
            <w:r>
              <w:rPr>
                <w:rFonts w:hint="eastAsia" w:ascii="仿宋_GB2312" w:hAnsi="宋体" w:eastAsia="仿宋_GB2312" w:cs="宋体"/>
                <w:color w:val="auto"/>
                <w:kern w:val="0"/>
                <w:sz w:val="24"/>
                <w:szCs w:val="24"/>
              </w:rPr>
              <w:t>证明结汇资金来源的书面材料</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26" w:type="dxa"/>
            <w:vAlign w:val="center"/>
          </w:tcPr>
          <w:p>
            <w:pPr>
              <w:rPr>
                <w:rFonts w:ascii="仿宋_GB2312" w:eastAsia="仿宋_GB2312"/>
                <w:color w:val="auto"/>
                <w:sz w:val="24"/>
                <w:szCs w:val="24"/>
              </w:rPr>
            </w:pPr>
          </w:p>
        </w:tc>
        <w:tc>
          <w:tcPr>
            <w:tcW w:w="1184" w:type="dxa"/>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4</w:t>
            </w:r>
          </w:p>
        </w:tc>
        <w:tc>
          <w:tcPr>
            <w:tcW w:w="3970" w:type="dxa"/>
            <w:vAlign w:val="center"/>
          </w:tcPr>
          <w:p>
            <w:pPr>
              <w:rPr>
                <w:rFonts w:ascii="仿宋_GB2312" w:eastAsia="仿宋_GB2312"/>
                <w:color w:val="auto"/>
                <w:sz w:val="24"/>
                <w:szCs w:val="24"/>
              </w:rPr>
            </w:pPr>
            <w:r>
              <w:rPr>
                <w:rFonts w:hint="eastAsia" w:ascii="仿宋_GB2312" w:hAnsi="宋体" w:eastAsia="仿宋_GB2312" w:cs="宋体"/>
                <w:color w:val="auto"/>
                <w:kern w:val="0"/>
                <w:sz w:val="24"/>
                <w:szCs w:val="24"/>
              </w:rPr>
              <w:t>债务人提供的外保内贷履约项下外债登记证明文件（因清算、解散、债务豁免或其他合理因素导致债务人无法取得外债登记证明的，应当说明原因）</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26" w:type="dxa"/>
            <w:vAlign w:val="center"/>
          </w:tcPr>
          <w:p>
            <w:pPr>
              <w:rPr>
                <w:rFonts w:ascii="仿宋_GB2312" w:eastAsia="仿宋_GB2312"/>
                <w:color w:val="auto"/>
                <w:sz w:val="24"/>
                <w:szCs w:val="24"/>
              </w:rPr>
            </w:pPr>
          </w:p>
        </w:tc>
        <w:tc>
          <w:tcPr>
            <w:tcW w:w="1184" w:type="dxa"/>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r>
        <w:tc>
          <w:tcPr>
            <w:tcW w:w="533"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5</w:t>
            </w:r>
          </w:p>
        </w:tc>
        <w:tc>
          <w:tcPr>
            <w:tcW w:w="3970" w:type="dxa"/>
            <w:vAlign w:val="center"/>
          </w:tcPr>
          <w:p>
            <w:pPr>
              <w:rPr>
                <w:rFonts w:ascii="仿宋_GB2312" w:eastAsia="仿宋_GB2312"/>
                <w:color w:val="auto"/>
                <w:sz w:val="24"/>
                <w:szCs w:val="24"/>
              </w:rPr>
            </w:pPr>
            <w:r>
              <w:rPr>
                <w:rFonts w:hint="eastAsia" w:ascii="仿宋_GB2312" w:hAnsi="宋体" w:eastAsia="仿宋_GB2312" w:cs="宋体"/>
                <w:color w:val="auto"/>
                <w:kern w:val="0"/>
                <w:sz w:val="24"/>
                <w:szCs w:val="24"/>
              </w:rPr>
              <w:t>外汇局认为必要的其他证明材料</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850"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426" w:type="dxa"/>
            <w:vAlign w:val="center"/>
          </w:tcPr>
          <w:p>
            <w:pPr>
              <w:rPr>
                <w:rFonts w:ascii="仿宋_GB2312" w:eastAsia="仿宋_GB2312"/>
                <w:color w:val="auto"/>
                <w:sz w:val="24"/>
                <w:szCs w:val="24"/>
              </w:rPr>
            </w:pPr>
          </w:p>
        </w:tc>
        <w:tc>
          <w:tcPr>
            <w:tcW w:w="1184" w:type="dxa"/>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firstLine="600"/>
        <w:jc w:val="left"/>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firstLine="600"/>
        <w:jc w:val="left"/>
        <w:rPr>
          <w:rFonts w:ascii="仿宋_GB2312" w:hAnsi="Times New Roman"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eastAsia="仿宋_GB2312"/>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jc w:val="left"/>
        <w:rPr>
          <w:rFonts w:ascii="仿宋_GB2312"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jc w:val="left"/>
        <w:rPr>
          <w:rFonts w:ascii="仿宋_GB2312" w:eastAsia="仿宋_GB2312"/>
          <w:color w:val="auto"/>
          <w:sz w:val="30"/>
          <w:szCs w:val="30"/>
        </w:rPr>
      </w:pPr>
    </w:p>
    <w:p>
      <w:pPr>
        <w:pStyle w:val="3"/>
        <w:rPr>
          <w:color w:val="auto"/>
        </w:rPr>
      </w:pPr>
      <w:bookmarkStart w:id="202" w:name="_Toc1948"/>
      <w:bookmarkStart w:id="203" w:name="_Toc12501"/>
      <w:bookmarkStart w:id="204" w:name="_Toc14616"/>
      <w:bookmarkStart w:id="205" w:name="_Toc10115"/>
      <w:bookmarkStart w:id="206" w:name="_Toc25830"/>
      <w:r>
        <w:rPr>
          <w:rFonts w:hint="eastAsia"/>
          <w:color w:val="auto"/>
        </w:rPr>
        <w:t>（二）、金融机构外债结汇核准</w:t>
      </w:r>
      <w:bookmarkEnd w:id="202"/>
      <w:bookmarkEnd w:id="203"/>
      <w:bookmarkEnd w:id="204"/>
      <w:bookmarkEnd w:id="205"/>
      <w:bookmarkEnd w:id="206"/>
    </w:p>
    <w:p>
      <w:pPr>
        <w:ind w:right="300"/>
        <w:rPr>
          <w:rFonts w:ascii="黑体" w:eastAsia="黑体"/>
          <w:color w:val="auto"/>
          <w:sz w:val="30"/>
          <w:szCs w:val="30"/>
        </w:rPr>
      </w:pPr>
      <w:r>
        <w:rPr>
          <w:rFonts w:hint="eastAsia" w:ascii="黑体" w:eastAsia="黑体"/>
          <w:color w:val="auto"/>
          <w:sz w:val="30"/>
          <w:szCs w:val="30"/>
        </w:rPr>
        <w:t>办理依据</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1.</w:t>
      </w:r>
      <w:r>
        <w:rPr>
          <w:rFonts w:ascii="仿宋_GB2312" w:eastAsia="仿宋_GB2312"/>
          <w:color w:val="auto"/>
          <w:sz w:val="30"/>
          <w:szCs w:val="30"/>
        </w:rPr>
        <w:t>《中华人民共和国外汇管理条例》（国务院令第532号）</w:t>
      </w:r>
      <w:r>
        <w:rPr>
          <w:rFonts w:hint="eastAsia" w:ascii="仿宋_GB2312" w:eastAsia="仿宋_GB2312"/>
          <w:color w:val="auto"/>
          <w:sz w:val="30"/>
          <w:szCs w:val="30"/>
        </w:rPr>
        <w:t>；</w:t>
      </w:r>
    </w:p>
    <w:p>
      <w:pPr>
        <w:ind w:right="300" w:firstLine="600" w:firstLineChars="200"/>
        <w:rPr>
          <w:rFonts w:ascii="仿宋_GB2312" w:eastAsia="仿宋_GB2312"/>
          <w:color w:val="auto"/>
          <w:sz w:val="30"/>
          <w:szCs w:val="30"/>
        </w:rPr>
      </w:pPr>
      <w:r>
        <w:rPr>
          <w:rFonts w:ascii="仿宋_GB2312" w:eastAsia="仿宋_GB2312"/>
          <w:color w:val="auto"/>
          <w:sz w:val="30"/>
          <w:szCs w:val="30"/>
        </w:rPr>
        <w:t>2.</w:t>
      </w:r>
      <w:r>
        <w:rPr>
          <w:rFonts w:hint="eastAsia" w:ascii="仿宋_GB2312" w:eastAsia="仿宋_GB2312"/>
          <w:color w:val="auto"/>
          <w:sz w:val="30"/>
          <w:szCs w:val="30"/>
        </w:rPr>
        <w:t>《外债统计监测暂行规定》（</w:t>
      </w:r>
      <w:r>
        <w:rPr>
          <w:rFonts w:ascii="仿宋_GB2312" w:eastAsia="仿宋_GB2312"/>
          <w:color w:val="auto"/>
          <w:sz w:val="30"/>
          <w:szCs w:val="30"/>
        </w:rPr>
        <w:t>1987</w:t>
      </w:r>
      <w:r>
        <w:rPr>
          <w:rFonts w:hint="eastAsia" w:ascii="仿宋_GB2312" w:eastAsia="仿宋_GB2312"/>
          <w:color w:val="auto"/>
          <w:sz w:val="30"/>
          <w:szCs w:val="30"/>
        </w:rPr>
        <w:t>年公布）。</w:t>
      </w:r>
    </w:p>
    <w:p>
      <w:pPr>
        <w:widowControl/>
        <w:ind w:firstLine="600" w:firstLineChars="200"/>
        <w:rPr>
          <w:rFonts w:ascii="仿宋_GB2312" w:eastAsia="仿宋_GB2312"/>
          <w:color w:val="auto"/>
          <w:sz w:val="30"/>
          <w:szCs w:val="30"/>
        </w:rPr>
      </w:pPr>
      <w:r>
        <w:rPr>
          <w:rFonts w:hint="eastAsia" w:ascii="仿宋_GB2312" w:eastAsia="仿宋_GB2312"/>
          <w:color w:val="auto"/>
          <w:sz w:val="30"/>
          <w:szCs w:val="30"/>
        </w:rPr>
        <w:t>3.《境内机构借用国际商业贷款管理办法》（〔97〕汇政发字06号）。</w:t>
      </w:r>
    </w:p>
    <w:p>
      <w:pPr>
        <w:widowControl/>
        <w:ind w:firstLine="600" w:firstLineChars="200"/>
        <w:rPr>
          <w:rFonts w:ascii="仿宋_GB2312" w:eastAsia="仿宋_GB2312"/>
          <w:color w:val="auto"/>
          <w:sz w:val="30"/>
          <w:szCs w:val="30"/>
        </w:rPr>
      </w:pPr>
      <w:r>
        <w:rPr>
          <w:rFonts w:hint="eastAsia" w:ascii="仿宋_GB2312" w:eastAsia="仿宋_GB2312"/>
          <w:color w:val="auto"/>
          <w:sz w:val="30"/>
          <w:szCs w:val="30"/>
        </w:rPr>
        <w:t>4.《境内外资银行外债管理办法》（国家发展和改革委员会 中国人民银行 中国银行业监督管理委员会令2004年第9号）。</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5.《国家外汇管理局关于发布</w:t>
      </w:r>
      <w:r>
        <w:rPr>
          <w:rFonts w:ascii="仿宋_GB2312" w:eastAsia="仿宋_GB2312"/>
          <w:color w:val="auto"/>
          <w:sz w:val="30"/>
          <w:szCs w:val="30"/>
        </w:rPr>
        <w:t>〈</w:t>
      </w:r>
      <w:r>
        <w:rPr>
          <w:rFonts w:hint="eastAsia" w:ascii="仿宋_GB2312" w:eastAsia="仿宋_GB2312"/>
          <w:color w:val="auto"/>
          <w:sz w:val="30"/>
          <w:szCs w:val="30"/>
        </w:rPr>
        <w:t>外债登记管理办法</w:t>
      </w:r>
      <w:r>
        <w:rPr>
          <w:rFonts w:ascii="仿宋_GB2312" w:eastAsia="仿宋_GB2312"/>
          <w:color w:val="auto"/>
          <w:sz w:val="30"/>
          <w:szCs w:val="30"/>
        </w:rPr>
        <w:t>〉</w:t>
      </w:r>
      <w:r>
        <w:rPr>
          <w:rFonts w:hint="eastAsia" w:ascii="仿宋_GB2312" w:eastAsia="仿宋_GB2312"/>
          <w:color w:val="auto"/>
          <w:sz w:val="30"/>
          <w:szCs w:val="30"/>
        </w:rPr>
        <w:t>的通知》（汇发</w:t>
      </w:r>
      <w:r>
        <w:rPr>
          <w:rFonts w:ascii="仿宋_GB2312" w:eastAsia="仿宋_GB2312"/>
          <w:color w:val="auto"/>
          <w:sz w:val="30"/>
          <w:szCs w:val="30"/>
        </w:rPr>
        <w:t>〔2013〕19</w:t>
      </w:r>
      <w:r>
        <w:rPr>
          <w:rFonts w:hint="eastAsia" w:ascii="仿宋_GB2312" w:eastAsia="仿宋_GB2312"/>
          <w:color w:val="auto"/>
          <w:sz w:val="30"/>
          <w:szCs w:val="30"/>
        </w:rPr>
        <w:t>号）。</w:t>
      </w:r>
    </w:p>
    <w:p>
      <w:pPr>
        <w:widowControl/>
        <w:ind w:firstLine="600" w:firstLineChars="200"/>
        <w:rPr>
          <w:rFonts w:ascii="仿宋_GB2312" w:eastAsia="仿宋_GB2312"/>
          <w:color w:val="auto"/>
          <w:sz w:val="30"/>
          <w:szCs w:val="30"/>
        </w:rPr>
      </w:pPr>
      <w:r>
        <w:rPr>
          <w:rFonts w:hint="eastAsia" w:ascii="仿宋_GB2312" w:eastAsia="仿宋_GB2312"/>
          <w:color w:val="auto"/>
          <w:sz w:val="30"/>
          <w:szCs w:val="30"/>
        </w:rPr>
        <w:t>6.《国家外汇管理局关于核定2015年度境内机构短期外债余额指标有关问题的通知》（汇发〔2015〕14号）。</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7.《国家外汇管理局关于废止和修改涉及注册资本登记制度改革相关规范性文件的通知》（汇发〔2015〕20号）。</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8.《中国人民银行关于全口径跨境融资宏观审慎管理有关事宜的通知》（银发〔</w:t>
      </w:r>
      <w:r>
        <w:rPr>
          <w:rFonts w:ascii="仿宋_GB2312" w:eastAsia="仿宋_GB2312"/>
          <w:color w:val="auto"/>
          <w:sz w:val="30"/>
          <w:szCs w:val="30"/>
        </w:rPr>
        <w:t>2017</w:t>
      </w:r>
      <w:r>
        <w:rPr>
          <w:rFonts w:hint="eastAsia" w:ascii="仿宋_GB2312" w:eastAsia="仿宋_GB2312"/>
          <w:color w:val="auto"/>
          <w:sz w:val="30"/>
          <w:szCs w:val="30"/>
        </w:rPr>
        <w:t>〕</w:t>
      </w:r>
      <w:r>
        <w:rPr>
          <w:rFonts w:ascii="仿宋_GB2312" w:eastAsia="仿宋_GB2312"/>
          <w:color w:val="auto"/>
          <w:sz w:val="30"/>
          <w:szCs w:val="30"/>
        </w:rPr>
        <w:t>9</w:t>
      </w:r>
      <w:r>
        <w:rPr>
          <w:rFonts w:hint="eastAsia" w:ascii="仿宋_GB2312" w:eastAsia="仿宋_GB2312"/>
          <w:color w:val="auto"/>
          <w:sz w:val="30"/>
          <w:szCs w:val="30"/>
        </w:rPr>
        <w:t>号）。</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9．其他相关法规。</w:t>
      </w:r>
    </w:p>
    <w:p>
      <w:pPr>
        <w:ind w:right="300"/>
        <w:rPr>
          <w:rFonts w:ascii="黑体" w:eastAsia="黑体"/>
          <w:color w:val="auto"/>
          <w:sz w:val="30"/>
          <w:szCs w:val="30"/>
        </w:rPr>
      </w:pPr>
      <w:r>
        <w:rPr>
          <w:rFonts w:hint="eastAsia" w:ascii="黑体" w:eastAsia="黑体"/>
          <w:color w:val="auto"/>
          <w:sz w:val="30"/>
          <w:szCs w:val="30"/>
        </w:rPr>
        <w:t>办事条件</w:t>
      </w:r>
    </w:p>
    <w:p>
      <w:pPr>
        <w:ind w:right="300" w:firstLine="450" w:firstLineChars="150"/>
        <w:rPr>
          <w:rFonts w:ascii="仿宋_GB2312" w:eastAsia="仿宋_GB2312"/>
          <w:color w:val="auto"/>
          <w:sz w:val="30"/>
          <w:szCs w:val="30"/>
        </w:rPr>
      </w:pPr>
      <w:r>
        <w:rPr>
          <w:rFonts w:hint="eastAsia" w:ascii="仿宋_GB2312" w:eastAsia="仿宋_GB2312"/>
          <w:color w:val="auto"/>
          <w:sz w:val="30"/>
          <w:szCs w:val="30"/>
        </w:rPr>
        <w:t>1．金融机构融入资金可用于补充资本金，服务实体经济发展，并符合国家产业宏观调控方向，经国家外汇管理局批准，金融机构融入外汇资金可结汇使用。</w:t>
      </w:r>
    </w:p>
    <w:p>
      <w:pPr>
        <w:ind w:right="300" w:firstLine="450" w:firstLineChars="150"/>
        <w:rPr>
          <w:rFonts w:ascii="仿宋_GB2312" w:eastAsia="仿宋_GB2312"/>
          <w:color w:val="auto"/>
          <w:sz w:val="30"/>
          <w:szCs w:val="30"/>
        </w:rPr>
      </w:pPr>
      <w:r>
        <w:rPr>
          <w:rFonts w:hint="eastAsia" w:ascii="仿宋_GB2312" w:eastAsia="仿宋_GB2312"/>
          <w:color w:val="auto"/>
          <w:sz w:val="30"/>
          <w:szCs w:val="30"/>
        </w:rPr>
        <w:t>2．不具备吸存放贷业务资格的非存款类金融机构外债资金，用于服务实体经济发展，并符合国家产业宏观调控方向，经所在地外汇分局批准可结汇使用。</w:t>
      </w:r>
    </w:p>
    <w:p>
      <w:pPr>
        <w:ind w:right="300"/>
        <w:rPr>
          <w:rFonts w:ascii="黑体" w:eastAsia="黑体"/>
          <w:color w:val="auto"/>
          <w:sz w:val="30"/>
          <w:szCs w:val="30"/>
        </w:rPr>
      </w:pPr>
      <w:r>
        <w:rPr>
          <w:rFonts w:hint="eastAsia" w:ascii="黑体" w:eastAsia="黑体"/>
          <w:color w:val="auto"/>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2410"/>
        <w:gridCol w:w="2127"/>
        <w:gridCol w:w="567"/>
        <w:gridCol w:w="992"/>
        <w:gridCol w:w="567"/>
        <w:gridCol w:w="1326"/>
      </w:tblGrid>
      <w:tr>
        <w:tc>
          <w:tcPr>
            <w:tcW w:w="533"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序号</w:t>
            </w:r>
          </w:p>
        </w:tc>
        <w:tc>
          <w:tcPr>
            <w:tcW w:w="2410"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提交材料名称</w:t>
            </w:r>
          </w:p>
        </w:tc>
        <w:tc>
          <w:tcPr>
            <w:tcW w:w="2127"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原件/复印件</w:t>
            </w:r>
          </w:p>
        </w:tc>
        <w:tc>
          <w:tcPr>
            <w:tcW w:w="567"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份数</w:t>
            </w:r>
          </w:p>
        </w:tc>
        <w:tc>
          <w:tcPr>
            <w:tcW w:w="992"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纸质/电子</w:t>
            </w:r>
          </w:p>
        </w:tc>
        <w:tc>
          <w:tcPr>
            <w:tcW w:w="567"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要求</w:t>
            </w:r>
          </w:p>
        </w:tc>
        <w:tc>
          <w:tcPr>
            <w:tcW w:w="1326" w:type="dxa"/>
            <w:vAlign w:val="center"/>
          </w:tcPr>
          <w:p>
            <w:pPr>
              <w:ind w:right="300"/>
              <w:rPr>
                <w:rFonts w:ascii="仿宋_GB2312" w:eastAsia="仿宋_GB2312"/>
                <w:b/>
                <w:color w:val="auto"/>
                <w:sz w:val="24"/>
                <w:szCs w:val="24"/>
              </w:rPr>
            </w:pPr>
            <w:r>
              <w:rPr>
                <w:rFonts w:hint="eastAsia" w:ascii="仿宋_GB2312" w:eastAsia="仿宋_GB2312"/>
                <w:b/>
                <w:color w:val="auto"/>
                <w:sz w:val="24"/>
                <w:szCs w:val="24"/>
              </w:rPr>
              <w:t>备注</w:t>
            </w:r>
          </w:p>
        </w:tc>
      </w:tr>
      <w:tr>
        <w:tc>
          <w:tcPr>
            <w:tcW w:w="533" w:type="dxa"/>
            <w:vAlign w:val="center"/>
          </w:tcPr>
          <w:p>
            <w:pPr>
              <w:ind w:right="300"/>
              <w:rPr>
                <w:rFonts w:ascii="仿宋_GB2312" w:eastAsia="仿宋_GB2312"/>
                <w:color w:val="auto"/>
                <w:sz w:val="24"/>
                <w:szCs w:val="24"/>
              </w:rPr>
            </w:pPr>
            <w:r>
              <w:rPr>
                <w:rFonts w:hint="eastAsia" w:ascii="仿宋_GB2312" w:eastAsia="仿宋_GB2312"/>
                <w:color w:val="auto"/>
                <w:sz w:val="24"/>
                <w:szCs w:val="24"/>
              </w:rPr>
              <w:t>1</w:t>
            </w:r>
          </w:p>
        </w:tc>
        <w:tc>
          <w:tcPr>
            <w:tcW w:w="2410" w:type="dxa"/>
            <w:vAlign w:val="center"/>
          </w:tcPr>
          <w:p>
            <w:pPr>
              <w:rPr>
                <w:rFonts w:ascii="仿宋_GB2312" w:eastAsia="仿宋_GB2312"/>
                <w:color w:val="auto"/>
                <w:sz w:val="24"/>
                <w:szCs w:val="24"/>
              </w:rPr>
            </w:pPr>
            <w:r>
              <w:rPr>
                <w:rFonts w:hint="eastAsia" w:ascii="仿宋_GB2312" w:eastAsia="仿宋_GB2312"/>
                <w:color w:val="auto"/>
                <w:sz w:val="24"/>
                <w:szCs w:val="24"/>
              </w:rPr>
              <w:t>申请书（包括但不限于外债额度情况、外债使用情况；申请外债资金结汇金额、用途，外债结汇需求的充分性和必要性）</w:t>
            </w:r>
          </w:p>
        </w:tc>
        <w:tc>
          <w:tcPr>
            <w:tcW w:w="2127" w:type="dxa"/>
            <w:vAlign w:val="center"/>
          </w:tcPr>
          <w:p>
            <w:pPr>
              <w:rPr>
                <w:rFonts w:ascii="仿宋_GB2312" w:eastAsia="仿宋_GB2312"/>
                <w:color w:val="auto"/>
                <w:sz w:val="24"/>
                <w:szCs w:val="24"/>
              </w:rPr>
            </w:pPr>
            <w:r>
              <w:rPr>
                <w:rFonts w:hint="eastAsia" w:ascii="仿宋_GB2312" w:eastAsia="仿宋_GB2312"/>
                <w:color w:val="auto"/>
                <w:sz w:val="24"/>
                <w:szCs w:val="24"/>
              </w:rPr>
              <w:t>加盖公章的原件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rPr>
                <w:rFonts w:ascii="仿宋_GB2312" w:eastAsia="仿宋_GB2312"/>
                <w:color w:val="auto"/>
                <w:sz w:val="24"/>
                <w:szCs w:val="24"/>
              </w:rPr>
            </w:pPr>
          </w:p>
        </w:tc>
        <w:tc>
          <w:tcPr>
            <w:tcW w:w="1326" w:type="dxa"/>
            <w:vAlign w:val="center"/>
          </w:tcPr>
          <w:p>
            <w:pPr>
              <w:rPr>
                <w:rFonts w:ascii="仿宋_GB2312" w:eastAsia="仿宋_GB2312"/>
                <w:color w:val="auto"/>
                <w:sz w:val="24"/>
                <w:szCs w:val="24"/>
              </w:rPr>
            </w:pPr>
          </w:p>
        </w:tc>
      </w:tr>
      <w:tr>
        <w:trPr>
          <w:trHeight w:val="378" w:hRule="atLeast"/>
        </w:trPr>
        <w:tc>
          <w:tcPr>
            <w:tcW w:w="533" w:type="dxa"/>
            <w:vAlign w:val="center"/>
          </w:tcPr>
          <w:p>
            <w:pPr>
              <w:ind w:right="300"/>
              <w:rPr>
                <w:rFonts w:ascii="仿宋_GB2312" w:eastAsia="仿宋_GB2312"/>
                <w:color w:val="auto"/>
                <w:sz w:val="24"/>
                <w:szCs w:val="24"/>
              </w:rPr>
            </w:pPr>
            <w:r>
              <w:rPr>
                <w:rFonts w:hint="eastAsia" w:ascii="仿宋_GB2312" w:eastAsia="仿宋_GB2312"/>
                <w:color w:val="auto"/>
                <w:sz w:val="24"/>
                <w:szCs w:val="24"/>
              </w:rPr>
              <w:t>2</w:t>
            </w:r>
          </w:p>
        </w:tc>
        <w:tc>
          <w:tcPr>
            <w:tcW w:w="2410" w:type="dxa"/>
            <w:vAlign w:val="center"/>
          </w:tcPr>
          <w:p>
            <w:pPr>
              <w:rPr>
                <w:rFonts w:ascii="仿宋_GB2312" w:eastAsia="仿宋_GB2312"/>
                <w:color w:val="auto"/>
                <w:sz w:val="24"/>
                <w:szCs w:val="24"/>
              </w:rPr>
            </w:pPr>
            <w:r>
              <w:rPr>
                <w:rFonts w:hint="eastAsia" w:ascii="仿宋_GB2312" w:hAnsi="宋体" w:eastAsia="仿宋_GB2312" w:cs="宋体"/>
                <w:color w:val="auto"/>
                <w:kern w:val="0"/>
                <w:sz w:val="24"/>
                <w:szCs w:val="24"/>
              </w:rPr>
              <w:t>外汇局认为必要的其他材料</w:t>
            </w:r>
          </w:p>
        </w:tc>
        <w:tc>
          <w:tcPr>
            <w:tcW w:w="2127" w:type="dxa"/>
            <w:vAlign w:val="center"/>
          </w:tcPr>
          <w:p>
            <w:pPr>
              <w:rPr>
                <w:rFonts w:ascii="仿宋_GB2312" w:eastAsia="仿宋_GB2312"/>
                <w:color w:val="auto"/>
                <w:sz w:val="24"/>
                <w:szCs w:val="24"/>
              </w:rPr>
            </w:pPr>
            <w:r>
              <w:rPr>
                <w:rFonts w:hint="eastAsia" w:ascii="仿宋_GB2312" w:eastAsia="仿宋_GB2312"/>
                <w:color w:val="auto"/>
                <w:sz w:val="24"/>
                <w:szCs w:val="24"/>
              </w:rPr>
              <w:t>原件及加盖公章的复印件</w:t>
            </w:r>
          </w:p>
        </w:tc>
        <w:tc>
          <w:tcPr>
            <w:tcW w:w="567" w:type="dxa"/>
            <w:vAlign w:val="center"/>
          </w:tcPr>
          <w:p>
            <w:pPr>
              <w:rPr>
                <w:rFonts w:ascii="仿宋_GB2312" w:eastAsia="仿宋_GB2312"/>
                <w:color w:val="auto"/>
                <w:sz w:val="24"/>
                <w:szCs w:val="24"/>
              </w:rPr>
            </w:pPr>
            <w:r>
              <w:rPr>
                <w:rFonts w:hint="eastAsia" w:ascii="仿宋_GB2312" w:eastAsia="仿宋_GB2312"/>
                <w:color w:val="auto"/>
                <w:sz w:val="24"/>
                <w:szCs w:val="24"/>
              </w:rPr>
              <w:t>1</w:t>
            </w:r>
          </w:p>
        </w:tc>
        <w:tc>
          <w:tcPr>
            <w:tcW w:w="992" w:type="dxa"/>
            <w:vAlign w:val="center"/>
          </w:tcPr>
          <w:p>
            <w:pPr>
              <w:rPr>
                <w:rFonts w:ascii="仿宋_GB2312" w:eastAsia="仿宋_GB2312"/>
                <w:color w:val="auto"/>
                <w:sz w:val="24"/>
                <w:szCs w:val="24"/>
              </w:rPr>
            </w:pPr>
            <w:r>
              <w:rPr>
                <w:rFonts w:hint="eastAsia" w:ascii="仿宋_GB2312" w:eastAsia="仿宋_GB2312"/>
                <w:color w:val="auto"/>
                <w:sz w:val="24"/>
                <w:szCs w:val="24"/>
              </w:rPr>
              <w:t>纸质</w:t>
            </w:r>
          </w:p>
        </w:tc>
        <w:tc>
          <w:tcPr>
            <w:tcW w:w="567" w:type="dxa"/>
            <w:vAlign w:val="center"/>
          </w:tcPr>
          <w:p>
            <w:pPr>
              <w:rPr>
                <w:rFonts w:ascii="仿宋_GB2312" w:eastAsia="仿宋_GB2312"/>
                <w:color w:val="auto"/>
                <w:sz w:val="24"/>
                <w:szCs w:val="24"/>
              </w:rPr>
            </w:pPr>
          </w:p>
        </w:tc>
        <w:tc>
          <w:tcPr>
            <w:tcW w:w="1326" w:type="dxa"/>
            <w:vAlign w:val="center"/>
          </w:tcPr>
          <w:p>
            <w:pPr>
              <w:rPr>
                <w:rFonts w:ascii="仿宋_GB2312" w:eastAsia="仿宋_GB2312"/>
                <w:color w:val="auto"/>
                <w:sz w:val="24"/>
                <w:szCs w:val="24"/>
              </w:rPr>
            </w:pPr>
            <w:r>
              <w:rPr>
                <w:rFonts w:hint="eastAsia" w:ascii="仿宋_GB2312" w:eastAsia="仿宋_GB2312"/>
                <w:color w:val="auto"/>
                <w:sz w:val="24"/>
                <w:szCs w:val="24"/>
              </w:rPr>
              <w:t>验原件，留存加盖公章的复印件</w:t>
            </w:r>
          </w:p>
        </w:tc>
      </w:tr>
    </w:tbl>
    <w:p>
      <w:pPr>
        <w:ind w:right="300"/>
        <w:rPr>
          <w:rFonts w:ascii="黑体" w:eastAsia="黑体"/>
          <w:color w:val="auto"/>
          <w:sz w:val="30"/>
          <w:szCs w:val="30"/>
        </w:rPr>
      </w:pPr>
      <w:r>
        <w:rPr>
          <w:rFonts w:hint="eastAsia" w:ascii="黑体" w:eastAsia="黑体"/>
          <w:color w:val="auto"/>
          <w:sz w:val="30"/>
          <w:szCs w:val="30"/>
        </w:rPr>
        <w:t>基本办理流程</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1.申请人提交申请；</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3.不予受理的，出具不予受理通知书；</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4.材料不全或不符合法定形式的，一次性告知补正材料，并出具《行政审批补正材料通知书》；根据申请材料及补正情况，予以受理的，出具受理通知书，按程序进行审核；</w:t>
      </w:r>
    </w:p>
    <w:p>
      <w:pPr>
        <w:ind w:right="300" w:firstLine="600" w:firstLineChars="200"/>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上午8:30-12:00，下午2:00-5:00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hint="eastAsia" w:ascii="仿宋_GB2312" w:hAnsi="仿宋" w:eastAsia="仿宋_GB2312" w:cs="仿宋"/>
          <w:color w:val="auto"/>
          <w:sz w:val="30"/>
          <w:szCs w:val="30"/>
        </w:rPr>
      </w:pPr>
      <w:r>
        <w:rPr>
          <w:rFonts w:hint="eastAsia" w:ascii="黑体" w:hAnsi="黑体" w:eastAsia="黑体" w:cs="黑体"/>
          <w:color w:val="auto"/>
          <w:sz w:val="30"/>
          <w:szCs w:val="30"/>
        </w:rPr>
        <w:t>办理地点：</w:t>
      </w:r>
      <w:r>
        <w:rPr>
          <w:rFonts w:hint="eastAsia" w:ascii="仿宋_GB2312" w:eastAsia="仿宋_GB2312"/>
          <w:color w:val="auto"/>
          <w:sz w:val="30"/>
          <w:szCs w:val="30"/>
        </w:rPr>
        <w:t>滨湖新区洞庭湖路3366号国家外汇管理局安徽省分局14楼</w:t>
      </w:r>
    </w:p>
    <w:p>
      <w:pPr>
        <w:ind w:right="300"/>
        <w:rPr>
          <w:rFonts w:ascii="仿宋_GB2312" w:eastAsia="仿宋_GB2312"/>
          <w:color w:val="auto"/>
          <w:sz w:val="30"/>
          <w:szCs w:val="30"/>
        </w:rPr>
      </w:pPr>
      <w:r>
        <w:rPr>
          <w:rFonts w:hint="eastAsia" w:ascii="黑体" w:hAnsi="黑体" w:eastAsia="黑体" w:cs="黑体"/>
          <w:color w:val="auto"/>
          <w:sz w:val="30"/>
          <w:szCs w:val="30"/>
        </w:rPr>
        <w:t>联系电话：</w:t>
      </w:r>
      <w:r>
        <w:rPr>
          <w:rFonts w:hint="eastAsia" w:ascii="仿宋_GB2312" w:eastAsia="仿宋_GB2312"/>
          <w:color w:val="auto"/>
          <w:sz w:val="30"/>
          <w:szCs w:val="30"/>
        </w:rPr>
        <w:t>0551-63691296</w:t>
      </w: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ind w:right="300"/>
        <w:rPr>
          <w:rFonts w:ascii="仿宋_GB2312" w:eastAsia="仿宋_GB2312"/>
          <w:color w:val="auto"/>
          <w:sz w:val="30"/>
          <w:szCs w:val="30"/>
        </w:rPr>
      </w:pPr>
    </w:p>
    <w:p>
      <w:pPr>
        <w:pStyle w:val="2"/>
        <w:ind w:firstLine="0" w:firstLineChars="0"/>
        <w:rPr>
          <w:rFonts w:ascii="仿宋_GB2312" w:eastAsia="仿宋_GB2312"/>
          <w:color w:val="auto"/>
        </w:rPr>
      </w:pPr>
      <w:bookmarkStart w:id="207" w:name="_Toc6232"/>
      <w:bookmarkStart w:id="208" w:name="_Toc80"/>
      <w:bookmarkStart w:id="209" w:name="_Toc26036"/>
      <w:bookmarkStart w:id="210" w:name="_Toc27286"/>
      <w:bookmarkStart w:id="211" w:name="_Toc917"/>
      <w:r>
        <w:rPr>
          <w:rFonts w:hint="eastAsia"/>
          <w:color w:val="auto"/>
          <w:sz w:val="32"/>
          <w:szCs w:val="32"/>
        </w:rPr>
        <w:t>六、保险、证券公司等非银行金融机构外汇业务市场准入、退出审批</w:t>
      </w:r>
      <w:bookmarkEnd w:id="207"/>
      <w:bookmarkEnd w:id="208"/>
      <w:bookmarkEnd w:id="209"/>
      <w:bookmarkEnd w:id="210"/>
      <w:bookmarkEnd w:id="211"/>
    </w:p>
    <w:p>
      <w:pPr>
        <w:ind w:right="-58"/>
        <w:rPr>
          <w:rFonts w:ascii="黑体" w:eastAsia="黑体"/>
          <w:color w:val="auto"/>
          <w:sz w:val="30"/>
          <w:szCs w:val="30"/>
        </w:rPr>
      </w:pPr>
      <w:r>
        <w:rPr>
          <w:rFonts w:hint="eastAsia" w:ascii="黑体" w:eastAsia="黑体"/>
          <w:color w:val="auto"/>
          <w:sz w:val="30"/>
          <w:szCs w:val="30"/>
        </w:rPr>
        <w:t>设定依据</w:t>
      </w:r>
    </w:p>
    <w:p>
      <w:pPr>
        <w:ind w:right="-58" w:firstLine="585"/>
        <w:rPr>
          <w:rFonts w:ascii="仿宋_GB2312" w:eastAsia="仿宋_GB2312"/>
          <w:color w:val="auto"/>
          <w:sz w:val="30"/>
          <w:szCs w:val="30"/>
        </w:rPr>
      </w:pPr>
      <w:r>
        <w:rPr>
          <w:rFonts w:hint="eastAsia" w:ascii="仿宋_GB2312" w:eastAsia="仿宋_GB2312"/>
          <w:color w:val="auto"/>
          <w:sz w:val="30"/>
          <w:szCs w:val="30"/>
        </w:rPr>
        <w:t>《中华人民共和国外汇管理条例》（国务院令第532号）第二十四条：“</w:t>
      </w:r>
      <w:r>
        <w:rPr>
          <w:rFonts w:ascii="仿宋_GB2312" w:eastAsia="仿宋_GB2312"/>
          <w:color w:val="auto"/>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eastAsia="仿宋_GB2312"/>
          <w:color w:val="auto"/>
          <w:sz w:val="30"/>
          <w:szCs w:val="30"/>
        </w:rPr>
        <w:t>”。</w:t>
      </w:r>
    </w:p>
    <w:p>
      <w:pPr>
        <w:pStyle w:val="3"/>
        <w:rPr>
          <w:rFonts w:ascii="黑体" w:eastAsia="黑体"/>
          <w:color w:val="auto"/>
          <w:szCs w:val="30"/>
        </w:rPr>
      </w:pPr>
      <w:bookmarkStart w:id="212" w:name="_Toc16920"/>
      <w:bookmarkStart w:id="213" w:name="_Toc16861"/>
      <w:bookmarkStart w:id="214" w:name="_Toc16368"/>
      <w:bookmarkStart w:id="215" w:name="_Toc31530"/>
      <w:bookmarkStart w:id="216" w:name="_Toc30288"/>
      <w:r>
        <w:rPr>
          <w:rFonts w:hint="eastAsia"/>
          <w:color w:val="auto"/>
        </w:rPr>
        <w:t>（一）、非银行金融机构（不含保险公司）外汇业务备案管理</w:t>
      </w:r>
      <w:bookmarkEnd w:id="212"/>
      <w:bookmarkEnd w:id="213"/>
      <w:bookmarkEnd w:id="214"/>
      <w:bookmarkEnd w:id="215"/>
      <w:bookmarkEnd w:id="216"/>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2.其他相关法规。</w:t>
      </w:r>
    </w:p>
    <w:p>
      <w:pPr>
        <w:rPr>
          <w:rFonts w:ascii="黑体" w:hAnsi="Times New Roman" w:eastAsia="黑体"/>
          <w:color w:val="auto"/>
          <w:sz w:val="30"/>
          <w:szCs w:val="30"/>
        </w:rPr>
      </w:pPr>
      <w:r>
        <w:rPr>
          <w:rFonts w:hint="eastAsia" w:ascii="黑体" w:eastAsia="黑体"/>
          <w:color w:val="auto"/>
          <w:sz w:val="30"/>
          <w:szCs w:val="30"/>
        </w:rPr>
        <w:t>办事条件</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（1）境内依法成立的证券公司等非银行金融机构；</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（2）行业监管机构许可其开展外汇业务。</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969"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2"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567"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0"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851"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759" w:type="dxa"/>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rPr>
          <w:jc w:val="center"/>
        </w:trPr>
        <w:tc>
          <w:tcPr>
            <w:tcW w:w="534" w:type="dxa"/>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96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sz w:val="24"/>
                <w:szCs w:val="24"/>
              </w:rPr>
              <w:t>书面申请</w:t>
            </w:r>
            <w:r>
              <w:rPr>
                <w:rFonts w:hint="eastAsia" w:ascii="仿宋_GB2312" w:eastAsia="仿宋_GB2312"/>
                <w:color w:val="auto"/>
                <w:sz w:val="24"/>
              </w:rPr>
              <w:t>（包括但不限于业务类型、业务规则和流程、汇兑安排、内部管理制度、人员要求及准备情况等），并填写完整的《境内非银行金融机构外汇业务备案表》</w:t>
            </w:r>
          </w:p>
        </w:tc>
        <w:tc>
          <w:tcPr>
            <w:tcW w:w="992"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67"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851" w:type="dxa"/>
            <w:vAlign w:val="center"/>
          </w:tcPr>
          <w:p>
            <w:pPr>
              <w:contextualSpacing/>
              <w:jc w:val="left"/>
              <w:rPr>
                <w:rFonts w:ascii="仿宋_GB2312" w:hAnsi="华文仿宋" w:eastAsia="仿宋_GB2312"/>
                <w:color w:val="auto"/>
                <w:sz w:val="24"/>
                <w:szCs w:val="24"/>
              </w:rPr>
            </w:pPr>
          </w:p>
        </w:tc>
        <w:tc>
          <w:tcPr>
            <w:tcW w:w="759" w:type="dxa"/>
            <w:vAlign w:val="center"/>
          </w:tcPr>
          <w:p>
            <w:pPr>
              <w:contextualSpacing/>
              <w:jc w:val="left"/>
              <w:rPr>
                <w:rFonts w:ascii="仿宋_GB2312" w:hAnsi="华文仿宋" w:eastAsia="仿宋_GB2312"/>
                <w:color w:val="auto"/>
                <w:sz w:val="24"/>
                <w:szCs w:val="24"/>
              </w:rPr>
            </w:pPr>
          </w:p>
        </w:tc>
      </w:tr>
      <w:tr>
        <w:trPr>
          <w:jc w:val="center"/>
        </w:trPr>
        <w:tc>
          <w:tcPr>
            <w:tcW w:w="534" w:type="dxa"/>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969"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企业法人营业执照、</w:t>
            </w:r>
            <w:r>
              <w:rPr>
                <w:rFonts w:hint="eastAsia" w:ascii="仿宋_GB2312" w:eastAsia="仿宋_GB2312"/>
                <w:color w:val="auto"/>
                <w:sz w:val="24"/>
              </w:rPr>
              <w:t>组织机构代码证</w:t>
            </w:r>
          </w:p>
        </w:tc>
        <w:tc>
          <w:tcPr>
            <w:tcW w:w="992"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851" w:type="dxa"/>
            <w:vAlign w:val="center"/>
          </w:tcPr>
          <w:p>
            <w:pPr>
              <w:contextualSpacing/>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34" w:type="dxa"/>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969" w:type="dxa"/>
            <w:vAlign w:val="center"/>
          </w:tcPr>
          <w:p>
            <w:pPr>
              <w:contextualSpacing/>
              <w:jc w:val="left"/>
              <w:rPr>
                <w:rFonts w:ascii="仿宋_GB2312" w:hAnsi="华文仿宋" w:eastAsia="仿宋_GB2312"/>
                <w:color w:val="auto"/>
                <w:sz w:val="24"/>
                <w:szCs w:val="24"/>
              </w:rPr>
            </w:pPr>
            <w:r>
              <w:rPr>
                <w:rFonts w:hint="eastAsia" w:ascii="仿宋_GB2312" w:eastAsia="仿宋_GB2312"/>
                <w:color w:val="auto"/>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851" w:type="dxa"/>
            <w:vAlign w:val="center"/>
          </w:tcPr>
          <w:p>
            <w:pPr>
              <w:contextualSpacing/>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34" w:type="dxa"/>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969" w:type="dxa"/>
            <w:vAlign w:val="center"/>
          </w:tcPr>
          <w:p>
            <w:pPr>
              <w:contextualSpacing/>
              <w:jc w:val="left"/>
              <w:rPr>
                <w:rFonts w:ascii="仿宋_GB2312" w:hAnsi="华文仿宋" w:eastAsia="仿宋_GB2312"/>
                <w:color w:val="auto"/>
                <w:sz w:val="24"/>
                <w:szCs w:val="24"/>
              </w:rPr>
            </w:pPr>
            <w:r>
              <w:rPr>
                <w:rFonts w:hint="eastAsia" w:ascii="仿宋_GB2312" w:eastAsia="仿宋_GB2312"/>
                <w:color w:val="auto"/>
                <w:sz w:val="24"/>
              </w:rPr>
              <w:t>最近一年内无重大违规及没有受到监管机构处罚的说明材料</w:t>
            </w:r>
          </w:p>
        </w:tc>
        <w:tc>
          <w:tcPr>
            <w:tcW w:w="992"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851" w:type="dxa"/>
            <w:vAlign w:val="center"/>
          </w:tcPr>
          <w:p>
            <w:pPr>
              <w:contextualSpacing/>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34" w:type="dxa"/>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5</w:t>
            </w:r>
          </w:p>
        </w:tc>
        <w:tc>
          <w:tcPr>
            <w:tcW w:w="3969" w:type="dxa"/>
            <w:vAlign w:val="center"/>
          </w:tcPr>
          <w:p>
            <w:pPr>
              <w:contextualSpacing/>
              <w:jc w:val="left"/>
              <w:rPr>
                <w:rFonts w:ascii="仿宋_GB2312" w:hAnsi="华文仿宋" w:eastAsia="仿宋_GB2312"/>
                <w:color w:val="auto"/>
                <w:sz w:val="24"/>
                <w:szCs w:val="24"/>
              </w:rPr>
            </w:pPr>
            <w:r>
              <w:rPr>
                <w:rFonts w:hint="eastAsia" w:ascii="仿宋_GB2312" w:eastAsia="仿宋_GB2312"/>
                <w:color w:val="auto"/>
                <w:sz w:val="24"/>
              </w:rPr>
              <w:t>前述材料内容不一致或不能说明交易真实性时，要求提供的补充材料</w:t>
            </w:r>
          </w:p>
        </w:tc>
        <w:tc>
          <w:tcPr>
            <w:tcW w:w="992"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0" w:type="dxa"/>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851" w:type="dxa"/>
            <w:vAlign w:val="center"/>
          </w:tcPr>
          <w:p>
            <w:pPr>
              <w:contextualSpacing/>
              <w:jc w:val="left"/>
              <w:rPr>
                <w:rFonts w:ascii="仿宋_GB2312" w:hAnsi="华文仿宋" w:eastAsia="仿宋_GB2312"/>
                <w:color w:val="auto"/>
                <w:sz w:val="24"/>
                <w:szCs w:val="24"/>
              </w:rPr>
            </w:pPr>
          </w:p>
        </w:tc>
        <w:tc>
          <w:tcPr>
            <w:tcW w:w="759" w:type="dxa"/>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1.申请人提交申请；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 xml:space="preserve">3.不予受理的，出具不予受理通知书； </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Times New Roman" w:eastAsia="黑体"/>
          <w:color w:val="auto"/>
          <w:sz w:val="30"/>
          <w:szCs w:val="30"/>
        </w:rPr>
        <w:t>办理时间：</w:t>
      </w:r>
      <w:r>
        <w:rPr>
          <w:rFonts w:hint="eastAsia" w:ascii="仿宋_GB2312" w:eastAsia="仿宋_GB2312"/>
          <w:color w:val="auto"/>
          <w:sz w:val="30"/>
          <w:szCs w:val="30"/>
        </w:rPr>
        <w:t>周一至周五（节假日除外）</w:t>
      </w:r>
    </w:p>
    <w:p>
      <w:pPr>
        <w:rPr>
          <w:rFonts w:hint="eastAsia" w:ascii="仿宋_GB2312" w:eastAsia="仿宋_GB2312"/>
          <w:color w:val="auto"/>
          <w:sz w:val="30"/>
          <w:szCs w:val="30"/>
          <w:lang w:val="en-US" w:eastAsia="zh-CN"/>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00</w:t>
      </w:r>
    </w:p>
    <w:p>
      <w:pPr>
        <w:rPr>
          <w:rFonts w:ascii="仿宋_GB2312" w:eastAsia="仿宋_GB2312"/>
          <w:color w:val="auto"/>
          <w:sz w:val="30"/>
          <w:szCs w:val="30"/>
        </w:rPr>
      </w:pPr>
      <w:r>
        <w:rPr>
          <w:rFonts w:hint="eastAsia" w:ascii="黑体" w:hAnsi="Times New Roman" w:eastAsia="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firstLine="600"/>
        <w:rPr>
          <w:rFonts w:ascii="黑体" w:hAnsi="Times New Roman" w:eastAsia="黑体"/>
          <w:color w:val="auto"/>
          <w:sz w:val="30"/>
          <w:szCs w:val="30"/>
        </w:rPr>
      </w:pPr>
    </w:p>
    <w:p>
      <w:pPr>
        <w:spacing w:line="320" w:lineRule="exact"/>
        <w:rPr>
          <w:rFonts w:ascii="宋体" w:hAnsi="宋体"/>
          <w:color w:val="auto"/>
          <w:sz w:val="28"/>
          <w:szCs w:val="28"/>
        </w:rPr>
      </w:pPr>
      <w:r>
        <w:rPr>
          <w:rFonts w:ascii="仿宋_GB2312" w:eastAsia="仿宋_GB2312"/>
          <w:color w:val="auto"/>
          <w:sz w:val="30"/>
          <w:szCs w:val="30"/>
        </w:rPr>
        <w:br w:type="page"/>
      </w:r>
      <w:bookmarkStart w:id="217" w:name="_Toc428779978"/>
      <w:bookmarkStart w:id="218" w:name="_Toc420333818"/>
      <w:bookmarkStart w:id="219" w:name="_Toc20679"/>
    </w:p>
    <w:bookmarkEnd w:id="217"/>
    <w:bookmarkEnd w:id="218"/>
    <w:bookmarkEnd w:id="219"/>
    <w:p>
      <w:pPr>
        <w:ind w:right="-58"/>
        <w:rPr>
          <w:rFonts w:ascii="黑体" w:hAnsi="黑体" w:eastAsia="黑体"/>
          <w:color w:val="auto"/>
          <w:sz w:val="30"/>
          <w:szCs w:val="30"/>
        </w:rPr>
      </w:pPr>
      <w:r>
        <w:rPr>
          <w:rFonts w:hint="eastAsia" w:ascii="黑体" w:eastAsia="黑体"/>
          <w:color w:val="auto"/>
          <w:sz w:val="30"/>
          <w:szCs w:val="30"/>
        </w:rPr>
        <w:t>（二）</w:t>
      </w:r>
      <w:r>
        <w:rPr>
          <w:rFonts w:hint="eastAsia" w:ascii="黑体" w:hAnsi="黑体" w:eastAsia="黑体"/>
          <w:color w:val="auto"/>
          <w:sz w:val="30"/>
          <w:szCs w:val="30"/>
        </w:rPr>
        <w:t>、非银行金融机构（不含保险公司）结售汇业务资格审批（含初审）</w:t>
      </w:r>
    </w:p>
    <w:p>
      <w:pPr>
        <w:ind w:right="-58"/>
        <w:rPr>
          <w:rFonts w:ascii="黑体" w:eastAsia="黑体"/>
          <w:color w:val="auto"/>
          <w:sz w:val="30"/>
          <w:szCs w:val="30"/>
        </w:rPr>
      </w:pPr>
      <w:r>
        <w:rPr>
          <w:rFonts w:hint="eastAsia" w:ascii="黑体" w:eastAsia="黑体"/>
          <w:color w:val="auto"/>
          <w:sz w:val="30"/>
          <w:szCs w:val="30"/>
        </w:rPr>
        <w:t>办理依据</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1.《中华人民共和国外汇管理条例》（国务院令第532号）。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2.《国家外汇管理局关于发布〈境内企业内部成员外汇资金集中运营管理规定〉的通知》（汇发〔2009〕49号）。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3.《国家外汇管理局关于调整金融机构进入银行间外汇市场有关管理政策的通知》（汇发〔2014〕48号）。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4.《国家外汇管理局关于印发〈银行办理结售汇业务管理办法实施细则〉的通知》（汇发〔2014〕53号）。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5.《国家外汇管理局关于进一步促进贸易投资便利化完善真实性审核的通知》（汇发〔2016〕7号）。</w:t>
      </w:r>
    </w:p>
    <w:p>
      <w:pPr>
        <w:ind w:right="-58" w:firstLine="600" w:firstLineChars="200"/>
        <w:rPr>
          <w:rFonts w:ascii="仿宋_GB2312" w:eastAsia="仿宋_GB2312"/>
          <w:color w:val="auto"/>
          <w:sz w:val="30"/>
          <w:szCs w:val="30"/>
        </w:rPr>
      </w:pPr>
      <w:r>
        <w:rPr>
          <w:rFonts w:hint="eastAsia" w:ascii="仿宋_GB2312" w:eastAsia="仿宋_GB2312"/>
          <w:color w:val="auto"/>
          <w:sz w:val="30"/>
          <w:szCs w:val="30"/>
        </w:rPr>
        <w:t>6.其他相关法规。</w:t>
      </w:r>
    </w:p>
    <w:p>
      <w:pPr>
        <w:ind w:right="-58"/>
        <w:rPr>
          <w:rFonts w:ascii="黑体" w:hAnsi="Times New Roman" w:eastAsia="黑体"/>
          <w:color w:val="auto"/>
          <w:sz w:val="30"/>
          <w:szCs w:val="30"/>
        </w:rPr>
      </w:pPr>
      <w:r>
        <w:rPr>
          <w:rFonts w:hint="eastAsia" w:ascii="黑体" w:eastAsia="黑体"/>
          <w:color w:val="auto"/>
          <w:sz w:val="30"/>
          <w:szCs w:val="30"/>
        </w:rPr>
        <w:t>办事条件</w:t>
      </w:r>
    </w:p>
    <w:p>
      <w:pPr>
        <w:ind w:right="-58" w:firstLine="600"/>
        <w:jc w:val="left"/>
        <w:rPr>
          <w:rFonts w:ascii="仿宋_GB2312" w:eastAsia="仿宋_GB2312"/>
          <w:color w:val="auto"/>
          <w:sz w:val="30"/>
          <w:szCs w:val="30"/>
        </w:rPr>
      </w:pPr>
      <w:r>
        <w:rPr>
          <w:rFonts w:hint="eastAsia" w:ascii="仿宋_GB2312" w:eastAsia="仿宋_GB2312"/>
          <w:color w:val="auto"/>
          <w:sz w:val="30"/>
          <w:szCs w:val="30"/>
        </w:rPr>
        <w:t>在境内合法注册成立的非银行金融机构。</w:t>
      </w:r>
    </w:p>
    <w:p>
      <w:pPr>
        <w:ind w:right="-58"/>
        <w:rPr>
          <w:rFonts w:ascii="黑体" w:eastAsia="黑体"/>
          <w:color w:val="auto"/>
          <w:sz w:val="30"/>
          <w:szCs w:val="30"/>
        </w:rPr>
      </w:pPr>
      <w:r>
        <w:rPr>
          <w:rFonts w:hint="eastAsia" w:ascii="黑体" w:eastAsia="黑体"/>
          <w:color w:val="auto"/>
          <w:sz w:val="30"/>
          <w:szCs w:val="30"/>
        </w:rPr>
        <w:t>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书面申请。包括但不限于机构基本情况、机构自身外汇收支和结售汇情况、开展结售汇业务可行性分析、结售汇业务计划和种类、结售汇综合头寸需求等。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监管机构批准设立的批复文件或《金融许可证》</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结售汇业务内部管理规章制度。包括但不限于结售汇业务操作规程、结售汇业务单证管理制度、结售汇业务统计报告制度、结售汇综合头寸管理制度、结售汇业务会计科目和核算办法、结售汇业务内部审计、风险控制及合规制度、从业人员岗位责任制度、结售汇业务授权管理制度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具备办理结售汇业务所必需的软硬件设施的说明材料（如结售汇汇价接收、发送管理系统及查询报送数据设施等）。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hint="eastAsia" w:ascii="仿宋_GB2312" w:hAnsi="华文仿宋" w:eastAsia="仿宋_GB2312"/>
                <w:color w:val="auto"/>
                <w:sz w:val="24"/>
                <w:szCs w:val="24"/>
                <w:lang w:val="en-US" w:eastAsia="zh-CN"/>
              </w:rPr>
            </w:pPr>
            <w:r>
              <w:rPr>
                <w:rFonts w:hint="eastAsia" w:ascii="仿宋_GB2312" w:hAnsi="华文仿宋" w:eastAsia="仿宋_GB2312"/>
                <w:color w:val="auto"/>
                <w:sz w:val="24"/>
                <w:szCs w:val="24"/>
                <w:lang w:val="en-US" w:eastAsia="zh-CN"/>
              </w:rPr>
              <w:t>非银行金融机构申请开展衍生产品业务的，除提交书面申请（包括可行性报告、业务计划书等)和衍生产品业务内部管理规章制度（包括但不限于业务操作规程、产品定价模型、统计报告制度、会计核算制度、风险管理制度等）外，还需提供主管人员和主要交易人员名单、履历，以及监管部门或其授权的行业管理部门许可其开展衍生产品业务的相关资格许可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8</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非银行金融机构需行业监管部门批准外汇业务经营资格的，还应具备相应的外汇业务经营资格。</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9</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外汇局要求的其他材料。</w:t>
            </w:r>
          </w:p>
        </w:tc>
        <w:tc>
          <w:tcPr>
            <w:tcW w:w="1000" w:type="dxa"/>
            <w:tcBorders>
              <w:top w:val="single" w:color="auto" w:sz="4" w:space="0"/>
              <w:left w:val="single" w:color="auto" w:sz="4" w:space="0"/>
              <w:bottom w:val="single" w:color="auto" w:sz="4" w:space="0"/>
              <w:right w:val="single" w:color="auto" w:sz="4" w:space="0"/>
            </w:tcBorders>
            <w:vAlign w:val="top"/>
          </w:tcPr>
          <w:p>
            <w:pPr>
              <w:jc w:val="left"/>
              <w:rPr>
                <w:color w:val="auto"/>
              </w:rPr>
            </w:pPr>
            <w:r>
              <w:rPr>
                <w:rFonts w:hint="eastAsia" w:ascii="仿宋_GB2312" w:hAnsi="华文仿宋" w:eastAsia="仿宋_GB2312"/>
                <w:color w:val="auto"/>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top"/>
          </w:tcPr>
          <w:p>
            <w:pPr>
              <w:jc w:val="left"/>
              <w:rPr>
                <w:color w:val="auto"/>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220" w:name="_Toc19971"/>
      <w:bookmarkStart w:id="221" w:name="_Toc23465"/>
      <w:bookmarkStart w:id="222" w:name="_Toc20081"/>
      <w:bookmarkStart w:id="223" w:name="_Toc31274"/>
      <w:bookmarkStart w:id="224" w:name="_Toc12791"/>
      <w:r>
        <w:rPr>
          <w:rFonts w:hint="eastAsia" w:ascii="仿宋_GB2312" w:eastAsia="仿宋_GB2312"/>
          <w:color w:val="auto"/>
          <w:sz w:val="30"/>
          <w:szCs w:val="30"/>
        </w:rPr>
        <w:t>3.不予受理的，出具不予受理通知书；</w:t>
      </w:r>
      <w:bookmarkEnd w:id="220"/>
      <w:bookmarkEnd w:id="221"/>
      <w:bookmarkEnd w:id="222"/>
      <w:bookmarkEnd w:id="223"/>
      <w:bookmarkEnd w:id="224"/>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w:t>
      </w:r>
      <w:r>
        <w:rPr>
          <w:rFonts w:hint="eastAsia" w:ascii="仿宋_GB2312" w:eastAsia="仿宋_GB2312"/>
          <w:color w:val="auto"/>
          <w:sz w:val="30"/>
          <w:szCs w:val="30"/>
          <w:lang w:val="en-US" w:eastAsia="zh-CN"/>
        </w:rPr>
        <w:t>3</w:t>
      </w:r>
      <w:r>
        <w:rPr>
          <w:rFonts w:hint="eastAsia" w:ascii="仿宋_GB2312" w:eastAsia="仿宋_GB2312"/>
          <w:color w:val="auto"/>
          <w:sz w:val="30"/>
          <w:szCs w:val="30"/>
        </w:rPr>
        <w:t>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w:t>
      </w:r>
    </w:p>
    <w:p>
      <w:pPr>
        <w:rPr>
          <w:rFonts w:ascii="仿宋_GB2312" w:hAnsi="Times New Roman" w:eastAsia="仿宋_GB2312"/>
          <w:color w:val="auto"/>
          <w:sz w:val="30"/>
          <w:szCs w:val="30"/>
        </w:rPr>
      </w:pPr>
      <w:r>
        <w:rPr>
          <w:rFonts w:hint="eastAsia" w:ascii="黑体" w:hAnsi="黑体" w:eastAsia="黑体" w:cs="黑体"/>
          <w:color w:val="auto"/>
          <w:sz w:val="30"/>
          <w:szCs w:val="30"/>
        </w:rPr>
        <w:t>办理时限：</w:t>
      </w:r>
      <w:r>
        <w:rPr>
          <w:rFonts w:hint="eastAsia" w:ascii="仿宋_GB2312" w:hAnsi="Times New Roman" w:eastAsia="仿宋_GB2312"/>
          <w:color w:val="auto"/>
          <w:sz w:val="30"/>
          <w:szCs w:val="30"/>
        </w:rPr>
        <w:t>初审：申请人提交材料备齐备之日起初审20个工作日。</w:t>
      </w:r>
      <w:r>
        <w:rPr>
          <w:rFonts w:hint="eastAsia" w:ascii="仿宋_GB2312" w:eastAsia="仿宋_GB2312"/>
          <w:color w:val="auto"/>
          <w:sz w:val="30"/>
          <w:szCs w:val="30"/>
        </w:rPr>
        <w:t>所在地国家外汇管理局分局（外汇管理部）受国家外汇管理局委托，</w:t>
      </w:r>
      <w:r>
        <w:rPr>
          <w:rFonts w:hint="eastAsia" w:ascii="仿宋_GB2312" w:hAnsi="Times New Roman" w:eastAsia="仿宋_GB2312"/>
          <w:color w:val="auto"/>
          <w:sz w:val="30"/>
          <w:szCs w:val="30"/>
        </w:rPr>
        <w:t>对申请人相关软硬件设施进行实地检查并在相关要求和设施符合标准后，于20个工作日内完成对</w:t>
      </w:r>
      <w:r>
        <w:rPr>
          <w:rFonts w:hint="eastAsia" w:ascii="仿宋_GB2312" w:eastAsia="仿宋_GB2312"/>
          <w:color w:val="auto"/>
          <w:sz w:val="30"/>
          <w:szCs w:val="30"/>
        </w:rPr>
        <w:t>国家外汇管理局上报初审意见</w:t>
      </w:r>
      <w:r>
        <w:rPr>
          <w:rFonts w:hint="eastAsia" w:ascii="仿宋_GB2312" w:hAnsi="Times New Roman" w:eastAsia="仿宋_GB2312"/>
          <w:color w:val="auto"/>
          <w:sz w:val="30"/>
          <w:szCs w:val="30"/>
        </w:rPr>
        <w:t>。</w:t>
      </w:r>
    </w:p>
    <w:p>
      <w:pPr>
        <w:ind w:firstLine="600" w:firstLineChars="200"/>
        <w:jc w:val="left"/>
        <w:rPr>
          <w:rFonts w:ascii="仿宋" w:hAnsi="仿宋" w:eastAsia="仿宋" w:cs="仿宋"/>
          <w:color w:val="auto"/>
          <w:sz w:val="28"/>
          <w:szCs w:val="28"/>
        </w:rPr>
      </w:pPr>
      <w:r>
        <w:rPr>
          <w:rFonts w:hint="eastAsia" w:ascii="仿宋_GB2312" w:hAnsi="Times New Roman" w:eastAsia="仿宋_GB2312"/>
          <w:color w:val="auto"/>
          <w:sz w:val="30"/>
          <w:szCs w:val="30"/>
        </w:rPr>
        <w:t>国家外汇管理局收到外汇分局（外汇管理部）上报的初审材料，于20个工作日内做出结售汇业务资格许可，并核定其结售汇综合头寸。</w:t>
      </w:r>
    </w:p>
    <w:p>
      <w:pPr>
        <w:jc w:val="left"/>
        <w:rPr>
          <w:rFonts w:ascii="仿宋" w:hAnsi="仿宋" w:eastAsia="仿宋" w:cs="仿宋"/>
          <w:color w:val="auto"/>
          <w:sz w:val="28"/>
          <w:szCs w:val="28"/>
        </w:rPr>
      </w:pPr>
      <w:r>
        <w:rPr>
          <w:rFonts w:hint="eastAsia" w:ascii="黑体" w:hAnsi="Times New Roman" w:eastAsia="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ind w:right="300"/>
        <w:jc w:val="center"/>
        <w:rPr>
          <w:rFonts w:ascii="仿宋_GB2312" w:eastAsia="仿宋_GB2312"/>
          <w:color w:val="auto"/>
          <w:sz w:val="30"/>
          <w:szCs w:val="30"/>
        </w:rPr>
      </w:pPr>
    </w:p>
    <w:p>
      <w:pPr>
        <w:pStyle w:val="3"/>
        <w:rPr>
          <w:rFonts w:ascii="黑体" w:eastAsia="黑体"/>
          <w:color w:val="auto"/>
          <w:szCs w:val="30"/>
        </w:rPr>
      </w:pPr>
      <w:bookmarkStart w:id="225" w:name="_Toc31713"/>
      <w:bookmarkStart w:id="226" w:name="_Toc25458"/>
      <w:bookmarkStart w:id="227" w:name="_Toc10502"/>
      <w:bookmarkStart w:id="228" w:name="_Toc2408"/>
      <w:bookmarkStart w:id="229" w:name="_Toc5144"/>
      <w:r>
        <w:rPr>
          <w:rFonts w:hint="eastAsia"/>
          <w:color w:val="auto"/>
        </w:rPr>
        <w:t>（三）、非银行金融机构（不含保险公司）主体信息登记及变更登记</w:t>
      </w:r>
      <w:bookmarkEnd w:id="225"/>
      <w:bookmarkEnd w:id="226"/>
      <w:bookmarkEnd w:id="227"/>
      <w:bookmarkEnd w:id="228"/>
      <w:bookmarkEnd w:id="229"/>
    </w:p>
    <w:p>
      <w:pPr>
        <w:rPr>
          <w:rFonts w:ascii="黑体" w:eastAsia="黑体"/>
          <w:color w:val="auto"/>
          <w:sz w:val="30"/>
          <w:szCs w:val="30"/>
        </w:rPr>
      </w:pPr>
      <w:r>
        <w:rPr>
          <w:rFonts w:hint="eastAsia" w:ascii="黑体" w:eastAsia="黑体"/>
          <w:color w:val="auto"/>
          <w:sz w:val="30"/>
          <w:szCs w:val="30"/>
        </w:rPr>
        <w:t>办理依据</w:t>
      </w:r>
    </w:p>
    <w:p>
      <w:pPr>
        <w:pStyle w:val="27"/>
        <w:ind w:firstLine="600"/>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.《中华人民共和国外汇管理条例》（国务院令第532号）。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2.其他相关法规。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pStyle w:val="27"/>
        <w:ind w:firstLine="600"/>
        <w:rPr>
          <w:rFonts w:ascii="仿宋_GB2312" w:eastAsia="仿宋_GB2312"/>
          <w:color w:val="auto"/>
          <w:sz w:val="30"/>
          <w:szCs w:val="30"/>
        </w:rPr>
      </w:pPr>
      <w:r>
        <w:rPr>
          <w:rFonts w:hint="eastAsia" w:ascii="仿宋_GB2312" w:eastAsia="仿宋_GB2312"/>
          <w:color w:val="auto"/>
          <w:sz w:val="30"/>
          <w:szCs w:val="30"/>
        </w:rPr>
        <w:t>登记信息与相关批复文件或证明材料等一致。</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4"/>
        <w:gridCol w:w="3595"/>
        <w:gridCol w:w="1489"/>
        <w:gridCol w:w="708"/>
        <w:gridCol w:w="851"/>
        <w:gridCol w:w="567"/>
        <w:gridCol w:w="1595"/>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书面申请（内容包括公司概况、股东结构及其基本情况、拟开展的外汇业务等）</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监管机构或其授权的行业管理组织批准设立的文件或颁发的金融业务许可证</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企业法人营业执照（尚未办理“五证合一”的企业，还需提供组织机构代码证）</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前述材料内容不一致或不能说明交易真实性时，要求提供的补充材料</w:t>
            </w:r>
          </w:p>
        </w:tc>
        <w:tc>
          <w:tcPr>
            <w:tcW w:w="148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p>
        </w:tc>
        <w:tc>
          <w:tcPr>
            <w:tcW w:w="1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230" w:name="_Toc7874"/>
      <w:bookmarkStart w:id="231" w:name="_Toc17365"/>
      <w:bookmarkStart w:id="232" w:name="_Toc12730"/>
      <w:bookmarkStart w:id="233" w:name="_Toc21012"/>
      <w:bookmarkStart w:id="234" w:name="_Toc4270"/>
      <w:r>
        <w:rPr>
          <w:rFonts w:hint="eastAsia" w:ascii="仿宋_GB2312" w:eastAsia="仿宋_GB2312"/>
          <w:color w:val="auto"/>
          <w:sz w:val="30"/>
          <w:szCs w:val="30"/>
        </w:rPr>
        <w:t>3.不予受理的，出具不予受理通知书；</w:t>
      </w:r>
      <w:bookmarkEnd w:id="230"/>
      <w:bookmarkEnd w:id="231"/>
      <w:bookmarkEnd w:id="232"/>
      <w:bookmarkEnd w:id="233"/>
      <w:bookmarkEnd w:id="234"/>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firstLine="600"/>
        <w:jc w:val="left"/>
        <w:rPr>
          <w:rFonts w:ascii="仿宋_GB2312" w:hAnsi="Times New Roman" w:eastAsia="仿宋_GB2312"/>
          <w:color w:val="auto"/>
          <w:sz w:val="30"/>
          <w:szCs w:val="30"/>
        </w:rPr>
      </w:pP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自受理申请之日起五个工作日内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widowControl/>
        <w:jc w:val="left"/>
        <w:rPr>
          <w:rFonts w:ascii="仿宋_GB2312" w:eastAsia="仿宋_GB2312"/>
          <w:color w:val="auto"/>
          <w:sz w:val="30"/>
          <w:szCs w:val="30"/>
        </w:rPr>
      </w:pPr>
      <w:r>
        <w:rPr>
          <w:color w:val="auto"/>
        </w:rPr>
        <w:br w:type="page"/>
      </w:r>
    </w:p>
    <w:p>
      <w:pPr>
        <w:pStyle w:val="2"/>
        <w:ind w:firstLine="0" w:firstLineChars="0"/>
        <w:rPr>
          <w:color w:val="auto"/>
          <w:sz w:val="32"/>
          <w:szCs w:val="32"/>
        </w:rPr>
      </w:pPr>
      <w:bookmarkStart w:id="235" w:name="_Toc1634"/>
      <w:bookmarkStart w:id="236" w:name="_Toc7140"/>
      <w:bookmarkStart w:id="237" w:name="_Toc19766"/>
      <w:bookmarkStart w:id="238" w:name="_Toc134"/>
      <w:bookmarkStart w:id="239" w:name="_Toc3906"/>
      <w:r>
        <w:rPr>
          <w:rFonts w:hint="eastAsia"/>
          <w:color w:val="auto"/>
          <w:sz w:val="32"/>
          <w:szCs w:val="32"/>
        </w:rPr>
        <w:t>七、非银行金融机构（不含保险公司）资本金（或营运资金）本外币转换管理</w:t>
      </w:r>
      <w:bookmarkEnd w:id="235"/>
      <w:bookmarkEnd w:id="236"/>
      <w:bookmarkEnd w:id="237"/>
      <w:bookmarkEnd w:id="238"/>
      <w:bookmarkEnd w:id="239"/>
    </w:p>
    <w:p>
      <w:pPr>
        <w:rPr>
          <w:rFonts w:ascii="黑体" w:eastAsia="黑体"/>
          <w:color w:val="auto"/>
          <w:sz w:val="30"/>
          <w:szCs w:val="30"/>
        </w:rPr>
      </w:pPr>
      <w:r>
        <w:rPr>
          <w:rFonts w:hint="eastAsia" w:ascii="黑体" w:eastAsia="黑体"/>
          <w:color w:val="auto"/>
          <w:sz w:val="30"/>
          <w:szCs w:val="30"/>
        </w:rPr>
        <w:t>办理依据</w:t>
      </w:r>
    </w:p>
    <w:p>
      <w:pPr>
        <w:pStyle w:val="27"/>
        <w:ind w:firstLine="600"/>
        <w:rPr>
          <w:rFonts w:ascii="仿宋_GB2312" w:eastAsia="仿宋_GB2312"/>
          <w:color w:val="auto"/>
          <w:sz w:val="30"/>
          <w:szCs w:val="30"/>
        </w:rPr>
      </w:pPr>
      <w:r>
        <w:rPr>
          <w:rFonts w:ascii="仿宋_GB2312" w:eastAsia="仿宋_GB2312"/>
          <w:color w:val="auto"/>
          <w:sz w:val="30"/>
          <w:szCs w:val="30"/>
        </w:rPr>
        <w:t>1</w:t>
      </w:r>
      <w:r>
        <w:rPr>
          <w:rFonts w:hint="eastAsia" w:ascii="仿宋_GB2312" w:eastAsia="仿宋_GB2312"/>
          <w:color w:val="auto"/>
          <w:sz w:val="30"/>
          <w:szCs w:val="30"/>
        </w:rPr>
        <w:t>.《中华人民共和国外汇管理条例》（国务院令第532号）。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2.《国家外汇管理局关于下放部分资本项目业务审批权限有关问题的通知》（汇发〔2005〕63号）。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3.《国家外汇管理局关于印发〈银行办理结售汇业务管理办法实施细则〉的通知》（汇发〔2014〕53号）。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4.《国家外汇管理局关于印发〈保险业务外汇管理指引〉的通知》（汇发〔2015</w:t>
      </w:r>
      <w:r>
        <w:rPr>
          <w:rFonts w:ascii="仿宋_GB2312" w:eastAsia="仿宋_GB2312"/>
          <w:color w:val="auto"/>
          <w:sz w:val="30"/>
          <w:szCs w:val="30"/>
        </w:rPr>
        <w:t>〕</w:t>
      </w:r>
      <w:r>
        <w:rPr>
          <w:rFonts w:hint="eastAsia" w:ascii="仿宋_GB2312" w:eastAsia="仿宋_GB2312"/>
          <w:color w:val="auto"/>
          <w:sz w:val="30"/>
          <w:szCs w:val="30"/>
        </w:rPr>
        <w:t>6号）。</w:t>
      </w:r>
    </w:p>
    <w:p>
      <w:pPr>
        <w:pStyle w:val="27"/>
        <w:ind w:firstLine="600"/>
        <w:rPr>
          <w:rFonts w:ascii="仿宋_GB2312" w:eastAsia="仿宋_GB2312"/>
          <w:color w:val="auto"/>
          <w:sz w:val="30"/>
          <w:szCs w:val="30"/>
        </w:rPr>
      </w:pPr>
      <w:r>
        <w:rPr>
          <w:rFonts w:hint="eastAsia" w:ascii="仿宋_GB2312" w:eastAsia="仿宋_GB2312"/>
          <w:color w:val="auto"/>
          <w:sz w:val="30"/>
          <w:szCs w:val="30"/>
        </w:rPr>
        <w:t>5.其他相关法规。</w:t>
      </w:r>
    </w:p>
    <w:p>
      <w:pPr>
        <w:rPr>
          <w:rFonts w:ascii="黑体" w:hAnsi="Times New Roman" w:eastAsia="黑体"/>
          <w:color w:val="auto"/>
          <w:sz w:val="30"/>
          <w:szCs w:val="30"/>
        </w:rPr>
      </w:pPr>
      <w:r>
        <w:rPr>
          <w:rFonts w:hint="eastAsia" w:ascii="黑体" w:eastAsia="黑体"/>
          <w:color w:val="auto"/>
          <w:sz w:val="30"/>
          <w:szCs w:val="30"/>
        </w:rPr>
        <w:t>办</w:t>
      </w:r>
      <w:r>
        <w:rPr>
          <w:rFonts w:hint="eastAsia" w:ascii="黑体" w:hAnsi="Times New Roman" w:eastAsia="黑体"/>
          <w:color w:val="auto"/>
          <w:sz w:val="30"/>
          <w:szCs w:val="30"/>
        </w:rPr>
        <w:t>事条件</w:t>
      </w:r>
    </w:p>
    <w:p>
      <w:pPr>
        <w:pStyle w:val="27"/>
        <w:ind w:firstLine="600"/>
        <w:rPr>
          <w:rFonts w:ascii="仿宋_GB2312" w:eastAsia="仿宋_GB2312"/>
          <w:color w:val="auto"/>
          <w:sz w:val="30"/>
          <w:szCs w:val="30"/>
        </w:rPr>
      </w:pPr>
      <w:r>
        <w:rPr>
          <w:rFonts w:hint="eastAsia" w:ascii="仿宋_GB2312" w:eastAsia="仿宋_GB2312"/>
          <w:color w:val="auto"/>
          <w:sz w:val="30"/>
          <w:szCs w:val="30"/>
        </w:rPr>
        <w:t>1.非银行金融机构申请本外币转换金额应与其开展的外汇业务规模相匹配。</w:t>
      </w:r>
    </w:p>
    <w:p>
      <w:pPr>
        <w:pStyle w:val="27"/>
        <w:ind w:firstLine="600"/>
        <w:rPr>
          <w:rFonts w:ascii="仿宋_GB2312" w:eastAsia="仿宋_GB2312"/>
          <w:color w:val="auto"/>
          <w:sz w:val="30"/>
          <w:szCs w:val="30"/>
        </w:rPr>
      </w:pPr>
      <w:r>
        <w:rPr>
          <w:rFonts w:hint="eastAsia" w:ascii="仿宋_GB2312" w:eastAsia="仿宋_GB2312"/>
          <w:color w:val="auto"/>
          <w:sz w:val="30"/>
          <w:szCs w:val="30"/>
        </w:rPr>
        <w:t>2.非银行金融机构申请本外币转换原则上每年不得超过一次。</w:t>
      </w:r>
    </w:p>
    <w:p>
      <w:pPr>
        <w:rPr>
          <w:rFonts w:ascii="黑体" w:hAnsi="Times New Roman" w:eastAsia="黑体"/>
          <w:color w:val="auto"/>
          <w:sz w:val="30"/>
          <w:szCs w:val="30"/>
        </w:rPr>
      </w:pPr>
      <w:r>
        <w:rPr>
          <w:rFonts w:hint="eastAsia" w:ascii="黑体" w:hAnsi="Times New Roman" w:eastAsia="黑体"/>
          <w:color w:val="auto"/>
          <w:sz w:val="30"/>
          <w:szCs w:val="30"/>
        </w:rPr>
        <w:t>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4"/>
        <w:gridCol w:w="3595"/>
        <w:gridCol w:w="993"/>
        <w:gridCol w:w="567"/>
        <w:gridCol w:w="992"/>
        <w:gridCol w:w="567"/>
        <w:gridCol w:w="1368"/>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b/>
                <w:color w:val="auto"/>
                <w:sz w:val="24"/>
                <w:szCs w:val="24"/>
              </w:rPr>
            </w:pPr>
            <w:r>
              <w:rPr>
                <w:rFonts w:hint="eastAsia" w:ascii="仿宋_GB2312" w:hAnsi="华文仿宋" w:eastAsia="仿宋_GB2312"/>
                <w:b/>
                <w:color w:val="auto"/>
                <w:sz w:val="24"/>
                <w:szCs w:val="24"/>
              </w:rPr>
              <w:t>备注</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书面申请（内容包括公司概况，本外币转换的理由以及是否符合有关主管部门的规定，结汇或购汇的币种、金额、资金用途等）。</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本外币转换金额的测算依据及与其外汇业务相匹配的相关证明。</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4</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仿宋_GB2312" w:hAnsi="华文仿宋" w:eastAsia="仿宋_GB2312"/>
                <w:color w:val="auto"/>
                <w:sz w:val="24"/>
                <w:szCs w:val="24"/>
              </w:rPr>
            </w:pPr>
            <w:r>
              <w:rPr>
                <w:rFonts w:hint="eastAsia" w:ascii="仿宋_GB2312" w:hAnsi="华文仿宋" w:eastAsia="仿宋_GB2312"/>
                <w:color w:val="auto"/>
                <w:sz w:val="24"/>
                <w:szCs w:val="24"/>
              </w:rPr>
              <w:t>5</w:t>
            </w:r>
          </w:p>
        </w:tc>
        <w:tc>
          <w:tcPr>
            <w:tcW w:w="3595" w:type="dxa"/>
            <w:tcBorders>
              <w:top w:val="single" w:color="auto" w:sz="4" w:space="0"/>
              <w:left w:val="single" w:color="auto" w:sz="4" w:space="0"/>
              <w:bottom w:val="single" w:color="auto" w:sz="4" w:space="0"/>
              <w:right w:val="single" w:color="auto" w:sz="4" w:space="0"/>
            </w:tcBorders>
            <w:vAlign w:val="center"/>
          </w:tcPr>
          <w:p>
            <w:pPr>
              <w:pStyle w:val="27"/>
              <w:ind w:firstLine="0" w:firstLineChars="0"/>
              <w:jc w:val="left"/>
              <w:rPr>
                <w:rFonts w:ascii="仿宋_GB2312" w:hAnsi="华文仿宋" w:eastAsia="仿宋_GB2312"/>
                <w:color w:val="auto"/>
                <w:sz w:val="24"/>
                <w:szCs w:val="24"/>
              </w:rPr>
            </w:pPr>
            <w:r>
              <w:rPr>
                <w:rFonts w:hint="eastAsia" w:ascii="仿宋_GB2312" w:hAnsi="华文仿宋" w:eastAsia="仿宋_GB2312"/>
                <w:color w:val="auto"/>
                <w:sz w:val="24"/>
                <w:szCs w:val="24"/>
              </w:rPr>
              <w:t>前述材料内容不一致或不能说明交易真实性时，要求提供的补充材料。</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仿宋_GB2312" w:hAnsi="华文仿宋" w:eastAsia="仿宋_GB2312"/>
                <w:color w:val="auto"/>
                <w:sz w:val="24"/>
                <w:szCs w:val="24"/>
              </w:rPr>
            </w:pPr>
            <w:r>
              <w:rPr>
                <w:rFonts w:hint="eastAsia" w:ascii="仿宋_GB2312" w:hAnsi="华文仿宋" w:eastAsia="仿宋_GB2312"/>
                <w:color w:val="auto"/>
                <w:kern w:val="0"/>
                <w:sz w:val="24"/>
                <w:szCs w:val="24"/>
              </w:rPr>
              <w:t>验原件，留存加盖公章的复印件</w:t>
            </w:r>
          </w:p>
        </w:tc>
      </w:tr>
    </w:tbl>
    <w:p>
      <w:pPr>
        <w:rPr>
          <w:rFonts w:ascii="黑体" w:hAnsi="Times New Roman" w:eastAsia="黑体"/>
          <w:color w:val="auto"/>
          <w:sz w:val="30"/>
          <w:szCs w:val="30"/>
        </w:rPr>
      </w:pPr>
      <w:r>
        <w:rPr>
          <w:rFonts w:hint="eastAsia" w:ascii="黑体" w:eastAsia="黑体"/>
          <w:color w:val="auto"/>
          <w:sz w:val="30"/>
          <w:szCs w:val="30"/>
        </w:rPr>
        <w:t>基本办理流程</w:t>
      </w:r>
    </w:p>
    <w:p>
      <w:pPr>
        <w:tabs>
          <w:tab w:val="left" w:pos="615"/>
        </w:tabs>
        <w:ind w:firstLine="600" w:firstLineChars="200"/>
        <w:rPr>
          <w:rFonts w:ascii="仿宋_GB2312" w:eastAsia="仿宋_GB2312"/>
          <w:color w:val="auto"/>
          <w:sz w:val="30"/>
          <w:szCs w:val="30"/>
        </w:rPr>
      </w:pPr>
      <w:r>
        <w:rPr>
          <w:rFonts w:hint="eastAsia" w:ascii="仿宋_GB2312" w:hAnsi="Times New Roman" w:eastAsia="仿宋_GB2312"/>
          <w:color w:val="auto"/>
          <w:sz w:val="30"/>
          <w:szCs w:val="30"/>
        </w:rPr>
        <w:t>1.</w:t>
      </w:r>
      <w:r>
        <w:rPr>
          <w:rFonts w:hint="eastAsia" w:ascii="仿宋_GB2312" w:eastAsia="仿宋_GB2312"/>
          <w:color w:val="auto"/>
          <w:sz w:val="30"/>
          <w:szCs w:val="30"/>
        </w:rPr>
        <w:t>申请人提交申请；</w:t>
      </w:r>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2.决定是否予以受理；</w:t>
      </w:r>
    </w:p>
    <w:p>
      <w:pPr>
        <w:ind w:right="300" w:firstLine="600"/>
        <w:jc w:val="left"/>
        <w:outlineLvl w:val="0"/>
        <w:rPr>
          <w:rFonts w:ascii="仿宋_GB2312" w:eastAsia="仿宋_GB2312"/>
          <w:color w:val="auto"/>
          <w:sz w:val="30"/>
          <w:szCs w:val="30"/>
        </w:rPr>
      </w:pPr>
      <w:bookmarkStart w:id="240" w:name="_Toc7592"/>
      <w:bookmarkStart w:id="241" w:name="_Toc18113"/>
      <w:bookmarkStart w:id="242" w:name="_Toc7467"/>
      <w:bookmarkStart w:id="243" w:name="_Toc15235"/>
      <w:bookmarkStart w:id="244" w:name="_Toc31796"/>
      <w:r>
        <w:rPr>
          <w:rFonts w:hint="eastAsia" w:ascii="仿宋_GB2312" w:eastAsia="仿宋_GB2312"/>
          <w:color w:val="auto"/>
          <w:sz w:val="30"/>
          <w:szCs w:val="30"/>
        </w:rPr>
        <w:t>3.不予受理的，出具不予受理通知书；</w:t>
      </w:r>
      <w:bookmarkEnd w:id="240"/>
      <w:bookmarkEnd w:id="241"/>
      <w:bookmarkEnd w:id="242"/>
      <w:bookmarkEnd w:id="243"/>
      <w:bookmarkEnd w:id="244"/>
    </w:p>
    <w:p>
      <w:pPr>
        <w:ind w:right="300" w:firstLine="600"/>
        <w:jc w:val="left"/>
        <w:rPr>
          <w:rFonts w:ascii="仿宋_GB2312" w:eastAsia="仿宋_GB2312"/>
          <w:color w:val="auto"/>
          <w:sz w:val="30"/>
          <w:szCs w:val="30"/>
        </w:rPr>
      </w:pPr>
      <w:r>
        <w:rPr>
          <w:rFonts w:hint="eastAsia" w:ascii="仿宋_GB2312" w:eastAsia="仿宋_GB2312"/>
          <w:color w:val="auto"/>
          <w:sz w:val="30"/>
          <w:szCs w:val="30"/>
        </w:rPr>
        <w:t>4.</w:t>
      </w:r>
      <w:r>
        <w:rPr>
          <w:rFonts w:hint="eastAsia" w:ascii="仿宋_GB2312" w:hAnsi="Times New Roman" w:eastAsia="仿宋_GB2312"/>
          <w:color w:val="auto"/>
          <w:sz w:val="30"/>
          <w:szCs w:val="30"/>
        </w:rPr>
        <w:t>材料不全或不符合法定形式的，一次性告知补正材料，并出具《行政审批补正材料通知书》；根据申请材料及补正情况，予以</w:t>
      </w:r>
      <w:r>
        <w:rPr>
          <w:rFonts w:hint="eastAsia" w:ascii="仿宋_GB2312" w:eastAsia="仿宋_GB2312"/>
          <w:color w:val="auto"/>
          <w:sz w:val="30"/>
          <w:szCs w:val="30"/>
        </w:rPr>
        <w:t>受理的，出具受理通知书，按程序进行审核；</w:t>
      </w:r>
    </w:p>
    <w:p>
      <w:pPr>
        <w:ind w:firstLine="600"/>
        <w:jc w:val="left"/>
        <w:rPr>
          <w:rFonts w:ascii="仿宋_GB2312" w:eastAsia="仿宋_GB2312"/>
          <w:color w:val="auto"/>
          <w:sz w:val="30"/>
          <w:szCs w:val="30"/>
        </w:rPr>
      </w:pPr>
      <w:r>
        <w:rPr>
          <w:rFonts w:ascii="黑体" w:hAnsi="Calibri" w:eastAsia="黑体" w:cs="Times New Roman"/>
          <w:color w:val="auto"/>
          <w:kern w:val="2"/>
          <w:sz w:val="48"/>
          <w:szCs w:val="48"/>
          <w:lang w:val="en-US" w:eastAsia="zh-CN" w:bidi="ar-SA"/>
        </w:rPr>
        <w:pict>
          <v:shape id="Quad Arrow 1080" o:spid="_x0000_s1027" type="#_x0000_t202" style="position:absolute;left:0;margin-left:-186pt;margin-top:88.4pt;height:72.2pt;width:73.05pt;rotation:0f;z-index:25172070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eastAsia="仿宋_GB2312"/>
          <w:color w:val="auto"/>
          <w:sz w:val="30"/>
          <w:szCs w:val="30"/>
        </w:rPr>
        <w:t>5.不予许可的，出具不予许可通知书；许可的，向申请人出具相关业务办理凭证（包括业务登记凭证、核准文件、备案确认等）</w:t>
      </w:r>
      <w:r>
        <w:rPr>
          <w:rFonts w:hint="eastAsia" w:ascii="仿宋_GB2312" w:hAnsi="Times New Roman" w:eastAsia="仿宋_GB2312"/>
          <w:color w:val="auto"/>
          <w:sz w:val="30"/>
          <w:szCs w:val="30"/>
        </w:rPr>
        <w:t>。</w:t>
      </w:r>
    </w:p>
    <w:p>
      <w:pPr>
        <w:rPr>
          <w:rFonts w:ascii="仿宋" w:hAnsi="仿宋" w:eastAsia="仿宋" w:cs="仿宋"/>
          <w:color w:val="auto"/>
          <w:sz w:val="28"/>
          <w:szCs w:val="28"/>
        </w:rPr>
      </w:pPr>
      <w:r>
        <w:rPr>
          <w:rFonts w:hint="eastAsia" w:ascii="黑体" w:hAnsi="黑体" w:eastAsia="黑体" w:cs="黑体"/>
          <w:color w:val="auto"/>
          <w:sz w:val="30"/>
          <w:szCs w:val="30"/>
        </w:rPr>
        <w:t>办理时间：</w:t>
      </w:r>
      <w:r>
        <w:rPr>
          <w:rFonts w:hint="eastAsia" w:ascii="仿宋_GB2312" w:eastAsia="仿宋_GB2312"/>
          <w:color w:val="auto"/>
          <w:sz w:val="30"/>
          <w:szCs w:val="30"/>
        </w:rPr>
        <w:t>周一至周五（节假日除外）</w:t>
      </w:r>
    </w:p>
    <w:p>
      <w:pPr>
        <w:rPr>
          <w:rFonts w:ascii="仿宋_GB2312" w:eastAsia="仿宋_GB2312"/>
          <w:color w:val="auto"/>
          <w:sz w:val="30"/>
          <w:szCs w:val="30"/>
        </w:rPr>
      </w:pPr>
      <w:r>
        <w:rPr>
          <w:rFonts w:hint="eastAsia" w:ascii="仿宋_GB2312" w:eastAsia="仿宋_GB2312"/>
          <w:color w:val="auto"/>
          <w:sz w:val="30"/>
          <w:szCs w:val="30"/>
        </w:rPr>
        <w:t>上午8:30-12:00，下午2:</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0-5:</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办理时限：</w:t>
      </w:r>
      <w:r>
        <w:rPr>
          <w:rFonts w:hint="eastAsia" w:ascii="仿宋_GB2312" w:eastAsia="仿宋_GB2312"/>
          <w:color w:val="auto"/>
          <w:sz w:val="30"/>
          <w:szCs w:val="30"/>
        </w:rPr>
        <w:t>自受理申请之日起二十个工作日内</w:t>
      </w:r>
    </w:p>
    <w:p>
      <w:pPr>
        <w:jc w:val="left"/>
        <w:rPr>
          <w:rFonts w:ascii="仿宋" w:hAnsi="仿宋" w:eastAsia="仿宋" w:cs="仿宋"/>
          <w:color w:val="auto"/>
          <w:sz w:val="28"/>
          <w:szCs w:val="28"/>
        </w:rPr>
      </w:pPr>
      <w:r>
        <w:rPr>
          <w:rFonts w:hint="eastAsia" w:ascii="黑体" w:hAnsi="黑体" w:eastAsia="黑体" w:cs="黑体"/>
          <w:color w:val="auto"/>
          <w:sz w:val="30"/>
          <w:szCs w:val="30"/>
        </w:rPr>
        <w:t>办理部门：</w:t>
      </w:r>
      <w:r>
        <w:rPr>
          <w:rFonts w:hint="eastAsia" w:ascii="仿宋_GB2312" w:eastAsia="仿宋_GB2312"/>
          <w:color w:val="auto"/>
          <w:sz w:val="30"/>
          <w:szCs w:val="30"/>
        </w:rPr>
        <w:t>资本项目管理处</w:t>
      </w:r>
    </w:p>
    <w:p>
      <w:pPr>
        <w:jc w:val="left"/>
        <w:rPr>
          <w:rFonts w:ascii="仿宋" w:hAnsi="仿宋" w:eastAsia="仿宋" w:cs="仿宋"/>
          <w:color w:val="auto"/>
          <w:sz w:val="28"/>
          <w:szCs w:val="28"/>
        </w:rPr>
      </w:pPr>
      <w:r>
        <w:rPr>
          <w:rFonts w:hint="eastAsia" w:ascii="黑体" w:hAnsi="Times New Roman" w:eastAsia="黑体"/>
          <w:color w:val="auto"/>
          <w:sz w:val="30"/>
          <w:szCs w:val="30"/>
        </w:rPr>
        <w:t>办理地点：</w:t>
      </w:r>
      <w:r>
        <w:rPr>
          <w:rFonts w:hint="eastAsia" w:ascii="仿宋_GB2312" w:eastAsia="仿宋_GB2312"/>
          <w:color w:val="auto"/>
          <w:sz w:val="30"/>
          <w:szCs w:val="30"/>
          <w:lang w:eastAsia="zh-CN"/>
        </w:rPr>
        <w:t>滨湖新区洞庭湖路</w:t>
      </w:r>
      <w:r>
        <w:rPr>
          <w:rFonts w:hint="eastAsia" w:ascii="仿宋_GB2312" w:eastAsia="仿宋_GB2312"/>
          <w:color w:val="auto"/>
          <w:sz w:val="30"/>
          <w:szCs w:val="30"/>
          <w:lang w:val="en-US" w:eastAsia="zh-CN"/>
        </w:rPr>
        <w:t>3366号</w:t>
      </w:r>
      <w:r>
        <w:rPr>
          <w:rFonts w:hint="eastAsia" w:ascii="仿宋_GB2312" w:eastAsia="仿宋_GB2312"/>
          <w:color w:val="auto"/>
          <w:sz w:val="30"/>
          <w:szCs w:val="30"/>
        </w:rPr>
        <w:t>国家外汇管理局</w:t>
      </w:r>
      <w:r>
        <w:rPr>
          <w:rFonts w:hint="eastAsia" w:ascii="仿宋_GB2312" w:eastAsia="仿宋_GB2312"/>
          <w:color w:val="auto"/>
          <w:sz w:val="30"/>
          <w:szCs w:val="30"/>
          <w:lang w:eastAsia="zh-CN"/>
        </w:rPr>
        <w:t>安徽</w:t>
      </w:r>
      <w:r>
        <w:rPr>
          <w:rFonts w:hint="eastAsia" w:ascii="仿宋_GB2312" w:eastAsia="仿宋_GB2312"/>
          <w:color w:val="auto"/>
          <w:sz w:val="30"/>
          <w:szCs w:val="30"/>
        </w:rPr>
        <w:t>省分局</w:t>
      </w:r>
      <w:r>
        <w:rPr>
          <w:rFonts w:hint="eastAsia" w:ascii="仿宋_GB2312" w:eastAsia="仿宋_GB2312"/>
          <w:color w:val="auto"/>
          <w:sz w:val="30"/>
          <w:szCs w:val="30"/>
          <w:lang w:val="en-US" w:eastAsia="zh-CN"/>
        </w:rPr>
        <w:t>14</w:t>
      </w:r>
      <w:r>
        <w:rPr>
          <w:rFonts w:hint="eastAsia" w:ascii="仿宋_GB2312" w:eastAsia="仿宋_GB2312"/>
          <w:color w:val="auto"/>
          <w:sz w:val="30"/>
          <w:szCs w:val="30"/>
        </w:rPr>
        <w:t>楼</w:t>
      </w:r>
    </w:p>
    <w:p>
      <w:pPr>
        <w:ind w:right="300"/>
        <w:rPr>
          <w:rFonts w:hint="eastAsia" w:ascii="仿宋_GB2312" w:eastAsia="黑体"/>
          <w:color w:val="auto"/>
          <w:sz w:val="30"/>
          <w:szCs w:val="30"/>
          <w:lang w:val="en-US" w:eastAsia="zh-CN"/>
        </w:rPr>
      </w:pPr>
      <w:r>
        <w:rPr>
          <w:rFonts w:hint="eastAsia" w:ascii="黑体" w:hAnsi="Times New Roman" w:eastAsia="黑体"/>
          <w:color w:val="auto"/>
          <w:sz w:val="30"/>
          <w:szCs w:val="30"/>
        </w:rPr>
        <w:t>联系电话：</w:t>
      </w:r>
      <w:r>
        <w:rPr>
          <w:rFonts w:hint="eastAsia" w:ascii="仿宋_GB2312" w:eastAsia="仿宋_GB2312"/>
          <w:color w:val="auto"/>
          <w:sz w:val="30"/>
          <w:szCs w:val="30"/>
          <w:lang w:val="en-US" w:eastAsia="zh-CN"/>
        </w:rPr>
        <w:t>0551-63691123</w:t>
      </w:r>
    </w:p>
    <w:p>
      <w:pPr>
        <w:widowControl/>
        <w:jc w:val="left"/>
        <w:rPr>
          <w:rFonts w:ascii="黑体" w:eastAsia="黑体"/>
          <w:color w:val="auto"/>
          <w:sz w:val="48"/>
          <w:szCs w:val="48"/>
        </w:rPr>
      </w:pPr>
      <w:r>
        <w:rPr>
          <w:rFonts w:ascii="黑体" w:hAnsi="Calibri" w:eastAsia="黑体" w:cs="Times New Roman"/>
          <w:color w:val="auto"/>
          <w:kern w:val="2"/>
          <w:sz w:val="48"/>
          <w:szCs w:val="48"/>
          <w:lang w:val="en-US" w:eastAsia="zh-CN" w:bidi="ar-SA"/>
        </w:rPr>
        <w:pict>
          <v:shape id="Quad Arrow 1017" o:spid="_x0000_s1028" type="#_x0000_t202" style="position:absolute;left:0;margin-left:-90pt;margin-top:-285.2pt;height:73.05pt;width:73.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rPr>
                  </w:pPr>
                  <w:r>
                    <w:rPr>
                      <w:rFonts w:hint="eastAsia"/>
                      <w:sz w:val="18"/>
                    </w:rPr>
                    <w:t>投注差模式下，中长期外债以发生额占用额度</w:t>
                  </w:r>
                </w:p>
              </w:txbxContent>
            </v:textbox>
          </v:shape>
        </w:pict>
      </w:r>
      <w:r>
        <w:rPr>
          <w:rFonts w:ascii="黑体" w:hAnsi="Calibri" w:eastAsia="黑体" w:cs="Times New Roman"/>
          <w:color w:val="auto"/>
          <w:kern w:val="2"/>
          <w:sz w:val="48"/>
          <w:szCs w:val="48"/>
          <w:lang w:val="en-US" w:eastAsia="zh-CN" w:bidi="ar-SA"/>
        </w:rPr>
        <w:pict>
          <v:shape id="Quad Arrow 1018" o:spid="_x0000_s1029" type="#_x0000_t202" style="position:absolute;left:0;margin-left:-90pt;margin-top:-285.2pt;height:73.05pt;width:73.0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19" o:spid="_x0000_s1030" type="#_x0000_t202" style="position:absolute;left:0;margin-left:-90pt;margin-top:-285.2pt;height:73.05pt;width:73.0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0" o:spid="_x0000_s1031" type="#_x0000_t202" style="position:absolute;left:0;margin-left:-90pt;margin-top:-285.2pt;height:73.05pt;width:73.0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1" o:spid="_x0000_s1032" type="#_x0000_t202" style="position:absolute;left:0;margin-left:-90pt;margin-top:-285.2pt;height:73.05pt;width:73.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w:pict>
      </w:r>
      <w:r>
        <w:rPr>
          <w:rFonts w:ascii="黑体" w:hAnsi="Calibri" w:eastAsia="黑体" w:cs="Times New Roman"/>
          <w:color w:val="auto"/>
          <w:kern w:val="2"/>
          <w:sz w:val="48"/>
          <w:szCs w:val="48"/>
          <w:lang w:val="en-US" w:eastAsia="zh-CN" w:bidi="ar-SA"/>
        </w:rPr>
        <w:pict>
          <v:shape id="Quad Arrow 1022" o:spid="_x0000_s1033" type="#_x0000_t202" style="position:absolute;left:0;margin-left:-90pt;margin-top:-285.2pt;height:73.05pt;width:73.0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3" o:spid="_x0000_s1034" type="#_x0000_t202" style="position:absolute;left:0;margin-left:-90pt;margin-top:-285.2pt;height:73.05pt;width:73.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w:pict>
      </w:r>
      <w:r>
        <w:rPr>
          <w:rFonts w:ascii="黑体" w:hAnsi="Calibri" w:eastAsia="黑体" w:cs="Times New Roman"/>
          <w:color w:val="auto"/>
          <w:kern w:val="2"/>
          <w:sz w:val="48"/>
          <w:szCs w:val="48"/>
          <w:lang w:val="en-US" w:eastAsia="zh-CN" w:bidi="ar-SA"/>
        </w:rPr>
        <w:pict>
          <v:shape id="Quad Arrow 1024" o:spid="_x0000_s1035" type="#_x0000_t202" style="position:absolute;left:0;margin-left:-90pt;margin-top:-285.2pt;height:73.05pt;width:73.0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25" o:spid="_x0000_s1036" type="#_x0000_t202" style="position:absolute;left:0;margin-left:-90pt;margin-top:-285.2pt;height:73.05pt;width:73.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6" o:spid="_x0000_s1037" type="#_x0000_t202" style="position:absolute;left:0;margin-left:-90pt;margin-top:-285.2pt;height:73.05pt;width:73.0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7" o:spid="_x0000_s1038" type="#_x0000_t202" style="position:absolute;left:0;margin-left:-90pt;margin-top:-285.2pt;height:73.05pt;width:73.05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txbxContent>
            </v:textbox>
          </v:shape>
        </w:pict>
      </w:r>
      <w:r>
        <w:rPr>
          <w:rFonts w:ascii="黑体" w:hAnsi="Calibri" w:eastAsia="黑体" w:cs="Times New Roman"/>
          <w:color w:val="auto"/>
          <w:kern w:val="2"/>
          <w:sz w:val="48"/>
          <w:szCs w:val="48"/>
          <w:lang w:val="en-US" w:eastAsia="zh-CN" w:bidi="ar-SA"/>
        </w:rPr>
        <w:pict>
          <v:shape id="Quad Arrow 1028" o:spid="_x0000_s1039" type="#_x0000_t202" style="position:absolute;left:0;margin-left:-90pt;margin-top:-285.2pt;height:73.05pt;width:73.0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w:pict>
      </w:r>
      <w:r>
        <w:rPr>
          <w:rFonts w:ascii="黑体" w:hAnsi="Calibri" w:eastAsia="黑体" w:cs="Times New Roman"/>
          <w:color w:val="auto"/>
          <w:kern w:val="2"/>
          <w:sz w:val="48"/>
          <w:szCs w:val="48"/>
          <w:lang w:val="en-US" w:eastAsia="zh-CN" w:bidi="ar-SA"/>
        </w:rPr>
        <w:pict>
          <v:shape id="Quad Arrow 1029" o:spid="_x0000_s1040" type="#_x0000_t202" style="position:absolute;left:0;margin-left:-90pt;margin-top:-285.2pt;height:73.05pt;width:73.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w:pict>
      </w:r>
      <w:r>
        <w:rPr>
          <w:rFonts w:ascii="黑体" w:hAnsi="Calibri" w:eastAsia="黑体" w:cs="Times New Roman"/>
          <w:color w:val="auto"/>
          <w:kern w:val="2"/>
          <w:sz w:val="48"/>
          <w:szCs w:val="48"/>
          <w:lang w:val="en-US" w:eastAsia="zh-CN" w:bidi="ar-SA"/>
        </w:rPr>
        <w:pict>
          <v:shape id="Quad Arrow 1030" o:spid="_x0000_s1041" type="#_x0000_t202" style="position:absolute;left:0;margin-left:-90pt;margin-top:-285.2pt;height:73.05pt;width:73.0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shape>
        </w:pict>
      </w:r>
      <w:r>
        <w:rPr>
          <w:rFonts w:ascii="黑体" w:hAnsi="Calibri" w:eastAsia="黑体" w:cs="Times New Roman"/>
          <w:color w:val="auto"/>
          <w:kern w:val="2"/>
          <w:sz w:val="48"/>
          <w:szCs w:val="48"/>
          <w:lang w:val="en-US" w:eastAsia="zh-CN" w:bidi="ar-SA"/>
        </w:rPr>
        <w:pict>
          <v:shape id="Quad Arrow 1031" o:spid="_x0000_s1042" type="#_x0000_t202" style="position:absolute;left:0;margin-left:-90pt;margin-top:-285.2pt;height:73.05pt;width:73.0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32" o:spid="_x0000_s1043" type="#_x0000_t202" style="position:absolute;left:0;margin-left:-90pt;margin-top:-285.2pt;height:73.05pt;width:73.0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33" o:spid="_x0000_s1044" type="#_x0000_t202" style="position:absolute;left:0;margin-left:-90pt;margin-top:-285.2pt;height:73.05pt;width:73.05pt;rotation:0f;z-index:2516746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w:pict>
      </w:r>
      <w:r>
        <w:rPr>
          <w:rFonts w:ascii="黑体" w:hAnsi="Calibri" w:eastAsia="黑体" w:cs="Times New Roman"/>
          <w:color w:val="auto"/>
          <w:kern w:val="2"/>
          <w:sz w:val="48"/>
          <w:szCs w:val="48"/>
          <w:lang w:val="en-US" w:eastAsia="zh-CN" w:bidi="ar-SA"/>
        </w:rPr>
        <w:pict>
          <v:shape id="Quad Arrow 1034" o:spid="_x0000_s1045" type="#_x0000_t202" style="position:absolute;left:0;margin-left:-90pt;margin-top:-285.2pt;height:73.05pt;width:73.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w:pict>
      </w:r>
      <w:r>
        <w:rPr>
          <w:rFonts w:ascii="黑体" w:hAnsi="Calibri" w:eastAsia="黑体" w:cs="Times New Roman"/>
          <w:color w:val="auto"/>
          <w:kern w:val="2"/>
          <w:sz w:val="48"/>
          <w:szCs w:val="48"/>
          <w:lang w:val="en-US" w:eastAsia="zh-CN" w:bidi="ar-SA"/>
        </w:rPr>
        <w:pict>
          <v:shape id="Quad Arrow 1035" o:spid="_x0000_s1046" type="#_x0000_t202" style="position:absolute;left:0;margin-left:-90pt;margin-top:-285.2pt;height:73.05pt;width:73.05pt;rotation:0f;z-index:25167667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w:pict>
      </w:r>
      <w:r>
        <w:rPr>
          <w:rFonts w:ascii="黑体" w:hAnsi="Calibri" w:eastAsia="黑体" w:cs="Times New Roman"/>
          <w:color w:val="auto"/>
          <w:kern w:val="2"/>
          <w:sz w:val="48"/>
          <w:szCs w:val="48"/>
          <w:lang w:val="en-US" w:eastAsia="zh-CN" w:bidi="ar-SA"/>
        </w:rPr>
        <w:pict>
          <v:shape id="Quad Arrow 1036" o:spid="_x0000_s1047" type="#_x0000_t202" style="position:absolute;left:0;margin-left:-90pt;margin-top:-285.2pt;height:73.05pt;width:73.05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shape>
        </w:pict>
      </w:r>
      <w:r>
        <w:rPr>
          <w:rFonts w:ascii="黑体" w:hAnsi="Calibri" w:eastAsia="黑体" w:cs="Times New Roman"/>
          <w:color w:val="auto"/>
          <w:kern w:val="2"/>
          <w:sz w:val="48"/>
          <w:szCs w:val="48"/>
          <w:lang w:val="en-US" w:eastAsia="zh-CN" w:bidi="ar-SA"/>
        </w:rPr>
        <w:pict>
          <v:shape id="Quad Arrow 1037" o:spid="_x0000_s1048" type="#_x0000_t202" style="position:absolute;left:0;margin-left:-90pt;margin-top:-285.2pt;height:73.05pt;width:73.05pt;rotation:0f;z-index:25167872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内保外贷业务编号一定是以46开头的</w:t>
                  </w:r>
                </w:p>
              </w:txbxContent>
            </v:textbox>
          </v:shape>
        </w:pict>
      </w:r>
      <w:r>
        <w:rPr>
          <w:rFonts w:ascii="黑体" w:hAnsi="Calibri" w:eastAsia="黑体" w:cs="Times New Roman"/>
          <w:color w:val="auto"/>
          <w:kern w:val="2"/>
          <w:sz w:val="48"/>
          <w:szCs w:val="48"/>
          <w:lang w:val="en-US" w:eastAsia="zh-CN" w:bidi="ar-SA"/>
        </w:rPr>
        <w:pict>
          <v:shape id="Quad Arrow 1038" o:spid="_x0000_s1049" type="#_x0000_t202" style="position:absolute;left:0;margin-left:-90pt;margin-top:-285.2pt;height:73.05pt;width:73.05pt;rotation:0f;z-index:25167974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w:pict>
      </w:r>
      <w:r>
        <w:rPr>
          <w:rFonts w:ascii="黑体" w:hAnsi="Calibri" w:eastAsia="黑体" w:cs="Times New Roman"/>
          <w:color w:val="auto"/>
          <w:kern w:val="2"/>
          <w:sz w:val="48"/>
          <w:szCs w:val="48"/>
          <w:lang w:val="en-US" w:eastAsia="zh-CN" w:bidi="ar-SA"/>
        </w:rPr>
        <w:pict>
          <v:shape id="Quad Arrow 1039" o:spid="_x0000_s1050" type="#_x0000_t202" style="position:absolute;left:0;margin-left:-90pt;margin-top:-285.2pt;height:73.05pt;width:73.05pt;rotation:0f;z-index:25168076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w:pict>
      </w:r>
      <w:r>
        <w:rPr>
          <w:rFonts w:ascii="黑体" w:hAnsi="Calibri" w:eastAsia="黑体" w:cs="Times New Roman"/>
          <w:color w:val="auto"/>
          <w:kern w:val="2"/>
          <w:sz w:val="48"/>
          <w:szCs w:val="48"/>
          <w:lang w:val="en-US" w:eastAsia="zh-CN" w:bidi="ar-SA"/>
        </w:rPr>
        <w:pict>
          <v:shape id="Quad Arrow 1040" o:spid="_x0000_s1051" type="#_x0000_t202" style="position:absolute;left:0;margin-left:-90pt;margin-top:-285.2pt;height:73.05pt;width:73.05pt;rotation:0f;z-index:25168179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41" o:spid="_x0000_s1052" type="#_x0000_t202" style="position:absolute;left:0;margin-left:-90pt;margin-top:-285.2pt;height:73.05pt;width:73.05pt;rotation:0f;z-index:25168281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w:pict>
      </w:r>
      <w:r>
        <w:rPr>
          <w:rFonts w:ascii="黑体" w:hAnsi="Calibri" w:eastAsia="黑体" w:cs="Times New Roman"/>
          <w:color w:val="auto"/>
          <w:kern w:val="2"/>
          <w:sz w:val="48"/>
          <w:szCs w:val="48"/>
          <w:lang w:val="en-US" w:eastAsia="zh-CN" w:bidi="ar-SA"/>
        </w:rPr>
        <w:pict>
          <v:shape id="Quad Arrow 1042" o:spid="_x0000_s1053" type="#_x0000_t202" style="position:absolute;left:0;margin-left:-90pt;margin-top:-285.2pt;height:73.05pt;width:73.05pt;rotation:0f;z-index:2516838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w:pict>
      </w:r>
      <w:r>
        <w:rPr>
          <w:rFonts w:ascii="黑体" w:hAnsi="Calibri" w:eastAsia="黑体" w:cs="Times New Roman"/>
          <w:color w:val="auto"/>
          <w:kern w:val="2"/>
          <w:sz w:val="48"/>
          <w:szCs w:val="48"/>
          <w:lang w:val="en-US" w:eastAsia="zh-CN" w:bidi="ar-SA"/>
        </w:rPr>
        <w:pict>
          <v:shape id="Quad Arrow 1043" o:spid="_x0000_s1054" type="#_x0000_t202" style="position:absolute;left:0;margin-left:-90pt;margin-top:-285.2pt;height:73.05pt;width:73.05pt;rotation:0f;z-index:2516848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shape>
        </w:pict>
      </w:r>
      <w:r>
        <w:rPr>
          <w:rFonts w:ascii="黑体" w:hAnsi="Calibri" w:eastAsia="黑体" w:cs="Times New Roman"/>
          <w:color w:val="auto"/>
          <w:kern w:val="2"/>
          <w:sz w:val="48"/>
          <w:szCs w:val="48"/>
          <w:lang w:val="en-US" w:eastAsia="zh-CN" w:bidi="ar-SA"/>
        </w:rPr>
        <w:pict>
          <v:shape id="Quad Arrow 1044" o:spid="_x0000_s1055" type="#_x0000_t202" style="position:absolute;left:0;margin-left:-90pt;margin-top:-285.2pt;height:73.05pt;width:73.05pt;rotation:0f;z-index:2516858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w:pict>
      </w:r>
      <w:r>
        <w:rPr>
          <w:rFonts w:ascii="黑体" w:hAnsi="Calibri" w:eastAsia="黑体" w:cs="Times New Roman"/>
          <w:color w:val="auto"/>
          <w:kern w:val="2"/>
          <w:sz w:val="48"/>
          <w:szCs w:val="48"/>
          <w:lang w:val="en-US" w:eastAsia="zh-CN" w:bidi="ar-SA"/>
        </w:rPr>
        <w:pict>
          <v:shape id="Quad Arrow 1045" o:spid="_x0000_s1056" type="#_x0000_t202" style="position:absolute;left:0;margin-left:-90pt;margin-top:-285.2pt;height:73.05pt;width:73.0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w:pict>
      </w:r>
      <w:r>
        <w:rPr>
          <w:rFonts w:ascii="黑体" w:hAnsi="Calibri" w:eastAsia="黑体" w:cs="Times New Roman"/>
          <w:color w:val="auto"/>
          <w:kern w:val="2"/>
          <w:sz w:val="48"/>
          <w:szCs w:val="48"/>
          <w:lang w:val="en-US" w:eastAsia="zh-CN" w:bidi="ar-SA"/>
        </w:rPr>
        <w:pict>
          <v:shape id="Quad Arrow 1046" o:spid="_x0000_s1057" type="#_x0000_t202" style="position:absolute;left:0;margin-left:-90pt;margin-top:-285.2pt;height:73.05pt;width:73.05pt;rotation:0f;z-index:2516879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47" o:spid="_x0000_s1058" type="#_x0000_t202" style="position:absolute;left:0;margin-left:-90pt;margin-top:-285.2pt;height:73.05pt;width:73.05pt;rotation:0f;z-index:2516889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w:pict>
      </w:r>
      <w:r>
        <w:rPr>
          <w:rFonts w:ascii="黑体" w:hAnsi="Calibri" w:eastAsia="黑体" w:cs="Times New Roman"/>
          <w:color w:val="auto"/>
          <w:kern w:val="2"/>
          <w:sz w:val="48"/>
          <w:szCs w:val="48"/>
          <w:lang w:val="en-US" w:eastAsia="zh-CN" w:bidi="ar-SA"/>
        </w:rPr>
        <w:pict>
          <v:shape id="Quad Arrow 1048" o:spid="_x0000_s1059" type="#_x0000_t202" style="position:absolute;left:0;margin-left:-90pt;margin-top:-285.2pt;height:73.05pt;width:73.05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w:pict>
      </w:r>
      <w:r>
        <w:rPr>
          <w:rFonts w:ascii="黑体" w:hAnsi="Calibri" w:eastAsia="黑体" w:cs="Times New Roman"/>
          <w:color w:val="auto"/>
          <w:kern w:val="2"/>
          <w:sz w:val="48"/>
          <w:szCs w:val="48"/>
          <w:lang w:val="en-US" w:eastAsia="zh-CN" w:bidi="ar-SA"/>
        </w:rPr>
        <w:pict>
          <v:shape id="Quad Arrow 1049" o:spid="_x0000_s1060" type="#_x0000_t202" style="position:absolute;left:0;margin-left:-90pt;margin-top:-285.2pt;height:73.05pt;width:73.05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w:pict>
      </w:r>
      <w:r>
        <w:rPr>
          <w:rFonts w:ascii="黑体" w:hAnsi="Calibri" w:eastAsia="黑体" w:cs="Times New Roman"/>
          <w:color w:val="auto"/>
          <w:kern w:val="2"/>
          <w:sz w:val="48"/>
          <w:szCs w:val="48"/>
          <w:lang w:val="en-US" w:eastAsia="zh-CN" w:bidi="ar-SA"/>
        </w:rPr>
        <w:pict>
          <v:shape id="Quad Arrow 1050" o:spid="_x0000_s1061" type="#_x0000_t202" style="position:absolute;left:0;margin-left:-90pt;margin-top:-285.2pt;height:73.05pt;width:73.0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shape>
        </w:pict>
      </w:r>
      <w:r>
        <w:rPr>
          <w:rFonts w:ascii="黑体" w:hAnsi="Calibri" w:eastAsia="黑体" w:cs="Times New Roman"/>
          <w:color w:val="auto"/>
          <w:kern w:val="2"/>
          <w:sz w:val="48"/>
          <w:szCs w:val="48"/>
          <w:lang w:val="en-US" w:eastAsia="zh-CN" w:bidi="ar-SA"/>
        </w:rPr>
        <w:pict>
          <v:shape id="Quad Arrow 1051" o:spid="_x0000_s1062" type="#_x0000_t202" style="position:absolute;left:0;margin-left:-90pt;margin-top:-285.2pt;height:73.05pt;width:73.0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w:pict>
      </w:r>
      <w:r>
        <w:rPr>
          <w:rFonts w:ascii="黑体" w:hAnsi="Calibri" w:eastAsia="黑体" w:cs="Times New Roman"/>
          <w:color w:val="auto"/>
          <w:kern w:val="2"/>
          <w:sz w:val="48"/>
          <w:szCs w:val="48"/>
          <w:lang w:val="en-US" w:eastAsia="zh-CN" w:bidi="ar-SA"/>
        </w:rPr>
        <w:pict>
          <v:shape id="Quad Arrow 1052" o:spid="_x0000_s1063" type="#_x0000_t202" style="position:absolute;left:0;margin-left:-90pt;margin-top:-285.2pt;height:73.05pt;width:73.05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w:pict>
      </w:r>
      <w:r>
        <w:rPr>
          <w:rFonts w:ascii="黑体" w:hAnsi="Calibri" w:eastAsia="黑体" w:cs="Times New Roman"/>
          <w:color w:val="auto"/>
          <w:kern w:val="2"/>
          <w:sz w:val="48"/>
          <w:szCs w:val="48"/>
          <w:lang w:val="en-US" w:eastAsia="zh-CN" w:bidi="ar-SA"/>
        </w:rPr>
        <w:pict>
          <v:shape id="Quad Arrow 1053" o:spid="_x0000_s1064" type="#_x0000_t202" style="position:absolute;left:0;margin-left:-90pt;margin-top:-285.2pt;height:73.05pt;width:73.0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54" o:spid="_x0000_s1065" type="#_x0000_t202" style="position:absolute;left:0;margin-left:-90pt;margin-top:-285.2pt;height:73.05pt;width:73.05pt;rotation:0f;z-index:2516961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shape>
        </w:pict>
      </w:r>
      <w:r>
        <w:rPr>
          <w:rFonts w:ascii="黑体" w:hAnsi="Calibri" w:eastAsia="黑体" w:cs="Times New Roman"/>
          <w:color w:val="auto"/>
          <w:kern w:val="2"/>
          <w:sz w:val="48"/>
          <w:szCs w:val="48"/>
          <w:lang w:val="en-US" w:eastAsia="zh-CN" w:bidi="ar-SA"/>
        </w:rPr>
        <w:pict>
          <v:shape id="Quad Arrow 1055" o:spid="_x0000_s1066" type="#_x0000_t202" style="position:absolute;left:0;margin-left:-90pt;margin-top:-285.2pt;height:73.05pt;width:73.0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w:pict>
      </w:r>
      <w:r>
        <w:rPr>
          <w:rFonts w:ascii="黑体" w:hAnsi="Calibri" w:eastAsia="黑体" w:cs="Times New Roman"/>
          <w:color w:val="auto"/>
          <w:kern w:val="2"/>
          <w:sz w:val="48"/>
          <w:szCs w:val="48"/>
          <w:lang w:val="en-US" w:eastAsia="zh-CN" w:bidi="ar-SA"/>
        </w:rPr>
        <w:pict>
          <v:shape id="Quad Arrow 1056" o:spid="_x0000_s1067" type="#_x0000_t202" style="position:absolute;left:0;margin-left:-90pt;margin-top:-285.2pt;height:73.05pt;width:73.05pt;rotation:0f;z-index:2516981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w:pict>
      </w:r>
      <w:r>
        <w:rPr>
          <w:rFonts w:ascii="黑体" w:hAnsi="Calibri" w:eastAsia="黑体" w:cs="Times New Roman"/>
          <w:color w:val="auto"/>
          <w:kern w:val="2"/>
          <w:sz w:val="48"/>
          <w:szCs w:val="48"/>
          <w:lang w:val="en-US" w:eastAsia="zh-CN" w:bidi="ar-SA"/>
        </w:rPr>
        <w:pict>
          <v:shape id="Quad Arrow 1057" o:spid="_x0000_s1068" type="#_x0000_t202" style="position:absolute;left:0;margin-left:-90pt;margin-top:-285.2pt;height:73.05pt;width:73.05pt;rotation:0f;z-index:2516992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shape>
        </w:pict>
      </w:r>
      <w:r>
        <w:rPr>
          <w:rFonts w:ascii="黑体" w:hAnsi="Calibri" w:eastAsia="黑体" w:cs="Times New Roman"/>
          <w:color w:val="auto"/>
          <w:kern w:val="2"/>
          <w:sz w:val="48"/>
          <w:szCs w:val="48"/>
          <w:lang w:val="en-US" w:eastAsia="zh-CN" w:bidi="ar-SA"/>
        </w:rPr>
        <w:pict>
          <v:shape id="Quad Arrow 1058" o:spid="_x0000_s1069" type="#_x0000_t202" style="position:absolute;left:0;margin-left:-90pt;margin-top:-285.2pt;height:73.05pt;width:73.05pt;rotation:0f;z-index:25170022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shape>
        </w:pict>
      </w:r>
      <w:r>
        <w:rPr>
          <w:rFonts w:ascii="黑体" w:hAnsi="Calibri" w:eastAsia="黑体" w:cs="Times New Roman"/>
          <w:color w:val="auto"/>
          <w:kern w:val="2"/>
          <w:sz w:val="48"/>
          <w:szCs w:val="48"/>
          <w:lang w:val="en-US" w:eastAsia="zh-CN" w:bidi="ar-SA"/>
        </w:rPr>
        <w:pict>
          <v:shape id="Quad Arrow 1059" o:spid="_x0000_s1070" type="#_x0000_t202" style="position:absolute;left:0;margin-left:-90pt;margin-top:-285.2pt;height:73.05pt;width:73.05pt;rotation:0f;z-index:2517012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w:pict>
      </w:r>
      <w:r>
        <w:rPr>
          <w:rFonts w:ascii="黑体" w:hAnsi="Calibri" w:eastAsia="黑体" w:cs="Times New Roman"/>
          <w:color w:val="auto"/>
          <w:kern w:val="2"/>
          <w:sz w:val="48"/>
          <w:szCs w:val="48"/>
          <w:lang w:val="en-US" w:eastAsia="zh-CN" w:bidi="ar-SA"/>
        </w:rPr>
        <w:pict>
          <v:shape id="Quad Arrow 1060" o:spid="_x0000_s1071" type="#_x0000_t202" style="position:absolute;left:0;margin-left:-90pt;margin-top:-285.2pt;height:73.05pt;width:73.05pt;rotation:0f;z-index:25170227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w:pict>
      </w:r>
      <w:r>
        <w:rPr>
          <w:rFonts w:ascii="黑体" w:hAnsi="Calibri" w:eastAsia="黑体" w:cs="Times New Roman"/>
          <w:color w:val="auto"/>
          <w:kern w:val="2"/>
          <w:sz w:val="48"/>
          <w:szCs w:val="48"/>
          <w:lang w:val="en-US" w:eastAsia="zh-CN" w:bidi="ar-SA"/>
        </w:rPr>
        <w:pict>
          <v:shape id="Quad Arrow 1061" o:spid="_x0000_s1072" type="#_x0000_t202" style="position:absolute;left:0;margin-left:-90pt;margin-top:-285.2pt;height:73.05pt;width:73.05pt;rotation:0f;z-index:2517032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2" o:spid="_x0000_s1073" type="#_x0000_t202" style="position:absolute;left:0;margin-left:-90pt;margin-top:-285.2pt;height:73.05pt;width:73.05pt;rotation:0f;z-index:25170432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3" o:spid="_x0000_s1074" type="#_x0000_t202" style="position:absolute;left:0;margin-left:-90pt;margin-top:-285.2pt;height:73.05pt;width:73.05pt;rotation:0f;z-index:25170534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4" o:spid="_x0000_s1075" type="#_x0000_t202" style="position:absolute;left:0;margin-left:-90pt;margin-top:-285.2pt;height:73.05pt;width:73.05pt;rotation:0f;z-index:25170636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5" o:spid="_x0000_s1076" type="#_x0000_t202" style="position:absolute;left:0;margin-left:-90pt;margin-top:-285.2pt;height:73.05pt;width:73.05pt;rotation:0f;z-index:25170739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6" o:spid="_x0000_s1077" type="#_x0000_t202" style="position:absolute;left:0;margin-left:-90pt;margin-top:-285.2pt;height:73.05pt;width:73.05pt;rotation:0f;z-index:25170841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7" o:spid="_x0000_s1078" type="#_x0000_t202" style="position:absolute;left:0;margin-left:-90pt;margin-top:-285.2pt;height:73.05pt;width:73.05pt;rotation:0f;z-index:2517094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8" o:spid="_x0000_s1079" type="#_x0000_t202" style="position:absolute;left:0;margin-left:-90pt;margin-top:-285.2pt;height:73.05pt;width:73.05pt;rotation:0f;z-index:2517104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69" o:spid="_x0000_s1080" type="#_x0000_t202" style="position:absolute;left:0;margin-left:-90pt;margin-top:-285.2pt;height:73.05pt;width:73.05pt;rotation:0f;z-index:2517114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0" o:spid="_x0000_s1081" type="#_x0000_t202" style="position:absolute;left:0;margin-left:-90pt;margin-top:-285.2pt;height:73.05pt;width:73.05pt;rotation:0f;z-index:2517125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1" o:spid="_x0000_s1082" type="#_x0000_t202" style="position:absolute;left:0;margin-left:-90pt;margin-top:-285.2pt;height:73.05pt;width:73.05pt;rotation:0f;z-index:2517135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2" o:spid="_x0000_s1083" type="#_x0000_t202" style="position:absolute;left:0;margin-left:-90pt;margin-top:-285.2pt;height:73.05pt;width:73.05pt;rotation:0f;z-index:2517145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3" o:spid="_x0000_s1084" type="#_x0000_t202" style="position:absolute;left:0;margin-left:-90pt;margin-top:-285.2pt;height:73.05pt;width:73.05pt;rotation:0f;z-index:2517155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4" o:spid="_x0000_s1085" type="#_x0000_t202" style="position:absolute;left:0;margin-left:-90pt;margin-top:-285.2pt;height:73.05pt;width:73.05pt;rotation:0f;z-index:2517166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5" o:spid="_x0000_s1086" type="#_x0000_t202" style="position:absolute;left:0;margin-left:-90pt;margin-top:-285.2pt;height:73.05pt;width:73.05pt;rotation:0f;z-index:2517176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6" o:spid="_x0000_s1087" type="#_x0000_t202" style="position:absolute;left:0;margin-left:-90pt;margin-top:-285.2pt;height:73.05pt;width:73.05pt;rotation:0f;z-index:25171865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黑体" w:hAnsi="Calibri" w:eastAsia="黑体" w:cs="Times New Roman"/>
          <w:color w:val="auto"/>
          <w:kern w:val="2"/>
          <w:sz w:val="48"/>
          <w:szCs w:val="48"/>
          <w:lang w:val="en-US" w:eastAsia="zh-CN" w:bidi="ar-SA"/>
        </w:rPr>
        <w:pict>
          <v:shape id="Quad Arrow 1077" o:spid="_x0000_s1088" type="#_x0000_t202" style="position:absolute;left:0;margin-left:-90pt;margin-top:-285.2pt;height:73.05pt;width:73.05pt;rotation:0f;z-index:25171968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t>20</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instrText xml:space="preserve"> PAGE   \* MERGEFORMAT </w:instrText>
    </w:r>
    <w:r>
      <w:fldChar w:fldCharType="separate"/>
    </w:r>
    <w:r>
      <w:rPr>
        <w:lang w:val="zh-CN"/>
      </w:rPr>
      <w:t>79</w:t>
    </w:r>
    <w:r>
      <w:rPr>
        <w:lang w:val="zh-CN"/>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347561">
    <w:nsid w:val="5A155569"/>
    <w:multiLevelType w:val="singleLevel"/>
    <w:tmpl w:val="5A155569"/>
    <w:lvl w:ilvl="0" w:tentative="1">
      <w:start w:val="1"/>
      <w:numFmt w:val="decimal"/>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num w:numId="1">
    <w:abstractNumId w:val="1511065422"/>
  </w:num>
  <w:num w:numId="2">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6"/>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4"/>
    <w:qFormat/>
    <w:uiPriority w:val="9"/>
    <w:pPr>
      <w:ind w:right="300"/>
      <w:outlineLvl w:val="2"/>
    </w:pPr>
    <w:rPr>
      <w:rFonts w:ascii="仿宋_GB2312" w:eastAsia="仿宋_GB2312"/>
      <w:sz w:val="30"/>
      <w:szCs w:val="30"/>
    </w:rPr>
  </w:style>
  <w:style w:type="character" w:default="1" w:styleId="22">
    <w:name w:val="Default Paragraph Font"/>
    <w:semiHidden/>
    <w:unhideWhenUsed/>
    <w:uiPriority w:val="1"/>
  </w:style>
  <w:style w:type="paragraph" w:styleId="5">
    <w:name w:val="toc 7"/>
    <w:basedOn w:val="1"/>
    <w:next w:val="1"/>
    <w:unhideWhenUsed/>
    <w:uiPriority w:val="39"/>
    <w:pPr>
      <w:ind w:left="2520" w:leftChars="1200"/>
    </w:pPr>
  </w:style>
  <w:style w:type="paragraph" w:styleId="6">
    <w:name w:val="Document Map"/>
    <w:basedOn w:val="1"/>
    <w:link w:val="41"/>
    <w:unhideWhenUsed/>
    <w:uiPriority w:val="0"/>
    <w:rPr>
      <w:rFonts w:ascii="宋体"/>
      <w:sz w:val="18"/>
      <w:szCs w:val="18"/>
    </w:rPr>
  </w:style>
  <w:style w:type="paragraph" w:styleId="7">
    <w:name w:val="annotation text"/>
    <w:basedOn w:val="1"/>
    <w:link w:val="44"/>
    <w:unhideWhenUsed/>
    <w:uiPriority w:val="99"/>
    <w:pPr>
      <w:jc w:val="left"/>
    </w:pPr>
    <w:rPr>
      <w:kern w:val="0"/>
      <w:sz w:val="20"/>
    </w:rPr>
  </w:style>
  <w:style w:type="paragraph" w:styleId="8">
    <w:name w:val="toc 5"/>
    <w:basedOn w:val="1"/>
    <w:next w:val="1"/>
    <w:unhideWhenUsed/>
    <w:uiPriority w:val="39"/>
    <w:pPr>
      <w:ind w:left="1680" w:leftChars="800"/>
    </w:pPr>
  </w:style>
  <w:style w:type="paragraph" w:styleId="9">
    <w:name w:val="toc 3"/>
    <w:basedOn w:val="1"/>
    <w:next w:val="1"/>
    <w:unhideWhenUsed/>
    <w:uiPriority w:val="39"/>
    <w:pPr>
      <w:ind w:left="840" w:leftChars="400"/>
    </w:pPr>
  </w:style>
  <w:style w:type="paragraph" w:styleId="10">
    <w:name w:val="toc 8"/>
    <w:basedOn w:val="1"/>
    <w:next w:val="1"/>
    <w:unhideWhenUsed/>
    <w:uiPriority w:val="39"/>
    <w:pPr>
      <w:ind w:left="2940" w:leftChars="1400"/>
    </w:pPr>
  </w:style>
  <w:style w:type="paragraph" w:styleId="11">
    <w:name w:val="Balloon Text"/>
    <w:basedOn w:val="1"/>
    <w:link w:val="43"/>
    <w:unhideWhenUsed/>
    <w:uiPriority w:val="0"/>
    <w:rPr>
      <w:sz w:val="18"/>
      <w:szCs w:val="18"/>
    </w:rPr>
  </w:style>
  <w:style w:type="paragraph" w:styleId="12">
    <w:name w:val="footer"/>
    <w:basedOn w:val="1"/>
    <w:link w:val="42"/>
    <w:unhideWhenUsed/>
    <w:uiPriority w:val="99"/>
    <w:pPr>
      <w:tabs>
        <w:tab w:val="center" w:pos="4153"/>
        <w:tab w:val="right" w:pos="8306"/>
      </w:tabs>
      <w:snapToGrid w:val="0"/>
      <w:jc w:val="left"/>
    </w:pPr>
    <w:rPr>
      <w:sz w:val="18"/>
      <w:szCs w:val="18"/>
    </w:rPr>
  </w:style>
  <w:style w:type="paragraph" w:styleId="13">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style>
  <w:style w:type="paragraph" w:styleId="15">
    <w:name w:val="toc 4"/>
    <w:basedOn w:val="1"/>
    <w:next w:val="1"/>
    <w:unhideWhenUsed/>
    <w:uiPriority w:val="39"/>
    <w:pPr>
      <w:ind w:left="1260" w:leftChars="600"/>
    </w:pPr>
  </w:style>
  <w:style w:type="paragraph" w:styleId="16">
    <w:name w:val="footnote text"/>
    <w:basedOn w:val="1"/>
    <w:link w:val="38"/>
    <w:semiHidden/>
    <w:qFormat/>
    <w:uiPriority w:val="0"/>
    <w:pPr>
      <w:snapToGrid w:val="0"/>
      <w:jc w:val="left"/>
    </w:pPr>
    <w:rPr>
      <w:rFonts w:ascii="Times New Roman" w:hAnsi="Times New Roman"/>
      <w:sz w:val="18"/>
      <w:szCs w:val="18"/>
    </w:rPr>
  </w:style>
  <w:style w:type="paragraph" w:styleId="17">
    <w:name w:val="toc 6"/>
    <w:basedOn w:val="1"/>
    <w:next w:val="1"/>
    <w:unhideWhenUsed/>
    <w:uiPriority w:val="39"/>
    <w:pPr>
      <w:ind w:left="2100" w:leftChars="1000"/>
    </w:pPr>
  </w:style>
  <w:style w:type="paragraph" w:styleId="18">
    <w:name w:val="toc 2"/>
    <w:basedOn w:val="1"/>
    <w:next w:val="1"/>
    <w:link w:val="46"/>
    <w:unhideWhenUsed/>
    <w:uiPriority w:val="39"/>
    <w:pPr>
      <w:ind w:left="420" w:leftChars="200"/>
    </w:pPr>
  </w:style>
  <w:style w:type="paragraph" w:styleId="19">
    <w:name w:val="toc 9"/>
    <w:basedOn w:val="1"/>
    <w:next w:val="1"/>
    <w:unhideWhenUsed/>
    <w:uiPriority w:val="39"/>
    <w:pPr>
      <w:ind w:left="3360" w:leftChars="1600"/>
    </w:pPr>
  </w:style>
  <w:style w:type="paragraph" w:styleId="20">
    <w:name w:val="HTML Preformatted"/>
    <w:basedOn w:val="1"/>
    <w:link w:val="4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23">
    <w:name w:val="Hyperlink"/>
    <w:basedOn w:val="22"/>
    <w:unhideWhenUsed/>
    <w:uiPriority w:val="99"/>
    <w:rPr>
      <w:rFonts w:hint="default" w:ascii="ˎ̥" w:hAnsi="ˎ̥"/>
      <w:color w:val="0453CC"/>
      <w:sz w:val="20"/>
      <w:szCs w:val="20"/>
      <w:u w:val="none"/>
    </w:rPr>
  </w:style>
  <w:style w:type="character" w:styleId="24">
    <w:name w:val="footnote reference"/>
    <w:basedOn w:val="22"/>
    <w:unhideWhenUsed/>
    <w:qFormat/>
    <w:uiPriority w:val="0"/>
    <w:rPr>
      <w:rFonts w:ascii="Times New Roman" w:hAnsi="Times New Roman" w:cs="Times New Roman"/>
      <w:vertAlign w:val="superscript"/>
    </w:rPr>
  </w:style>
  <w:style w:type="paragraph" w:customStyle="1" w:styleId="25">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列出段落1"/>
    <w:basedOn w:val="1"/>
    <w:qFormat/>
    <w:uiPriority w:val="34"/>
    <w:pPr>
      <w:ind w:firstLine="420" w:firstLineChars="200"/>
    </w:pPr>
  </w:style>
  <w:style w:type="paragraph" w:customStyle="1" w:styleId="27">
    <w:name w:val="列出段落4"/>
    <w:basedOn w:val="1"/>
    <w:qFormat/>
    <w:uiPriority w:val="0"/>
    <w:pPr>
      <w:ind w:firstLine="200" w:firstLineChars="200"/>
    </w:pPr>
  </w:style>
  <w:style w:type="paragraph" w:customStyle="1" w:styleId="28">
    <w:name w:val="列出段落3"/>
    <w:basedOn w:val="1"/>
    <w:qFormat/>
    <w:uiPriority w:val="0"/>
    <w:pPr>
      <w:ind w:firstLine="420" w:firstLineChars="200"/>
    </w:pPr>
    <w:rPr>
      <w:rFonts w:ascii="Times New Roman" w:hAnsi="Times New Roman"/>
      <w:szCs w:val="24"/>
    </w:rPr>
  </w:style>
  <w:style w:type="paragraph" w:customStyle="1" w:styleId="29">
    <w:name w:val="Default"/>
    <w:uiPriority w:val="99"/>
    <w:pPr>
      <w:widowControl w:val="0"/>
      <w:autoSpaceDE w:val="0"/>
      <w:autoSpaceDN w:val="0"/>
      <w:adjustRightInd w:val="0"/>
    </w:pPr>
    <w:rPr>
      <w:rFonts w:ascii="仿宋_GB2312" w:eastAsia="仿宋_GB2312" w:cs="仿宋_GB2312"/>
      <w:color w:val="000000"/>
      <w:sz w:val="24"/>
      <w:szCs w:val="24"/>
    </w:rPr>
  </w:style>
  <w:style w:type="paragraph" w:customStyle="1" w:styleId="30">
    <w:name w:val="列出段落2"/>
    <w:basedOn w:val="1"/>
    <w:qFormat/>
    <w:uiPriority w:val="34"/>
    <w:pPr>
      <w:ind w:firstLine="420" w:firstLineChars="200"/>
    </w:pPr>
  </w:style>
  <w:style w:type="paragraph" w:customStyle="1" w:styleId="31">
    <w:name w:val="p0"/>
    <w:basedOn w:val="1"/>
    <w:uiPriority w:val="0"/>
    <w:pPr>
      <w:widowControl/>
    </w:pPr>
    <w:rPr>
      <w:rFonts w:cs="宋体"/>
      <w:kern w:val="0"/>
      <w:szCs w:val="21"/>
    </w:rPr>
  </w:style>
  <w:style w:type="character" w:customStyle="1" w:styleId="32">
    <w:name w:val="页眉 Char Char"/>
    <w:basedOn w:val="22"/>
    <w:link w:val="13"/>
    <w:uiPriority w:val="99"/>
    <w:rPr>
      <w:kern w:val="2"/>
      <w:sz w:val="18"/>
      <w:szCs w:val="18"/>
    </w:rPr>
  </w:style>
  <w:style w:type="character" w:customStyle="1" w:styleId="33">
    <w:name w:val="批注文字 Char Char"/>
    <w:basedOn w:val="22"/>
    <w:link w:val="7"/>
    <w:uiPriority w:val="0"/>
    <w:rPr/>
  </w:style>
  <w:style w:type="character" w:customStyle="1" w:styleId="34">
    <w:name w:val="标题 3 Char Char"/>
    <w:basedOn w:val="22"/>
    <w:link w:val="4"/>
    <w:uiPriority w:val="9"/>
    <w:rPr>
      <w:rFonts w:ascii="仿宋_GB2312" w:eastAsia="仿宋_GB2312"/>
      <w:kern w:val="2"/>
      <w:sz w:val="30"/>
      <w:szCs w:val="30"/>
    </w:rPr>
  </w:style>
  <w:style w:type="character" w:customStyle="1" w:styleId="35">
    <w:name w:val="脚注文本 Char Char"/>
    <w:basedOn w:val="22"/>
    <w:link w:val="16"/>
    <w:uiPriority w:val="99"/>
    <w:rPr>
      <w:kern w:val="2"/>
      <w:sz w:val="18"/>
      <w:szCs w:val="18"/>
    </w:rPr>
  </w:style>
  <w:style w:type="character" w:customStyle="1" w:styleId="36">
    <w:name w:val="标题 1 Char Char"/>
    <w:basedOn w:val="22"/>
    <w:link w:val="2"/>
    <w:uiPriority w:val="9"/>
    <w:rPr>
      <w:rFonts w:ascii="黑体" w:hAnsi="黑体" w:eastAsia="黑体" w:cs="宋体"/>
      <w:color w:val="000000"/>
      <w:sz w:val="30"/>
      <w:szCs w:val="30"/>
    </w:rPr>
  </w:style>
  <w:style w:type="character" w:customStyle="1" w:styleId="37">
    <w:name w:val="标题 2 Char Char"/>
    <w:basedOn w:val="22"/>
    <w:link w:val="3"/>
    <w:uiPriority w:val="0"/>
    <w:rPr>
      <w:rFonts w:ascii="Cambria" w:hAnsi="Cambria"/>
      <w:b/>
      <w:bCs/>
      <w:kern w:val="2"/>
      <w:sz w:val="32"/>
      <w:szCs w:val="32"/>
    </w:rPr>
  </w:style>
  <w:style w:type="character" w:customStyle="1" w:styleId="38">
    <w:name w:val="脚注文本 Char1"/>
    <w:basedOn w:val="22"/>
    <w:link w:val="16"/>
    <w:uiPriority w:val="0"/>
    <w:rPr>
      <w:rFonts w:ascii="Times New Roman" w:hAnsi="Times New Roman"/>
      <w:kern w:val="2"/>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HTML 预设格式 Char Char"/>
    <w:basedOn w:val="22"/>
    <w:link w:val="20"/>
    <w:uiPriority w:val="99"/>
    <w:rPr>
      <w:rFonts w:ascii="宋体" w:hAnsi="宋体" w:cs="宋体"/>
      <w:sz w:val="24"/>
      <w:szCs w:val="24"/>
    </w:rPr>
  </w:style>
  <w:style w:type="character" w:customStyle="1" w:styleId="41">
    <w:name w:val="文档结构图 Char Char"/>
    <w:basedOn w:val="22"/>
    <w:link w:val="6"/>
    <w:uiPriority w:val="0"/>
    <w:rPr>
      <w:rFonts w:ascii="宋体"/>
      <w:kern w:val="2"/>
      <w:sz w:val="18"/>
      <w:szCs w:val="18"/>
    </w:rPr>
  </w:style>
  <w:style w:type="character" w:customStyle="1" w:styleId="42">
    <w:name w:val="页脚 Char Char"/>
    <w:basedOn w:val="22"/>
    <w:link w:val="12"/>
    <w:uiPriority w:val="99"/>
    <w:rPr>
      <w:kern w:val="2"/>
      <w:sz w:val="18"/>
      <w:szCs w:val="18"/>
    </w:rPr>
  </w:style>
  <w:style w:type="character" w:customStyle="1" w:styleId="43">
    <w:name w:val="批注框文本 Char Char"/>
    <w:basedOn w:val="22"/>
    <w:link w:val="11"/>
    <w:uiPriority w:val="0"/>
    <w:rPr>
      <w:kern w:val="2"/>
      <w:sz w:val="18"/>
      <w:szCs w:val="18"/>
    </w:rPr>
  </w:style>
  <w:style w:type="character" w:customStyle="1" w:styleId="44">
    <w:name w:val="批注文字 Char1"/>
    <w:basedOn w:val="22"/>
    <w:link w:val="7"/>
    <w:uiPriority w:val="99"/>
    <w:rPr>
      <w:kern w:val="2"/>
      <w:sz w:val="21"/>
      <w:szCs w:val="22"/>
    </w:rPr>
  </w:style>
  <w:style w:type="character" w:customStyle="1" w:styleId="45">
    <w:name w:val="明显强调1"/>
    <w:basedOn w:val="22"/>
    <w:qFormat/>
    <w:uiPriority w:val="21"/>
    <w:rPr>
      <w:b/>
      <w:bCs/>
      <w:i/>
      <w:iCs/>
      <w:color w:val="4F81BD"/>
    </w:rPr>
  </w:style>
  <w:style w:type="character" w:customStyle="1" w:styleId="46">
    <w:name w:val="目录 2 Char Char"/>
    <w:link w:val="18"/>
    <w:uiPriority w:val="39"/>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96</Pages>
  <Words>6290</Words>
  <Characters>35856</Characters>
  <Lines>298</Lines>
  <Paragraphs>84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2017-12-01T01:36:00Z</dcterms:created>
  <dc:creator>杨京燕</dc:creator>
  <cp:lastModifiedBy>方雄鹰</cp:lastModifiedBy>
  <cp:lastPrinted>2017-11-22T13:45:00Z</cp:lastPrinted>
  <dcterms:modified xsi:type="dcterms:W3CDTF">2019-11-21T01:06:24Z</dcterms:modified>
  <dc:title>编号：57006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