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58" w:rsidRDefault="00520B58" w:rsidP="00520B58">
      <w:pPr>
        <w:jc w:val="left"/>
      </w:pPr>
    </w:p>
    <w:p w:rsidR="00CE0888" w:rsidRPr="0056452C" w:rsidRDefault="00520B58" w:rsidP="00A367F8">
      <w:pPr>
        <w:jc w:val="center"/>
        <w:rPr>
          <w:rFonts w:ascii="仿宋_GB2312" w:eastAsia="仿宋_GB2312" w:hAnsi="宋体"/>
          <w:b/>
          <w:sz w:val="32"/>
          <w:szCs w:val="32"/>
        </w:rPr>
      </w:pPr>
      <w:r w:rsidRPr="00520B58">
        <w:rPr>
          <w:rFonts w:ascii="仿宋_GB2312" w:eastAsia="仿宋_GB2312" w:hAnsi="宋体" w:hint="eastAsia"/>
          <w:b/>
          <w:sz w:val="32"/>
          <w:szCs w:val="32"/>
        </w:rPr>
        <w:t>《国家外汇管理局关于境外交易者和境外经纪机构从事境内特定品种期货交易外汇管理有关问题的通知》（汇发〔</w:t>
      </w:r>
      <w:r w:rsidRPr="00520B58">
        <w:rPr>
          <w:rFonts w:ascii="仿宋_GB2312" w:eastAsia="仿宋_GB2312" w:hAnsi="宋体"/>
          <w:b/>
          <w:sz w:val="32"/>
          <w:szCs w:val="32"/>
        </w:rPr>
        <w:t>2015〕35号）政策问答（第二期）</w:t>
      </w:r>
    </w:p>
    <w:p w:rsidR="00730174" w:rsidRPr="0056452C" w:rsidRDefault="00730174" w:rsidP="00730174">
      <w:pPr>
        <w:jc w:val="center"/>
        <w:rPr>
          <w:rFonts w:ascii="仿宋_GB2312" w:eastAsia="仿宋_GB2312"/>
          <w:sz w:val="32"/>
          <w:szCs w:val="32"/>
        </w:rPr>
      </w:pPr>
    </w:p>
    <w:p w:rsidR="006C19AD" w:rsidRDefault="00CF5D09">
      <w:pPr>
        <w:ind w:firstLineChars="200" w:firstLine="643"/>
        <w:rPr>
          <w:rFonts w:ascii="仿宋_GB2312" w:eastAsia="仿宋_GB2312"/>
          <w:b/>
          <w:sz w:val="32"/>
          <w:szCs w:val="32"/>
        </w:rPr>
      </w:pPr>
      <w:r>
        <w:rPr>
          <w:rFonts w:ascii="仿宋_GB2312" w:eastAsia="仿宋_GB2312" w:hint="eastAsia"/>
          <w:b/>
          <w:sz w:val="32"/>
          <w:szCs w:val="32"/>
        </w:rPr>
        <w:t>一、境外交易者、境外经纪机构在境内开立的专用期货结算账户，能否适用于不同境内特定品种期货交易的结算？</w:t>
      </w:r>
    </w:p>
    <w:p w:rsidR="006C19AD" w:rsidRDefault="00CF5D09">
      <w:pPr>
        <w:ind w:firstLineChars="200" w:firstLine="640"/>
        <w:rPr>
          <w:rFonts w:ascii="仿宋_GB2312" w:eastAsia="仿宋_GB2312"/>
          <w:sz w:val="32"/>
          <w:szCs w:val="32"/>
        </w:rPr>
      </w:pPr>
      <w:bookmarkStart w:id="0" w:name="_Hlk509826316"/>
      <w:r>
        <w:rPr>
          <w:rFonts w:ascii="仿宋_GB2312" w:eastAsia="仿宋_GB2312" w:hint="eastAsia"/>
          <w:sz w:val="32"/>
          <w:szCs w:val="32"/>
        </w:rPr>
        <w:t>答：根据《国家外汇管理局关于境外交易者和境外经纪机构从事境内特定品种期货交易外汇管理有关问题的通知》</w:t>
      </w:r>
      <w:r w:rsidR="00520B58" w:rsidRPr="00520B58">
        <w:rPr>
          <w:rFonts w:ascii="仿宋_GB2312" w:eastAsia="仿宋_GB2312" w:hint="eastAsia"/>
          <w:sz w:val="32"/>
          <w:szCs w:val="32"/>
        </w:rPr>
        <w:t>（汇发〔</w:t>
      </w:r>
      <w:r w:rsidR="00520B58" w:rsidRPr="00520B58">
        <w:rPr>
          <w:rFonts w:ascii="仿宋_GB2312" w:eastAsia="仿宋_GB2312"/>
          <w:sz w:val="32"/>
          <w:szCs w:val="32"/>
        </w:rPr>
        <w:t>2015〕35号）</w:t>
      </w:r>
      <w:r>
        <w:rPr>
          <w:rFonts w:ascii="仿宋_GB2312" w:eastAsia="仿宋_GB2312" w:hint="eastAsia"/>
          <w:sz w:val="32"/>
          <w:szCs w:val="32"/>
        </w:rPr>
        <w:t>附件</w:t>
      </w:r>
      <w:r>
        <w:rPr>
          <w:rFonts w:ascii="仿宋_GB2312" w:eastAsia="仿宋_GB2312"/>
          <w:sz w:val="32"/>
          <w:szCs w:val="32"/>
        </w:rPr>
        <w:t>1</w:t>
      </w:r>
      <w:r w:rsidR="00C470CB">
        <w:rPr>
          <w:rFonts w:ascii="仿宋_GB2312" w:eastAsia="仿宋_GB2312" w:hint="eastAsia"/>
          <w:sz w:val="32"/>
          <w:szCs w:val="32"/>
        </w:rPr>
        <w:t>“</w:t>
      </w:r>
      <w:r>
        <w:rPr>
          <w:rFonts w:ascii="仿宋_GB2312" w:eastAsia="仿宋_GB2312"/>
          <w:sz w:val="32"/>
          <w:szCs w:val="32"/>
        </w:rPr>
        <w:t>境外交易者、境外经纪机构从事境内特定品种期货交易相关外汇账户收支范围</w:t>
      </w:r>
      <w:r w:rsidR="00C470CB">
        <w:rPr>
          <w:rFonts w:ascii="仿宋_GB2312" w:eastAsia="仿宋_GB2312" w:hint="eastAsia"/>
          <w:sz w:val="32"/>
          <w:szCs w:val="32"/>
        </w:rPr>
        <w:t>”</w:t>
      </w:r>
      <w:r>
        <w:rPr>
          <w:rFonts w:ascii="仿宋_GB2312" w:eastAsia="仿宋_GB2312"/>
          <w:sz w:val="32"/>
          <w:szCs w:val="32"/>
        </w:rPr>
        <w:t>的相关规定，外汇专用期货结算账户</w:t>
      </w:r>
      <w:r w:rsidR="009B188C">
        <w:rPr>
          <w:rFonts w:ascii="仿宋_GB2312" w:eastAsia="仿宋_GB2312" w:hint="eastAsia"/>
          <w:sz w:val="32"/>
          <w:szCs w:val="32"/>
        </w:rPr>
        <w:t>的</w:t>
      </w:r>
      <w:r>
        <w:rPr>
          <w:rFonts w:ascii="仿宋_GB2312" w:eastAsia="仿宋_GB2312" w:hint="eastAsia"/>
          <w:sz w:val="32"/>
          <w:szCs w:val="32"/>
        </w:rPr>
        <w:t>支出范围</w:t>
      </w:r>
      <w:r w:rsidR="009B188C">
        <w:rPr>
          <w:rFonts w:ascii="仿宋_GB2312" w:eastAsia="仿宋_GB2312" w:hint="eastAsia"/>
          <w:sz w:val="32"/>
          <w:szCs w:val="32"/>
        </w:rPr>
        <w:t>包含</w:t>
      </w:r>
      <w:r>
        <w:rPr>
          <w:rFonts w:ascii="仿宋_GB2312" w:eastAsia="仿宋_GB2312" w:hint="eastAsia"/>
          <w:sz w:val="32"/>
          <w:szCs w:val="32"/>
        </w:rPr>
        <w:t>“汇往其在其他存管银行开立的同名外汇专用期货结算账户的外汇资金”，收入范围包含“从其在其他存管银行开立的同名外汇专用期货结算账户汇入的外汇资金”。境外交易者、境外经纪机构开立的外汇专用期货结算账户可用于办理不同境内特定品种期货交易相关的资金收付、汇兑及划转。相关业务操作应遵从期货交易结算制度和规则办理。</w:t>
      </w:r>
    </w:p>
    <w:p w:rsidR="006C19AD" w:rsidRPr="006C19AD" w:rsidRDefault="006C19AD">
      <w:pPr>
        <w:ind w:firstLineChars="200" w:firstLine="640"/>
        <w:rPr>
          <w:rFonts w:ascii="仿宋_GB2312" w:eastAsia="仿宋_GB2312"/>
          <w:color w:val="FF0000"/>
          <w:sz w:val="32"/>
          <w:szCs w:val="32"/>
        </w:rPr>
      </w:pPr>
    </w:p>
    <w:bookmarkEnd w:id="0"/>
    <w:p w:rsidR="006C19AD" w:rsidRDefault="00CF5D09">
      <w:pPr>
        <w:ind w:firstLineChars="200" w:firstLine="643"/>
        <w:rPr>
          <w:rFonts w:ascii="仿宋_GB2312" w:eastAsia="仿宋_GB2312"/>
          <w:b/>
          <w:sz w:val="32"/>
          <w:szCs w:val="32"/>
        </w:rPr>
      </w:pPr>
      <w:r>
        <w:rPr>
          <w:rFonts w:ascii="仿宋_GB2312" w:eastAsia="仿宋_GB2312" w:hint="eastAsia"/>
          <w:b/>
          <w:sz w:val="32"/>
          <w:szCs w:val="32"/>
        </w:rPr>
        <w:t>二、境外交易者、境外经纪机构参与多个境内特定品种期货交易时，不同特定品种之间的盈亏</w:t>
      </w:r>
      <w:r w:rsidR="00E03E82">
        <w:rPr>
          <w:rFonts w:ascii="仿宋_GB2312" w:eastAsia="仿宋_GB2312" w:hint="eastAsia"/>
          <w:b/>
          <w:sz w:val="32"/>
          <w:szCs w:val="32"/>
        </w:rPr>
        <w:t>是否可以办理轧差结售汇</w:t>
      </w:r>
      <w:r>
        <w:rPr>
          <w:rFonts w:ascii="仿宋_GB2312" w:eastAsia="仿宋_GB2312" w:hint="eastAsia"/>
          <w:b/>
          <w:sz w:val="32"/>
          <w:szCs w:val="32"/>
        </w:rPr>
        <w:t>？</w:t>
      </w:r>
    </w:p>
    <w:p w:rsidR="006C19AD" w:rsidRDefault="00CF5D09">
      <w:pPr>
        <w:ind w:firstLineChars="200" w:firstLine="640"/>
        <w:rPr>
          <w:rFonts w:ascii="仿宋_GB2312" w:eastAsia="仿宋_GB2312" w:hAnsi="楷体"/>
          <w:color w:val="000000" w:themeColor="text1"/>
          <w:sz w:val="32"/>
          <w:szCs w:val="32"/>
        </w:rPr>
      </w:pPr>
      <w:r>
        <w:rPr>
          <w:rFonts w:ascii="仿宋_GB2312" w:eastAsia="仿宋_GB2312" w:hint="eastAsia"/>
          <w:sz w:val="32"/>
          <w:szCs w:val="32"/>
        </w:rPr>
        <w:lastRenderedPageBreak/>
        <w:t>答：</w:t>
      </w:r>
      <w:bookmarkStart w:id="1" w:name="_GoBack"/>
      <w:r>
        <w:rPr>
          <w:rFonts w:ascii="仿宋_GB2312" w:eastAsia="仿宋_GB2312" w:hint="eastAsia"/>
          <w:sz w:val="32"/>
          <w:szCs w:val="32"/>
        </w:rPr>
        <w:t>通过同一境内期货公司会员交易境内多个特定品种的同一境外交易者或境外经纪机构，该境内期货公司会员可以为其在不同特定品种间的</w:t>
      </w:r>
      <w:bookmarkEnd w:id="1"/>
      <w:r>
        <w:rPr>
          <w:rFonts w:ascii="仿宋_GB2312" w:eastAsia="仿宋_GB2312" w:hint="eastAsia"/>
          <w:sz w:val="32"/>
          <w:szCs w:val="32"/>
        </w:rPr>
        <w:t>交易盈亏、手续费等进行净额结算，并根据实际结果办理结汇、购汇；有关净额结算、结汇、购汇的时限及方式、补足资金缺口的操作等遵从期货交易结算制度和规则办理。</w:t>
      </w:r>
    </w:p>
    <w:p w:rsidR="006C19AD" w:rsidRPr="006C19AD" w:rsidRDefault="006C19AD">
      <w:pPr>
        <w:ind w:firstLineChars="200" w:firstLine="640"/>
        <w:rPr>
          <w:rFonts w:ascii="仿宋_GB2312" w:eastAsia="仿宋_GB2312"/>
          <w:color w:val="FF0000"/>
          <w:sz w:val="32"/>
          <w:szCs w:val="32"/>
        </w:rPr>
      </w:pPr>
    </w:p>
    <w:p w:rsidR="006C19AD" w:rsidRDefault="00CF5D09">
      <w:pPr>
        <w:ind w:firstLineChars="200" w:firstLine="643"/>
        <w:rPr>
          <w:rFonts w:ascii="仿宋_GB2312" w:eastAsia="仿宋_GB2312"/>
          <w:b/>
          <w:sz w:val="32"/>
          <w:szCs w:val="32"/>
        </w:rPr>
      </w:pPr>
      <w:r>
        <w:rPr>
          <w:rFonts w:ascii="仿宋_GB2312" w:eastAsia="仿宋_GB2312" w:hint="eastAsia"/>
          <w:b/>
          <w:sz w:val="32"/>
          <w:szCs w:val="32"/>
        </w:rPr>
        <w:t>三、境外交易者、境外经纪机构参与境内特定品种期货交易，持有标准仓单对应的仓储费，由交易所、会员代收的，结汇应如何办理？应使用何种结汇代码？如何进行结汇数据报送？仓储费相关的资金划转，应当如何进行涉外收付款申报？应使用何种涉外收支交易编码？</w:t>
      </w:r>
    </w:p>
    <w:p w:rsidR="006C19AD" w:rsidRDefault="00CF5D09">
      <w:pPr>
        <w:ind w:firstLineChars="200" w:firstLine="640"/>
        <w:rPr>
          <w:rFonts w:ascii="仿宋_GB2312" w:eastAsia="仿宋_GB2312"/>
          <w:sz w:val="32"/>
          <w:szCs w:val="32"/>
        </w:rPr>
      </w:pPr>
      <w:r>
        <w:rPr>
          <w:rFonts w:ascii="仿宋_GB2312" w:eastAsia="仿宋_GB2312" w:hint="eastAsia"/>
          <w:sz w:val="32"/>
          <w:szCs w:val="32"/>
        </w:rPr>
        <w:t>答：境外交易者、境外经纪机构参与境内特定品种期货交易，持有标准仓单对应的仓储费，</w:t>
      </w:r>
      <w:r>
        <w:rPr>
          <w:rFonts w:ascii="仿宋_GB2312" w:eastAsia="仿宋_GB2312" w:hAnsi="楷体" w:hint="eastAsia"/>
          <w:color w:val="000000" w:themeColor="text1"/>
          <w:sz w:val="32"/>
          <w:szCs w:val="32"/>
        </w:rPr>
        <w:t>属于与境内特定品种期货交易相关的款项。仓储费</w:t>
      </w:r>
      <w:r>
        <w:rPr>
          <w:rFonts w:ascii="仿宋_GB2312" w:eastAsia="仿宋_GB2312" w:hint="eastAsia"/>
          <w:sz w:val="32"/>
          <w:szCs w:val="32"/>
        </w:rPr>
        <w:t>由会员、交易所进行代收代转的，</w:t>
      </w:r>
    </w:p>
    <w:p w:rsidR="00901E33" w:rsidRPr="0056452C" w:rsidRDefault="00CF5D09" w:rsidP="00D5728E">
      <w:pPr>
        <w:rPr>
          <w:rFonts w:ascii="仿宋_GB2312" w:eastAsia="仿宋_GB2312"/>
          <w:sz w:val="32"/>
          <w:szCs w:val="32"/>
        </w:rPr>
      </w:pPr>
      <w:r>
        <w:rPr>
          <w:rFonts w:ascii="仿宋_GB2312" w:eastAsia="仿宋_GB2312" w:hint="eastAsia"/>
          <w:sz w:val="32"/>
          <w:szCs w:val="32"/>
        </w:rPr>
        <w:t>期货保证金存管银行应根据境外交易者、境外经纪机构、会员从事境内特定品种期货交易的实际结果，</w:t>
      </w:r>
      <w:r>
        <w:rPr>
          <w:rFonts w:ascii="仿宋_GB2312" w:eastAsia="仿宋_GB2312" w:hAnsi="楷体" w:hint="eastAsia"/>
          <w:color w:val="000000" w:themeColor="text1"/>
          <w:sz w:val="32"/>
          <w:szCs w:val="32"/>
        </w:rPr>
        <w:t>办理交易涉及仓储费结汇，结汇的时限和方式遵从现行期货交易结算制度和规则办理，</w:t>
      </w:r>
      <w:r>
        <w:rPr>
          <w:rFonts w:ascii="仿宋_GB2312" w:eastAsia="仿宋_GB2312" w:hint="eastAsia"/>
          <w:sz w:val="32"/>
          <w:szCs w:val="32"/>
        </w:rPr>
        <w:t>期货保证金存管银行按照《国家外汇管理局关于境外交易者和境外经纪机构从事境内特定品种期货交易外汇管理有关问题的通知》（汇发〔</w:t>
      </w:r>
      <w:r>
        <w:rPr>
          <w:rFonts w:ascii="仿宋_GB2312" w:eastAsia="仿宋_GB2312"/>
          <w:sz w:val="32"/>
          <w:szCs w:val="32"/>
        </w:rPr>
        <w:t>2015〕35号）政策问答（第一期）中第五条的要求，进行结汇数据报送</w:t>
      </w:r>
      <w:r>
        <w:rPr>
          <w:rFonts w:ascii="仿宋_GB2312" w:eastAsia="仿宋_GB2312" w:hAnsi="楷体" w:hint="eastAsia"/>
          <w:color w:val="000000" w:themeColor="text1"/>
          <w:sz w:val="32"/>
          <w:szCs w:val="32"/>
        </w:rPr>
        <w:t>。</w:t>
      </w:r>
    </w:p>
    <w:p w:rsidR="006C19AD" w:rsidRDefault="00CF5D09">
      <w:pPr>
        <w:ind w:firstLineChars="200" w:firstLine="640"/>
        <w:rPr>
          <w:rFonts w:ascii="仿宋_GB2312" w:eastAsia="仿宋_GB2312" w:hAnsi="楷体"/>
          <w:color w:val="000000" w:themeColor="text1"/>
          <w:sz w:val="32"/>
          <w:szCs w:val="32"/>
        </w:rPr>
      </w:pPr>
      <w:r>
        <w:rPr>
          <w:rFonts w:ascii="仿宋_GB2312" w:eastAsia="仿宋_GB2312" w:hAnsiTheme="minorEastAsia" w:hint="eastAsia"/>
          <w:color w:val="000000" w:themeColor="text1"/>
          <w:sz w:val="32"/>
          <w:szCs w:val="32"/>
        </w:rPr>
        <w:lastRenderedPageBreak/>
        <w:t>境外交易者或境外经纪机构通过银期转账将其资金从境内专用期货结算账户（</w:t>
      </w:r>
      <w:r>
        <w:rPr>
          <w:rFonts w:ascii="仿宋_GB2312" w:eastAsia="仿宋_GB2312" w:hAnsiTheme="minorEastAsia"/>
          <w:color w:val="000000" w:themeColor="text1"/>
          <w:sz w:val="32"/>
          <w:szCs w:val="32"/>
        </w:rPr>
        <w:t>NRA）划入境内期货公司保证金账户时</w:t>
      </w:r>
      <w:bookmarkStart w:id="2" w:name="OLE_LINK3"/>
      <w:bookmarkStart w:id="3" w:name="OLE_LINK4"/>
      <w:r>
        <w:rPr>
          <w:rFonts w:ascii="仿宋_GB2312" w:eastAsia="仿宋_GB2312" w:hAnsiTheme="minorEastAsia" w:hint="eastAsia"/>
          <w:color w:val="000000" w:themeColor="text1"/>
          <w:sz w:val="32"/>
          <w:szCs w:val="32"/>
        </w:rPr>
        <w:t>，境内会员期货公司收到的境外交易者、境外经纪机构提交的仓储费，如能够</w:t>
      </w:r>
      <w:r w:rsidR="00B6377F">
        <w:rPr>
          <w:rFonts w:ascii="仿宋_GB2312" w:eastAsia="仿宋_GB2312" w:hAnsiTheme="minorEastAsia" w:hint="eastAsia"/>
          <w:color w:val="000000" w:themeColor="text1"/>
          <w:sz w:val="32"/>
          <w:szCs w:val="32"/>
        </w:rPr>
        <w:t>单独</w:t>
      </w:r>
      <w:r>
        <w:rPr>
          <w:rFonts w:ascii="仿宋_GB2312" w:eastAsia="仿宋_GB2312" w:hAnsiTheme="minorEastAsia" w:hint="eastAsia"/>
          <w:color w:val="000000" w:themeColor="text1"/>
          <w:sz w:val="32"/>
          <w:szCs w:val="32"/>
        </w:rPr>
        <w:t>区分，</w:t>
      </w:r>
      <w:bookmarkEnd w:id="2"/>
      <w:bookmarkEnd w:id="3"/>
      <w:r>
        <w:rPr>
          <w:rFonts w:ascii="仿宋_GB2312" w:eastAsia="仿宋_GB2312" w:hAnsiTheme="minorEastAsia" w:hint="eastAsia"/>
          <w:color w:val="000000" w:themeColor="text1"/>
          <w:sz w:val="32"/>
          <w:szCs w:val="32"/>
        </w:rPr>
        <w:t>应申报为“</w:t>
      </w:r>
      <w:bookmarkStart w:id="4" w:name="OLE_LINK1"/>
      <w:bookmarkStart w:id="5" w:name="OLE_LINK2"/>
      <w:r>
        <w:rPr>
          <w:rFonts w:ascii="仿宋_GB2312" w:eastAsia="仿宋_GB2312" w:hAnsiTheme="minorEastAsia"/>
          <w:color w:val="000000" w:themeColor="text1"/>
          <w:sz w:val="32"/>
          <w:szCs w:val="32"/>
        </w:rPr>
        <w:t>228050-货物或服务交易佣金及相关服务</w:t>
      </w:r>
      <w:bookmarkEnd w:id="4"/>
      <w:bookmarkEnd w:id="5"/>
      <w:r>
        <w:rPr>
          <w:rFonts w:ascii="仿宋_GB2312" w:eastAsia="仿宋_GB2312" w:hAnsiTheme="minorEastAsia" w:hint="eastAsia"/>
          <w:color w:val="000000" w:themeColor="text1"/>
          <w:sz w:val="32"/>
          <w:szCs w:val="32"/>
        </w:rPr>
        <w:t>”。</w:t>
      </w:r>
    </w:p>
    <w:p w:rsidR="006C19AD" w:rsidRPr="006C19AD" w:rsidRDefault="006C19AD">
      <w:pPr>
        <w:ind w:firstLineChars="200" w:firstLine="640"/>
        <w:rPr>
          <w:rFonts w:ascii="仿宋_GB2312" w:eastAsia="仿宋_GB2312" w:hAnsi="楷体"/>
          <w:color w:val="FF0000"/>
          <w:sz w:val="32"/>
          <w:szCs w:val="32"/>
        </w:rPr>
      </w:pPr>
    </w:p>
    <w:p w:rsidR="006C19AD" w:rsidRPr="00F43EE8" w:rsidRDefault="00CF5D09">
      <w:pPr>
        <w:ind w:firstLineChars="200" w:firstLine="643"/>
        <w:rPr>
          <w:rFonts w:ascii="仿宋_GB2312" w:eastAsia="仿宋_GB2312" w:hAnsiTheme="minorEastAsia"/>
          <w:color w:val="000000" w:themeColor="text1"/>
          <w:sz w:val="32"/>
          <w:szCs w:val="32"/>
        </w:rPr>
      </w:pPr>
      <w:r>
        <w:rPr>
          <w:rFonts w:ascii="仿宋_GB2312" w:eastAsia="仿宋_GB2312" w:hAnsi="楷体" w:hint="eastAsia"/>
          <w:b/>
          <w:color w:val="000000" w:themeColor="text1"/>
          <w:sz w:val="32"/>
          <w:szCs w:val="32"/>
        </w:rPr>
        <w:t>四、</w:t>
      </w:r>
      <w:r w:rsidRPr="00F43EE8">
        <w:rPr>
          <w:rFonts w:ascii="仿宋_GB2312" w:eastAsia="仿宋_GB2312" w:hAnsiTheme="minorEastAsia" w:hint="eastAsia"/>
          <w:color w:val="000000" w:themeColor="text1"/>
          <w:sz w:val="32"/>
          <w:szCs w:val="32"/>
        </w:rPr>
        <w:t>已经根据某一家交易所会员证书，办理“贸易外汇收支企业名录”的境内期货公司会员，在为境外交易者、境外经纪机构提供其他交易所的特定品种交割货款结算服务，还需要办理哪些手续？交易所新增特定品种的提供交割货款结算服务时，应如何办理？</w:t>
      </w:r>
    </w:p>
    <w:p w:rsidR="006C19AD" w:rsidRPr="00F43EE8" w:rsidRDefault="00CF5D09">
      <w:pPr>
        <w:ind w:firstLineChars="200" w:firstLine="640"/>
        <w:rPr>
          <w:rFonts w:ascii="仿宋_GB2312" w:eastAsia="仿宋_GB2312" w:hAnsiTheme="minorEastAsia"/>
          <w:color w:val="000000" w:themeColor="text1"/>
          <w:sz w:val="32"/>
          <w:szCs w:val="32"/>
        </w:rPr>
      </w:pPr>
      <w:r w:rsidRPr="00F43EE8">
        <w:rPr>
          <w:rFonts w:ascii="仿宋_GB2312" w:eastAsia="仿宋_GB2312" w:hAnsiTheme="minorEastAsia" w:hint="eastAsia"/>
          <w:color w:val="000000" w:themeColor="text1"/>
          <w:sz w:val="32"/>
          <w:szCs w:val="32"/>
        </w:rPr>
        <w:t>答：已经提交某一家交易所会员证书，办理“贸易外汇收支企业名录”的境内期货公司会员，为境外交易者、境外经纪机构提供其他交易所的特定品种交割货款结算服务，</w:t>
      </w:r>
      <w:r w:rsidR="00C0121C" w:rsidRPr="00F43EE8">
        <w:rPr>
          <w:rFonts w:ascii="仿宋_GB2312" w:eastAsia="仿宋_GB2312" w:hAnsiTheme="minorEastAsia" w:hint="eastAsia"/>
          <w:color w:val="000000" w:themeColor="text1"/>
          <w:sz w:val="32"/>
          <w:szCs w:val="32"/>
        </w:rPr>
        <w:t>无需再办理“贸易外汇收支企业名录”手续，可</w:t>
      </w:r>
      <w:r w:rsidRPr="00F43EE8">
        <w:rPr>
          <w:rFonts w:ascii="仿宋_GB2312" w:eastAsia="仿宋_GB2312" w:hAnsiTheme="minorEastAsia" w:hint="eastAsia"/>
          <w:color w:val="000000" w:themeColor="text1"/>
          <w:sz w:val="32"/>
          <w:szCs w:val="32"/>
        </w:rPr>
        <w:t>持该新增交易所颁发的会员证书，在会员所在地外汇局进行报备。</w:t>
      </w:r>
      <w:r w:rsidR="00DB5E91" w:rsidRPr="00F43EE8">
        <w:rPr>
          <w:rFonts w:ascii="仿宋_GB2312" w:eastAsia="仿宋_GB2312" w:hAnsiTheme="minorEastAsia" w:hint="eastAsia"/>
          <w:color w:val="000000" w:themeColor="text1"/>
          <w:sz w:val="32"/>
          <w:szCs w:val="32"/>
        </w:rPr>
        <w:t>境内期货公司</w:t>
      </w:r>
      <w:r w:rsidRPr="00F43EE8">
        <w:rPr>
          <w:rFonts w:ascii="仿宋_GB2312" w:eastAsia="仿宋_GB2312" w:hAnsiTheme="minorEastAsia" w:hint="eastAsia"/>
          <w:color w:val="000000" w:themeColor="text1"/>
          <w:sz w:val="32"/>
          <w:szCs w:val="32"/>
        </w:rPr>
        <w:t>会员为境外交易者、境外经纪机构提供原交易所新增特定品种的交割货款结算服务，无需向当地外管局报备。</w:t>
      </w:r>
    </w:p>
    <w:p w:rsidR="00664D5D" w:rsidRPr="00F43EE8" w:rsidRDefault="00664D5D" w:rsidP="00F43EE8">
      <w:pPr>
        <w:ind w:firstLineChars="200" w:firstLine="640"/>
        <w:rPr>
          <w:rFonts w:ascii="仿宋_GB2312" w:eastAsia="仿宋_GB2312" w:hAnsiTheme="minorEastAsia"/>
          <w:color w:val="000000" w:themeColor="text1"/>
          <w:sz w:val="32"/>
          <w:szCs w:val="32"/>
        </w:rPr>
      </w:pPr>
    </w:p>
    <w:sectPr w:rsidR="00664D5D" w:rsidRPr="00F43EE8" w:rsidSect="00CF4B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F68" w:rsidRDefault="00406F68" w:rsidP="00F4693E">
      <w:r>
        <w:separator/>
      </w:r>
    </w:p>
  </w:endnote>
  <w:endnote w:type="continuationSeparator" w:id="1">
    <w:p w:rsidR="00406F68" w:rsidRDefault="00406F68" w:rsidP="00F469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52716"/>
      <w:docPartObj>
        <w:docPartGallery w:val="Page Numbers (Bottom of Page)"/>
        <w:docPartUnique/>
      </w:docPartObj>
    </w:sdtPr>
    <w:sdtContent>
      <w:p w:rsidR="00F31C3E" w:rsidRDefault="00520B58">
        <w:pPr>
          <w:pStyle w:val="a4"/>
          <w:jc w:val="center"/>
        </w:pPr>
        <w:r>
          <w:fldChar w:fldCharType="begin"/>
        </w:r>
        <w:r w:rsidR="00F31C3E">
          <w:instrText>PAGE   \* MERGEFORMAT</w:instrText>
        </w:r>
        <w:r>
          <w:fldChar w:fldCharType="separate"/>
        </w:r>
        <w:r w:rsidR="004162D0" w:rsidRPr="004162D0">
          <w:rPr>
            <w:noProof/>
            <w:lang w:val="zh-CN"/>
          </w:rPr>
          <w:t>1</w:t>
        </w:r>
        <w:r>
          <w:fldChar w:fldCharType="end"/>
        </w:r>
      </w:p>
    </w:sdtContent>
  </w:sdt>
  <w:p w:rsidR="00F31C3E" w:rsidRDefault="00F31C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F68" w:rsidRDefault="00406F68" w:rsidP="00F4693E">
      <w:r>
        <w:separator/>
      </w:r>
    </w:p>
  </w:footnote>
  <w:footnote w:type="continuationSeparator" w:id="1">
    <w:p w:rsidR="00406F68" w:rsidRDefault="00406F68" w:rsidP="00F469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C437B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9148241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E80EDD9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F054526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E6A4B1F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B6FEC72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FEC08EC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916D73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15604E66"/>
    <w:lvl w:ilvl="0">
      <w:start w:val="1"/>
      <w:numFmt w:val="decimal"/>
      <w:lvlText w:val="%1."/>
      <w:lvlJc w:val="left"/>
      <w:pPr>
        <w:tabs>
          <w:tab w:val="num" w:pos="360"/>
        </w:tabs>
        <w:ind w:left="360" w:hangingChars="200" w:hanging="360"/>
      </w:pPr>
    </w:lvl>
  </w:abstractNum>
  <w:abstractNum w:abstractNumId="9">
    <w:nsid w:val="FFFFFF89"/>
    <w:multiLevelType w:val="singleLevel"/>
    <w:tmpl w:val="06E0006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1024"/>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174"/>
    <w:rsid w:val="00013EB3"/>
    <w:rsid w:val="0008080A"/>
    <w:rsid w:val="000828CB"/>
    <w:rsid w:val="000A11E9"/>
    <w:rsid w:val="000A3DB1"/>
    <w:rsid w:val="000D0465"/>
    <w:rsid w:val="00112B07"/>
    <w:rsid w:val="0017098C"/>
    <w:rsid w:val="001969C6"/>
    <w:rsid w:val="001A7572"/>
    <w:rsid w:val="001D3904"/>
    <w:rsid w:val="001E1002"/>
    <w:rsid w:val="001F3A6D"/>
    <w:rsid w:val="0023564E"/>
    <w:rsid w:val="002411A2"/>
    <w:rsid w:val="00257FF4"/>
    <w:rsid w:val="00265B5B"/>
    <w:rsid w:val="00270A69"/>
    <w:rsid w:val="002847C1"/>
    <w:rsid w:val="0029676C"/>
    <w:rsid w:val="002A5592"/>
    <w:rsid w:val="002C5E12"/>
    <w:rsid w:val="002D4ECA"/>
    <w:rsid w:val="002F08BC"/>
    <w:rsid w:val="00322E89"/>
    <w:rsid w:val="00354DD1"/>
    <w:rsid w:val="003A5BA2"/>
    <w:rsid w:val="00406F68"/>
    <w:rsid w:val="004162D0"/>
    <w:rsid w:val="00427188"/>
    <w:rsid w:val="00437150"/>
    <w:rsid w:val="0043715D"/>
    <w:rsid w:val="00447E64"/>
    <w:rsid w:val="00480E59"/>
    <w:rsid w:val="004A084B"/>
    <w:rsid w:val="004A5C27"/>
    <w:rsid w:val="004B43D1"/>
    <w:rsid w:val="004D307B"/>
    <w:rsid w:val="004E3545"/>
    <w:rsid w:val="00503CE8"/>
    <w:rsid w:val="005063AD"/>
    <w:rsid w:val="00515653"/>
    <w:rsid w:val="00520B58"/>
    <w:rsid w:val="0056452C"/>
    <w:rsid w:val="0057721C"/>
    <w:rsid w:val="005B66DD"/>
    <w:rsid w:val="005D7867"/>
    <w:rsid w:val="005F1866"/>
    <w:rsid w:val="0063155D"/>
    <w:rsid w:val="00641B63"/>
    <w:rsid w:val="00663E4D"/>
    <w:rsid w:val="00664D5D"/>
    <w:rsid w:val="006A31F0"/>
    <w:rsid w:val="006B13E3"/>
    <w:rsid w:val="006C19AD"/>
    <w:rsid w:val="006D1DB2"/>
    <w:rsid w:val="00720A13"/>
    <w:rsid w:val="00730174"/>
    <w:rsid w:val="00757B4D"/>
    <w:rsid w:val="007815AD"/>
    <w:rsid w:val="007851D8"/>
    <w:rsid w:val="007B16B3"/>
    <w:rsid w:val="007B74C2"/>
    <w:rsid w:val="00822387"/>
    <w:rsid w:val="008445B5"/>
    <w:rsid w:val="00866AEA"/>
    <w:rsid w:val="0087740D"/>
    <w:rsid w:val="0089178D"/>
    <w:rsid w:val="00892F49"/>
    <w:rsid w:val="008B22ED"/>
    <w:rsid w:val="008C32E2"/>
    <w:rsid w:val="008C5B73"/>
    <w:rsid w:val="008D16F3"/>
    <w:rsid w:val="008D18C6"/>
    <w:rsid w:val="008E749A"/>
    <w:rsid w:val="00901088"/>
    <w:rsid w:val="00901E33"/>
    <w:rsid w:val="00910900"/>
    <w:rsid w:val="00912181"/>
    <w:rsid w:val="00920F24"/>
    <w:rsid w:val="00921A60"/>
    <w:rsid w:val="0095317E"/>
    <w:rsid w:val="00953230"/>
    <w:rsid w:val="00966784"/>
    <w:rsid w:val="009A755C"/>
    <w:rsid w:val="009B188C"/>
    <w:rsid w:val="009D0B8A"/>
    <w:rsid w:val="009D76BA"/>
    <w:rsid w:val="009F1A80"/>
    <w:rsid w:val="00A0462A"/>
    <w:rsid w:val="00A17270"/>
    <w:rsid w:val="00A2320A"/>
    <w:rsid w:val="00A326C1"/>
    <w:rsid w:val="00A367F8"/>
    <w:rsid w:val="00A53FE2"/>
    <w:rsid w:val="00A818E2"/>
    <w:rsid w:val="00AF193A"/>
    <w:rsid w:val="00B00F97"/>
    <w:rsid w:val="00B05866"/>
    <w:rsid w:val="00B5478C"/>
    <w:rsid w:val="00B6377F"/>
    <w:rsid w:val="00B77E5B"/>
    <w:rsid w:val="00B941DC"/>
    <w:rsid w:val="00BA41BC"/>
    <w:rsid w:val="00BC1270"/>
    <w:rsid w:val="00BC2CE5"/>
    <w:rsid w:val="00BC65AD"/>
    <w:rsid w:val="00BE58CC"/>
    <w:rsid w:val="00C0121C"/>
    <w:rsid w:val="00C311D0"/>
    <w:rsid w:val="00C31DE4"/>
    <w:rsid w:val="00C441DE"/>
    <w:rsid w:val="00C470CB"/>
    <w:rsid w:val="00C539BE"/>
    <w:rsid w:val="00C62C41"/>
    <w:rsid w:val="00C6463B"/>
    <w:rsid w:val="00CB0496"/>
    <w:rsid w:val="00CC37F6"/>
    <w:rsid w:val="00CE0888"/>
    <w:rsid w:val="00CE6A87"/>
    <w:rsid w:val="00CF4B8D"/>
    <w:rsid w:val="00CF5D09"/>
    <w:rsid w:val="00D02F78"/>
    <w:rsid w:val="00D04157"/>
    <w:rsid w:val="00D37C4D"/>
    <w:rsid w:val="00D4541A"/>
    <w:rsid w:val="00D4735E"/>
    <w:rsid w:val="00D50E28"/>
    <w:rsid w:val="00D5728E"/>
    <w:rsid w:val="00D900BA"/>
    <w:rsid w:val="00DA3654"/>
    <w:rsid w:val="00DA6165"/>
    <w:rsid w:val="00DB0618"/>
    <w:rsid w:val="00DB3FB7"/>
    <w:rsid w:val="00DB5E91"/>
    <w:rsid w:val="00DD7D34"/>
    <w:rsid w:val="00DE67FB"/>
    <w:rsid w:val="00E03E82"/>
    <w:rsid w:val="00E15B22"/>
    <w:rsid w:val="00E376F4"/>
    <w:rsid w:val="00E82735"/>
    <w:rsid w:val="00E87CE7"/>
    <w:rsid w:val="00ED21D5"/>
    <w:rsid w:val="00EE5713"/>
    <w:rsid w:val="00F31C3E"/>
    <w:rsid w:val="00F43EE8"/>
    <w:rsid w:val="00F4693E"/>
    <w:rsid w:val="00F864A0"/>
    <w:rsid w:val="00FA1C97"/>
    <w:rsid w:val="00FB0873"/>
    <w:rsid w:val="00FC16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9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693E"/>
    <w:rPr>
      <w:sz w:val="18"/>
      <w:szCs w:val="18"/>
    </w:rPr>
  </w:style>
  <w:style w:type="paragraph" w:styleId="a4">
    <w:name w:val="footer"/>
    <w:basedOn w:val="a"/>
    <w:link w:val="Char0"/>
    <w:uiPriority w:val="99"/>
    <w:unhideWhenUsed/>
    <w:rsid w:val="00F4693E"/>
    <w:pPr>
      <w:tabs>
        <w:tab w:val="center" w:pos="4153"/>
        <w:tab w:val="right" w:pos="8306"/>
      </w:tabs>
      <w:snapToGrid w:val="0"/>
      <w:jc w:val="left"/>
    </w:pPr>
    <w:rPr>
      <w:sz w:val="18"/>
      <w:szCs w:val="18"/>
    </w:rPr>
  </w:style>
  <w:style w:type="character" w:customStyle="1" w:styleId="Char0">
    <w:name w:val="页脚 Char"/>
    <w:basedOn w:val="a0"/>
    <w:link w:val="a4"/>
    <w:uiPriority w:val="99"/>
    <w:rsid w:val="00F4693E"/>
    <w:rPr>
      <w:sz w:val="18"/>
      <w:szCs w:val="18"/>
    </w:rPr>
  </w:style>
  <w:style w:type="paragraph" w:styleId="a5">
    <w:name w:val="Balloon Text"/>
    <w:basedOn w:val="a"/>
    <w:link w:val="Char1"/>
    <w:uiPriority w:val="99"/>
    <w:semiHidden/>
    <w:unhideWhenUsed/>
    <w:rsid w:val="0043715D"/>
    <w:rPr>
      <w:szCs w:val="18"/>
    </w:rPr>
  </w:style>
  <w:style w:type="character" w:customStyle="1" w:styleId="Char1">
    <w:name w:val="批注框文本 Char"/>
    <w:basedOn w:val="a0"/>
    <w:link w:val="a5"/>
    <w:uiPriority w:val="99"/>
    <w:semiHidden/>
    <w:rsid w:val="0043715D"/>
    <w:rPr>
      <w:szCs w:val="18"/>
    </w:rPr>
  </w:style>
  <w:style w:type="character" w:styleId="a6">
    <w:name w:val="annotation reference"/>
    <w:basedOn w:val="a0"/>
    <w:uiPriority w:val="99"/>
    <w:semiHidden/>
    <w:unhideWhenUsed/>
    <w:rsid w:val="0043715D"/>
    <w:rPr>
      <w:sz w:val="21"/>
      <w:szCs w:val="21"/>
    </w:rPr>
  </w:style>
  <w:style w:type="paragraph" w:styleId="a7">
    <w:name w:val="annotation text"/>
    <w:basedOn w:val="a"/>
    <w:link w:val="Char2"/>
    <w:uiPriority w:val="99"/>
    <w:semiHidden/>
    <w:unhideWhenUsed/>
    <w:rsid w:val="0043715D"/>
    <w:pPr>
      <w:jc w:val="left"/>
    </w:pPr>
  </w:style>
  <w:style w:type="character" w:customStyle="1" w:styleId="Char2">
    <w:name w:val="批注文字 Char"/>
    <w:basedOn w:val="a0"/>
    <w:link w:val="a7"/>
    <w:uiPriority w:val="99"/>
    <w:semiHidden/>
    <w:rsid w:val="0043715D"/>
  </w:style>
  <w:style w:type="paragraph" w:styleId="a8">
    <w:name w:val="annotation subject"/>
    <w:basedOn w:val="a7"/>
    <w:next w:val="a7"/>
    <w:link w:val="Char3"/>
    <w:uiPriority w:val="99"/>
    <w:semiHidden/>
    <w:unhideWhenUsed/>
    <w:rsid w:val="0043715D"/>
    <w:rPr>
      <w:b/>
      <w:bCs/>
    </w:rPr>
  </w:style>
  <w:style w:type="character" w:customStyle="1" w:styleId="Char3">
    <w:name w:val="批注主题 Char"/>
    <w:basedOn w:val="Char2"/>
    <w:link w:val="a8"/>
    <w:uiPriority w:val="99"/>
    <w:semiHidden/>
    <w:rsid w:val="0043715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207</Words>
  <Characters>1183</Characters>
  <Application>Microsoft Office Word</Application>
  <DocSecurity>0</DocSecurity>
  <Lines>9</Lines>
  <Paragraphs>2</Paragraphs>
  <ScaleCrop>false</ScaleCrop>
  <Company>SHFE</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32</cp:revision>
  <cp:lastPrinted>2018-04-08T06:47:00Z</cp:lastPrinted>
  <dcterms:created xsi:type="dcterms:W3CDTF">2018-04-08T04:03:00Z</dcterms:created>
  <dcterms:modified xsi:type="dcterms:W3CDTF">2018-04-19T01:53:00Z</dcterms:modified>
</cp:coreProperties>
</file>