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spacing w:beforeLines="50" w:afterLines="50" w:line="360" w:lineRule="auto"/>
        <w:rPr>
          <w:rFonts w:ascii="宋体" w:hAnsi="宋体"/>
          <w:sz w:val="44"/>
          <w:szCs w:val="44"/>
        </w:rPr>
      </w:pPr>
      <w:r>
        <w:rPr>
          <w:rFonts w:hint="eastAsia" w:ascii="宋体" w:hAnsi="宋体"/>
          <w:sz w:val="30"/>
          <w:szCs w:val="30"/>
        </w:rPr>
        <w:t>附件</w:t>
      </w:r>
      <w:r>
        <w:rPr>
          <w:rFonts w:hint="eastAsia" w:ascii="宋体" w:hAnsi="宋体"/>
          <w:sz w:val="30"/>
          <w:szCs w:val="30"/>
        </w:rPr>
        <w:t>1</w:t>
      </w:r>
      <w:r>
        <w:rPr>
          <w:rFonts w:hint="eastAsia" w:ascii="宋体" w:hAnsi="宋体"/>
          <w:sz w:val="30"/>
          <w:szCs w:val="30"/>
        </w:rPr>
        <w:t>：</w:t>
      </w:r>
    </w:p>
    <w:p>
      <w:pPr>
        <w:adjustRightInd w:val="0"/>
        <w:snapToGrid w:val="0"/>
        <w:spacing w:beforeLines="50" w:afterLines="50" w:line="360" w:lineRule="auto"/>
        <w:jc w:val="center"/>
        <w:rPr>
          <w:rFonts w:ascii="宋体" w:hAnsi="宋体"/>
          <w:sz w:val="44"/>
          <w:szCs w:val="44"/>
        </w:rPr>
      </w:pPr>
    </w:p>
    <w:p>
      <w:pPr>
        <w:adjustRightInd w:val="0"/>
        <w:snapToGrid w:val="0"/>
        <w:spacing w:beforeLines="50" w:afterLines="50" w:line="360" w:lineRule="auto"/>
        <w:jc w:val="center"/>
        <w:rPr>
          <w:rFonts w:ascii="宋体" w:hAnsi="宋体"/>
          <w:sz w:val="44"/>
          <w:szCs w:val="44"/>
        </w:rPr>
      </w:pPr>
    </w:p>
    <w:p>
      <w:pPr>
        <w:adjustRightInd w:val="0"/>
        <w:snapToGrid w:val="0"/>
        <w:spacing w:beforeLines="50" w:afterLines="50" w:line="360" w:lineRule="auto"/>
        <w:jc w:val="center"/>
        <w:rPr>
          <w:rFonts w:hint="eastAsia" w:ascii="宋体" w:hAnsi="宋体"/>
          <w:sz w:val="52"/>
          <w:szCs w:val="52"/>
        </w:rPr>
      </w:pPr>
      <w:r>
        <w:rPr>
          <w:rFonts w:hint="eastAsia" w:ascii="宋体" w:hAnsi="宋体"/>
          <w:sz w:val="52"/>
          <w:szCs w:val="52"/>
        </w:rPr>
        <w:t>贸易信贷调查制度</w:t>
      </w:r>
      <w:bookmarkStart w:id="1" w:name="_GoBack"/>
      <w:bookmarkEnd w:id="1"/>
    </w:p>
    <w:p>
      <w:pPr>
        <w:adjustRightInd w:val="0"/>
        <w:snapToGrid w:val="0"/>
        <w:spacing w:beforeLines="50" w:afterLines="50" w:line="360" w:lineRule="auto"/>
        <w:jc w:val="center"/>
        <w:rPr>
          <w:rFonts w:ascii="宋体" w:hAnsi="宋体"/>
          <w:sz w:val="52"/>
          <w:szCs w:val="52"/>
        </w:rPr>
      </w:pPr>
      <w:r>
        <w:rPr>
          <w:rFonts w:hint="eastAsia" w:ascii="宋体" w:hAnsi="宋体"/>
          <w:sz w:val="52"/>
          <w:szCs w:val="52"/>
        </w:rPr>
        <w:t>（修订稿）</w:t>
      </w:r>
    </w:p>
    <w:p>
      <w:pPr>
        <w:adjustRightInd w:val="0"/>
        <w:snapToGrid w:val="0"/>
        <w:spacing w:beforeLines="50" w:afterLines="50" w:line="360" w:lineRule="auto"/>
        <w:jc w:val="center"/>
        <w:rPr>
          <w:rFonts w:ascii="宋体" w:hAnsi="宋体"/>
          <w:b/>
          <w:sz w:val="44"/>
          <w:szCs w:val="44"/>
        </w:rPr>
      </w:pPr>
    </w:p>
    <w:p>
      <w:pPr>
        <w:adjustRightInd w:val="0"/>
        <w:snapToGrid w:val="0"/>
        <w:spacing w:beforeLines="50" w:afterLines="50" w:line="360" w:lineRule="auto"/>
        <w:jc w:val="center"/>
        <w:rPr>
          <w:rFonts w:ascii="宋体" w:hAnsi="宋体"/>
          <w:b/>
          <w:sz w:val="44"/>
          <w:szCs w:val="44"/>
        </w:rPr>
      </w:pPr>
    </w:p>
    <w:p>
      <w:pPr>
        <w:adjustRightInd w:val="0"/>
        <w:snapToGrid w:val="0"/>
        <w:spacing w:beforeLines="50" w:afterLines="50" w:line="360" w:lineRule="auto"/>
        <w:jc w:val="center"/>
        <w:rPr>
          <w:rFonts w:ascii="宋体" w:hAnsi="宋体"/>
          <w:b/>
          <w:sz w:val="44"/>
          <w:szCs w:val="44"/>
        </w:rPr>
      </w:pPr>
    </w:p>
    <w:p>
      <w:pPr>
        <w:adjustRightInd w:val="0"/>
        <w:snapToGrid w:val="0"/>
        <w:spacing w:beforeLines="50" w:afterLines="50" w:line="360" w:lineRule="auto"/>
        <w:jc w:val="center"/>
        <w:rPr>
          <w:rFonts w:ascii="宋体" w:hAnsi="宋体"/>
          <w:b/>
          <w:sz w:val="44"/>
          <w:szCs w:val="44"/>
        </w:rPr>
      </w:pPr>
    </w:p>
    <w:p>
      <w:pPr>
        <w:adjustRightInd w:val="0"/>
        <w:snapToGrid w:val="0"/>
        <w:spacing w:beforeLines="50" w:afterLines="50" w:line="360" w:lineRule="auto"/>
        <w:jc w:val="center"/>
        <w:rPr>
          <w:rFonts w:ascii="宋体" w:hAnsi="宋体"/>
          <w:b/>
          <w:sz w:val="44"/>
          <w:szCs w:val="44"/>
        </w:rPr>
      </w:pPr>
    </w:p>
    <w:p>
      <w:pPr>
        <w:adjustRightInd w:val="0"/>
        <w:snapToGrid w:val="0"/>
        <w:spacing w:beforeLines="50" w:afterLines="50" w:line="360" w:lineRule="auto"/>
        <w:jc w:val="center"/>
        <w:rPr>
          <w:rFonts w:ascii="宋体" w:hAnsi="宋体"/>
          <w:b/>
          <w:sz w:val="44"/>
          <w:szCs w:val="44"/>
        </w:rPr>
      </w:pPr>
    </w:p>
    <w:p>
      <w:pPr>
        <w:adjustRightInd w:val="0"/>
        <w:snapToGrid w:val="0"/>
        <w:spacing w:beforeLines="50" w:afterLines="50" w:line="360" w:lineRule="auto"/>
        <w:rPr>
          <w:rFonts w:hint="eastAsia"/>
          <w:sz w:val="44"/>
          <w:szCs w:val="44"/>
        </w:rPr>
      </w:pPr>
    </w:p>
    <w:p>
      <w:pPr>
        <w:adjustRightInd w:val="0"/>
        <w:snapToGrid w:val="0"/>
        <w:spacing w:beforeLines="50" w:afterLines="50" w:line="360" w:lineRule="auto"/>
        <w:rPr>
          <w:rFonts w:hint="eastAsia"/>
          <w:sz w:val="44"/>
          <w:szCs w:val="44"/>
        </w:rPr>
      </w:pPr>
    </w:p>
    <w:p>
      <w:pPr>
        <w:adjustRightInd w:val="0"/>
        <w:snapToGrid w:val="0"/>
        <w:spacing w:beforeLines="50" w:afterLines="50" w:line="360" w:lineRule="auto"/>
        <w:rPr>
          <w:rFonts w:hint="eastAsia"/>
          <w:sz w:val="44"/>
          <w:szCs w:val="44"/>
        </w:rPr>
      </w:pPr>
    </w:p>
    <w:p>
      <w:pPr>
        <w:spacing w:before="31" w:after="31" w:line="240" w:lineRule="auto"/>
        <w:jc w:val="center"/>
        <w:rPr>
          <w:rFonts w:ascii="宋体" w:hAnsi="宋体"/>
          <w:spacing w:val="-8"/>
          <w:sz w:val="32"/>
        </w:rPr>
      </w:pPr>
      <w:r>
        <w:rPr>
          <w:rFonts w:hint="eastAsia" w:ascii="宋体" w:hAnsi="宋体"/>
          <w:spacing w:val="-8"/>
          <w:sz w:val="32"/>
        </w:rPr>
        <w:t>本制度根据《中华人民共和国统计法》、《中华人民共和国外汇管理条例》</w:t>
      </w:r>
      <w:r>
        <w:rPr>
          <w:rFonts w:hint="eastAsia" w:ascii="宋体" w:hAnsi="宋体"/>
          <w:sz w:val="32"/>
          <w:szCs w:val="32"/>
        </w:rPr>
        <w:t>和《国际收支统计申报办法》</w:t>
      </w:r>
      <w:r>
        <w:rPr>
          <w:rFonts w:hint="eastAsia" w:ascii="宋体" w:hAnsi="宋体"/>
          <w:spacing w:val="-8"/>
          <w:sz w:val="32"/>
        </w:rPr>
        <w:t>的有关规定制定</w:t>
      </w:r>
    </w:p>
    <w:p>
      <w:pPr>
        <w:adjustRightInd w:val="0"/>
        <w:snapToGrid w:val="0"/>
        <w:spacing w:before="31" w:after="31" w:line="240" w:lineRule="auto"/>
        <w:jc w:val="center"/>
        <w:rPr>
          <w:rFonts w:ascii="仿宋_GB2312" w:hAnsi="宋体" w:eastAsia="仿宋_GB2312"/>
          <w:spacing w:val="-8"/>
          <w:sz w:val="28"/>
          <w:szCs w:val="28"/>
        </w:rPr>
      </w:pPr>
    </w:p>
    <w:p>
      <w:pPr>
        <w:widowControl/>
        <w:adjustRightInd w:val="0"/>
        <w:snapToGrid w:val="0"/>
        <w:spacing w:before="31" w:after="31" w:line="360" w:lineRule="auto"/>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《中华人民共和国统计法》第三条规定：国家机关、社会团体、企业事业组织和个体工商户等统计调查对象，必须依照本法和国家规定，如实提供统计资料，不得虚报、瞒报、拒报、迟报，不得伪造、篡改。</w:t>
      </w:r>
    </w:p>
    <w:p>
      <w:pPr>
        <w:widowControl/>
        <w:adjustRightInd w:val="0"/>
        <w:snapToGrid w:val="0"/>
        <w:spacing w:before="31" w:after="31" w:line="360" w:lineRule="auto"/>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基层群众性自治组织和公民有义务如实提供国家统计调查所需要的情况。</w:t>
      </w:r>
    </w:p>
    <w:p>
      <w:pPr>
        <w:widowControl/>
        <w:adjustRightInd w:val="0"/>
        <w:snapToGrid w:val="0"/>
        <w:spacing w:before="31" w:after="31" w:line="360" w:lineRule="auto"/>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《中华人民共和国统计法》第十五条规定：统计机构、统计人员对在统计调查中知悉的统计调查对象的商业秘密，负有保密义务。</w:t>
      </w:r>
    </w:p>
    <w:p>
      <w:pPr>
        <w:adjustRightInd w:val="0"/>
        <w:snapToGrid w:val="0"/>
        <w:spacing w:before="31" w:after="31" w:line="360" w:lineRule="auto"/>
        <w:ind w:firstLine="561"/>
        <w:rPr>
          <w:rFonts w:ascii="仿宋_GB2312" w:eastAsia="仿宋_GB2312"/>
          <w:spacing w:val="-8"/>
          <w:sz w:val="28"/>
          <w:szCs w:val="28"/>
        </w:rPr>
      </w:pPr>
      <w:r>
        <w:rPr>
          <w:rFonts w:hint="eastAsia" w:ascii="仿宋_GB2312" w:eastAsia="仿宋_GB2312"/>
          <w:spacing w:val="-8"/>
          <w:sz w:val="28"/>
          <w:szCs w:val="28"/>
        </w:rPr>
        <w:t>《中华人民共和国外汇管理条例》第六条规定：国家实施国际收支统计申报制度。国务院外汇管理部门应对国际收支进行统计、监测，定期公布国际收支状况。</w:t>
      </w:r>
    </w:p>
    <w:p>
      <w:pPr>
        <w:adjustRightInd w:val="0"/>
        <w:snapToGrid w:val="0"/>
        <w:spacing w:before="31" w:after="31" w:line="360" w:lineRule="auto"/>
        <w:ind w:firstLine="561"/>
        <w:rPr>
          <w:rFonts w:ascii="仿宋_GB2312" w:hAnsi="宋体" w:eastAsia="仿宋_GB2312"/>
          <w:kern w:val="0"/>
          <w:sz w:val="28"/>
          <w:szCs w:val="28"/>
        </w:rPr>
      </w:pPr>
      <w:r>
        <w:rPr>
          <w:rFonts w:hint="eastAsia" w:ascii="仿宋_GB2312" w:eastAsia="仿宋_GB2312"/>
          <w:spacing w:val="-8"/>
          <w:sz w:val="28"/>
          <w:szCs w:val="28"/>
        </w:rPr>
        <w:t>《中华人民共和国外汇管理条例》第四十八条规定：有下列情形之一的，由外汇管理机关责令改正，给予警告，对机构可以处30万元以下的罚款，对个人可以处5万元以下的罚款:（一）未按照规定进行国际收支申报的；（二）未按照规定报送财务会计报告、统计报表等资料的；（三）未按照规定提交有效单证或者提交的单证不真实的；（四）违反外汇账户管理规定的；（五）违反外汇登记管理规定的；（六）拒绝、阻碍外汇管理机关依法进行监督检查或者调查的。</w:t>
      </w:r>
    </w:p>
    <w:p>
      <w:pPr>
        <w:widowControl/>
        <w:adjustRightInd w:val="0"/>
        <w:snapToGrid w:val="0"/>
        <w:spacing w:before="31" w:after="31" w:line="360" w:lineRule="auto"/>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《国际收支统计申报办法》第十四条规定：国家外汇管理局或其分支局可以就国际收支情况进行抽样调查或者普查。</w:t>
      </w:r>
    </w:p>
    <w:p>
      <w:pPr>
        <w:widowControl/>
        <w:adjustRightInd w:val="0"/>
        <w:snapToGrid w:val="0"/>
        <w:spacing w:before="31" w:after="31" w:line="360" w:lineRule="auto"/>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《国际收支统计申报办法》第十七条规定：中国居民、非中国居民未按照规定进行国际收支统计申报的，由国家外汇管理局或其分支局依照《中华人民共和国外汇管理条例》第四十八条的规定给予处罚。</w:t>
      </w:r>
    </w:p>
    <w:p>
      <w:pPr>
        <w:widowControl/>
        <w:adjustRightInd w:val="0"/>
        <w:snapToGrid w:val="0"/>
        <w:spacing w:before="31" w:after="31" w:line="360" w:lineRule="auto"/>
        <w:ind w:firstLine="560" w:firstLineChars="200"/>
        <w:rPr>
          <w:rFonts w:eastAsia="仿宋_GB2312"/>
          <w:sz w:val="28"/>
        </w:rPr>
      </w:pPr>
      <w:r>
        <w:rPr>
          <w:rFonts w:ascii="仿宋_GB2312" w:hAnsi="宋体" w:eastAsia="仿宋_GB2312"/>
          <w:kern w:val="0"/>
          <w:sz w:val="28"/>
          <w:szCs w:val="28"/>
        </w:rPr>
        <w:br w:type="page"/>
      </w:r>
    </w:p>
    <w:p>
      <w:pPr>
        <w:spacing w:before="31" w:after="31" w:line="720" w:lineRule="auto"/>
        <w:jc w:val="center"/>
        <w:rPr>
          <w:rFonts w:eastAsia="黑体"/>
          <w:sz w:val="32"/>
        </w:rPr>
      </w:pPr>
      <w:r>
        <w:rPr>
          <w:rFonts w:hint="eastAsia" w:eastAsia="黑体"/>
          <w:sz w:val="32"/>
        </w:rPr>
        <w:t>目录</w:t>
      </w:r>
    </w:p>
    <w:p>
      <w:pPr>
        <w:spacing w:before="31" w:after="31"/>
        <w:rPr>
          <w:szCs w:val="21"/>
        </w:rPr>
      </w:pPr>
    </w:p>
    <w:p>
      <w:pPr>
        <w:spacing w:before="31" w:after="31" w:line="360" w:lineRule="auto"/>
        <w:jc w:val="distribute"/>
        <w:rPr>
          <w:rFonts w:ascii="宋体" w:hAnsi="宋体"/>
          <w:szCs w:val="21"/>
        </w:rPr>
      </w:pPr>
      <w:r>
        <w:rPr>
          <w:rFonts w:hint="eastAsia" w:ascii="宋体" w:hAnsi="宋体"/>
          <w:szCs w:val="21"/>
        </w:rPr>
        <w:t>一、总说明……………………………………………………………………………………1</w:t>
      </w:r>
    </w:p>
    <w:p>
      <w:pPr>
        <w:spacing w:before="31" w:after="31" w:line="360" w:lineRule="auto"/>
        <w:jc w:val="distribute"/>
        <w:rPr>
          <w:rFonts w:ascii="宋体" w:hAnsi="宋体"/>
          <w:szCs w:val="21"/>
        </w:rPr>
      </w:pPr>
      <w:r>
        <w:rPr>
          <w:rFonts w:hint="eastAsia" w:ascii="宋体" w:hAnsi="宋体"/>
          <w:szCs w:val="21"/>
        </w:rPr>
        <w:t>二、报表目录……………………………………………………………………………………4</w:t>
      </w:r>
    </w:p>
    <w:p>
      <w:pPr>
        <w:spacing w:before="31" w:after="31" w:line="360" w:lineRule="auto"/>
        <w:jc w:val="left"/>
        <w:rPr>
          <w:rFonts w:ascii="宋体" w:hAnsi="宋体"/>
          <w:szCs w:val="21"/>
        </w:rPr>
      </w:pPr>
      <w:r>
        <w:rPr>
          <w:rFonts w:hint="eastAsia" w:ascii="宋体" w:hAnsi="宋体"/>
          <w:szCs w:val="21"/>
        </w:rPr>
        <w:t>三、调查表式</w:t>
      </w:r>
    </w:p>
    <w:p>
      <w:pPr>
        <w:spacing w:before="31" w:after="31" w:line="360" w:lineRule="auto"/>
        <w:ind w:firstLine="405"/>
        <w:jc w:val="distribute"/>
        <w:rPr>
          <w:rFonts w:ascii="宋体" w:hAnsi="宋体"/>
          <w:szCs w:val="21"/>
        </w:rPr>
      </w:pPr>
      <w:r>
        <w:rPr>
          <w:rFonts w:hint="eastAsia" w:ascii="宋体" w:hAnsi="宋体"/>
          <w:szCs w:val="21"/>
        </w:rPr>
        <w:t>（－）调查对象单位基本信息情况表…………………………………………5</w:t>
      </w:r>
    </w:p>
    <w:p>
      <w:pPr>
        <w:spacing w:before="31" w:after="31" w:line="360" w:lineRule="auto"/>
        <w:ind w:firstLine="405"/>
        <w:jc w:val="distribute"/>
        <w:rPr>
          <w:rFonts w:ascii="宋体" w:hAnsi="宋体"/>
          <w:szCs w:val="21"/>
        </w:rPr>
      </w:pPr>
      <w:r>
        <w:rPr>
          <w:rFonts w:hint="eastAsia" w:ascii="宋体" w:hAnsi="宋体"/>
          <w:szCs w:val="21"/>
        </w:rPr>
        <w:t>（二）出口样本企业贸易信贷申报表…………………………………………6</w:t>
      </w:r>
    </w:p>
    <w:p>
      <w:pPr>
        <w:spacing w:before="31" w:after="31" w:line="360" w:lineRule="auto"/>
        <w:ind w:firstLine="405"/>
        <w:jc w:val="distribute"/>
        <w:rPr>
          <w:rFonts w:ascii="宋体" w:hAnsi="宋体"/>
          <w:szCs w:val="21"/>
        </w:rPr>
      </w:pPr>
      <w:r>
        <w:rPr>
          <w:rFonts w:hint="eastAsia" w:ascii="宋体" w:hAnsi="宋体"/>
          <w:szCs w:val="21"/>
        </w:rPr>
        <w:t>（三）进口样本企业贸易信贷申报表………………………………………………7</w:t>
      </w:r>
    </w:p>
    <w:p>
      <w:pPr>
        <w:spacing w:before="31" w:after="31" w:line="360" w:lineRule="auto"/>
        <w:jc w:val="distribute"/>
        <w:rPr>
          <w:rFonts w:ascii="宋体" w:hAnsi="宋体"/>
          <w:szCs w:val="21"/>
        </w:rPr>
      </w:pPr>
      <w:r>
        <w:rPr>
          <w:rFonts w:hint="eastAsia" w:ascii="宋体" w:hAnsi="宋体"/>
          <w:szCs w:val="21"/>
        </w:rPr>
        <w:t>四、主要指标解释…………………………………………………………………………8</w:t>
      </w:r>
    </w:p>
    <w:p>
      <w:pPr>
        <w:spacing w:before="31" w:after="31" w:line="360" w:lineRule="auto"/>
        <w:jc w:val="left"/>
        <w:rPr>
          <w:rFonts w:ascii="宋体" w:hAnsi="宋体"/>
          <w:szCs w:val="21"/>
        </w:rPr>
      </w:pPr>
      <w:r>
        <w:rPr>
          <w:rFonts w:hint="eastAsia" w:ascii="宋体" w:hAnsi="宋体"/>
          <w:szCs w:val="21"/>
        </w:rPr>
        <w:t>五、附录</w:t>
      </w:r>
    </w:p>
    <w:p>
      <w:pPr>
        <w:spacing w:before="31" w:after="31" w:line="360" w:lineRule="auto"/>
        <w:ind w:firstLine="405"/>
        <w:jc w:val="distribute"/>
        <w:rPr>
          <w:rFonts w:ascii="宋体" w:hAnsi="宋体"/>
          <w:szCs w:val="21"/>
        </w:rPr>
      </w:pPr>
      <w:r>
        <w:rPr>
          <w:rFonts w:hint="eastAsia" w:ascii="宋体" w:hAnsi="宋体"/>
          <w:szCs w:val="21"/>
        </w:rPr>
        <w:t>（一）经济类型及代码……………………………………………………………………11</w:t>
      </w:r>
    </w:p>
    <w:p>
      <w:pPr>
        <w:spacing w:before="31" w:after="31" w:line="360" w:lineRule="auto"/>
        <w:ind w:firstLine="405"/>
        <w:rPr>
          <w:rFonts w:ascii="宋体" w:hAnsi="宋体"/>
          <w:szCs w:val="21"/>
        </w:rPr>
      </w:pPr>
      <w:r>
        <w:rPr>
          <w:rFonts w:hint="eastAsia" w:ascii="宋体" w:hAnsi="宋体"/>
          <w:szCs w:val="21"/>
        </w:rPr>
        <w:t>（二）行业属性及代码……………………………………………………………………17</w:t>
      </w:r>
    </w:p>
    <w:p>
      <w:pPr>
        <w:spacing w:before="31" w:after="31" w:line="720" w:lineRule="auto"/>
        <w:jc w:val="center"/>
        <w:rPr>
          <w:rFonts w:eastAsia="黑体"/>
          <w:sz w:val="32"/>
        </w:rPr>
      </w:pPr>
    </w:p>
    <w:p>
      <w:pPr>
        <w:spacing w:before="31" w:after="31" w:line="720" w:lineRule="auto"/>
        <w:jc w:val="center"/>
        <w:rPr>
          <w:rFonts w:ascii="仿宋_GB2312" w:eastAsia="仿宋_GB2312"/>
          <w:b/>
          <w:sz w:val="32"/>
          <w:szCs w:val="32"/>
        </w:rPr>
      </w:pPr>
      <w:r>
        <w:rPr>
          <w:rFonts w:eastAsia="黑体"/>
          <w:sz w:val="32"/>
        </w:rPr>
        <w:br w:type="page"/>
      </w:r>
      <w:r>
        <w:rPr>
          <w:rFonts w:hint="eastAsia" w:eastAsia="黑体"/>
          <w:sz w:val="32"/>
        </w:rPr>
        <w:t>一、总说明</w:t>
      </w:r>
    </w:p>
    <w:p>
      <w:pPr>
        <w:spacing w:before="31" w:after="31" w:line="360" w:lineRule="auto"/>
        <w:ind w:firstLine="420"/>
        <w:rPr>
          <w:rFonts w:ascii="宋体"/>
          <w:szCs w:val="21"/>
        </w:rPr>
      </w:pPr>
      <w:r>
        <w:rPr>
          <w:rFonts w:hint="eastAsia" w:ascii="宋体"/>
          <w:b/>
          <w:szCs w:val="21"/>
        </w:rPr>
        <w:t>（一）</w:t>
      </w:r>
      <w:r>
        <w:rPr>
          <w:rFonts w:hint="eastAsia" w:ascii="宋体"/>
          <w:szCs w:val="21"/>
        </w:rPr>
        <w:t>为准确、及时地反映中国大陆企业贸易信贷情况，科学、有效地组织全国贸易信贷统计工作，满足我国国际收支平衡表和国际投资头寸表的编制需要，根据《中华人民共和国统计法》、《中华人民共和国外汇管理条例》和《国际收支统计申报办法》的有关规定，制定本制度。</w:t>
      </w:r>
    </w:p>
    <w:p>
      <w:pPr>
        <w:spacing w:before="31" w:after="31" w:line="360" w:lineRule="auto"/>
        <w:ind w:firstLine="420"/>
        <w:rPr>
          <w:rFonts w:ascii="宋体" w:hAnsi="宋体"/>
          <w:szCs w:val="21"/>
        </w:rPr>
      </w:pPr>
      <w:r>
        <w:rPr>
          <w:rFonts w:hint="eastAsia" w:ascii="宋体"/>
          <w:b/>
          <w:szCs w:val="21"/>
        </w:rPr>
        <w:t>（二）</w:t>
      </w:r>
      <w:r>
        <w:rPr>
          <w:rFonts w:hint="eastAsia" w:ascii="宋体" w:hAnsi="宋体"/>
          <w:szCs w:val="21"/>
        </w:rPr>
        <w:t>本制度</w:t>
      </w:r>
      <w:r>
        <w:rPr>
          <w:rFonts w:hint="eastAsia" w:ascii="宋体"/>
          <w:szCs w:val="21"/>
        </w:rPr>
        <w:t>中的贸易信贷是指</w:t>
      </w:r>
      <w:r>
        <w:rPr>
          <w:rFonts w:hint="eastAsia" w:ascii="宋体" w:hAnsi="宋体"/>
          <w:szCs w:val="21"/>
        </w:rPr>
        <w:t>中国大陆境内的对外贸易经营者与境外（含港、澳、台地区）进出口商之间，因货物进出口而产生的应收/预收款和应付/预付款。它是由于进出口货物的资金收付时间与货物所有权发生转移的时间（即采用权责发生制进行账务处理的货物交易时间）不同而在境内外进出口商之间产生的债权和债务。</w:t>
      </w:r>
    </w:p>
    <w:p>
      <w:pPr>
        <w:spacing w:before="31" w:after="31" w:line="360" w:lineRule="auto"/>
        <w:ind w:firstLine="420"/>
        <w:rPr>
          <w:rFonts w:ascii="宋体" w:hAnsi="宋体"/>
          <w:szCs w:val="21"/>
        </w:rPr>
      </w:pPr>
      <w:r>
        <w:rPr>
          <w:rFonts w:hint="eastAsia" w:ascii="宋体" w:hAnsi="宋体"/>
          <w:szCs w:val="21"/>
        </w:rPr>
        <w:t>我国货物进出口是指我国境内对外贸易经营者与境外（含港、澳、台地区）进出口商之间进行的以转移货物所有权为目的的交易，包括离岸转手买卖，但不包括不转移货物所有权而以获取工缴费为目的的来料加工，也不包括境内特殊经济区域内主体与境内特殊经济区域外主体之间进行的货物交易。</w:t>
      </w:r>
    </w:p>
    <w:p>
      <w:pPr>
        <w:spacing w:before="31" w:after="31" w:line="360" w:lineRule="auto"/>
        <w:ind w:firstLine="420"/>
        <w:rPr>
          <w:rFonts w:ascii="宋体" w:hAnsi="宋体"/>
          <w:szCs w:val="21"/>
        </w:rPr>
      </w:pPr>
      <w:r>
        <w:rPr>
          <w:rFonts w:hint="eastAsia" w:ascii="宋体" w:hAnsi="宋体"/>
          <w:szCs w:val="21"/>
        </w:rPr>
        <w:t>进出口货物所有权转移与资金收付的时间以调查对象财务报表记录为准。</w:t>
      </w:r>
    </w:p>
    <w:p>
      <w:pPr>
        <w:spacing w:before="31" w:after="31" w:line="360" w:lineRule="auto"/>
        <w:ind w:firstLine="420"/>
        <w:rPr>
          <w:rFonts w:ascii="宋体"/>
          <w:szCs w:val="21"/>
        </w:rPr>
      </w:pPr>
      <w:r>
        <w:rPr>
          <w:rFonts w:hint="eastAsia" w:ascii="宋体" w:hAnsi="宋体"/>
          <w:b/>
          <w:szCs w:val="21"/>
        </w:rPr>
        <w:t>（三）</w:t>
      </w:r>
      <w:r>
        <w:rPr>
          <w:rFonts w:hint="eastAsia" w:ascii="宋体"/>
          <w:szCs w:val="21"/>
        </w:rPr>
        <w:t>本制度的调查对象为</w:t>
      </w:r>
      <w:r>
        <w:rPr>
          <w:rFonts w:hint="eastAsia" w:ascii="宋体" w:hAnsi="宋体" w:cs="宋体"/>
          <w:szCs w:val="21"/>
        </w:rPr>
        <w:t>中国大陆境内与境外主体从事货物进出口的对外贸易经营者</w:t>
      </w:r>
      <w:r>
        <w:rPr>
          <w:rFonts w:hint="eastAsia" w:ascii="宋体" w:hAnsi="宋体" w:cs="宋体"/>
        </w:rPr>
        <w:t>（以下简称调查对象）</w:t>
      </w:r>
      <w:r>
        <w:rPr>
          <w:rFonts w:hint="eastAsia" w:ascii="宋体" w:hAnsi="宋体" w:cs="宋体"/>
          <w:szCs w:val="21"/>
        </w:rPr>
        <w:t>。</w:t>
      </w:r>
      <w:r>
        <w:rPr>
          <w:rFonts w:hint="eastAsia" w:ascii="宋体" w:hAnsi="宋体"/>
          <w:szCs w:val="21"/>
        </w:rPr>
        <w:t>调查对象应及时、准确、完整地填报</w:t>
      </w:r>
      <w:r>
        <w:rPr>
          <w:rFonts w:hint="eastAsia" w:ascii="宋体" w:hAnsi="宋体"/>
          <w:szCs w:val="18"/>
        </w:rPr>
        <w:t>贸易信贷申报表</w:t>
      </w:r>
      <w:r>
        <w:rPr>
          <w:rFonts w:hint="eastAsia" w:ascii="宋体" w:hAnsi="宋体"/>
          <w:szCs w:val="21"/>
        </w:rPr>
        <w:t>。</w:t>
      </w:r>
    </w:p>
    <w:p>
      <w:pPr>
        <w:spacing w:before="31" w:after="31" w:line="360" w:lineRule="auto"/>
        <w:ind w:firstLine="420"/>
        <w:rPr>
          <w:rFonts w:ascii="宋体" w:hAnsi="宋体"/>
          <w:szCs w:val="21"/>
        </w:rPr>
      </w:pPr>
      <w:r>
        <w:rPr>
          <w:rFonts w:hint="eastAsia" w:ascii="宋体"/>
          <w:b/>
          <w:szCs w:val="21"/>
        </w:rPr>
        <w:t>（四）</w:t>
      </w:r>
      <w:r>
        <w:rPr>
          <w:rFonts w:hint="eastAsia" w:ascii="宋体"/>
          <w:szCs w:val="21"/>
        </w:rPr>
        <w:t>本制度包括</w:t>
      </w:r>
      <w:r>
        <w:rPr>
          <w:rFonts w:hint="eastAsia" w:ascii="宋体" w:hAnsi="宋体"/>
          <w:szCs w:val="18"/>
        </w:rPr>
        <w:t>调查对象单位基本信息情况表、出口样本企业贸易信贷申报表和进口样本企业贸易信贷申报表三张报表，分别</w:t>
      </w:r>
      <w:r>
        <w:rPr>
          <w:rFonts w:hint="eastAsia" w:ascii="宋体" w:hAnsi="宋体" w:cs="宋体"/>
          <w:szCs w:val="21"/>
        </w:rPr>
        <w:t>收集指定调查期末调查对象的基本信息、出口应收和预收款余额等数据，及</w:t>
      </w:r>
      <w:r>
        <w:rPr>
          <w:rFonts w:hint="eastAsia" w:ascii="宋体" w:hAnsi="宋体"/>
          <w:szCs w:val="21"/>
        </w:rPr>
        <w:t>进口应付和预付款余额等数据。</w:t>
      </w:r>
    </w:p>
    <w:p>
      <w:pPr>
        <w:spacing w:before="31" w:after="31" w:line="360" w:lineRule="auto"/>
        <w:ind w:firstLine="420"/>
        <w:rPr>
          <w:rFonts w:ascii="宋体" w:hAnsi="宋体"/>
          <w:szCs w:val="21"/>
        </w:rPr>
      </w:pPr>
      <w:r>
        <w:rPr>
          <w:rFonts w:hint="eastAsia" w:ascii="宋体" w:hAnsi="宋体"/>
          <w:szCs w:val="21"/>
        </w:rPr>
        <w:t>贸易信贷申报表中的调查指标包括：当期出（</w:t>
      </w:r>
      <w:r>
        <w:rPr>
          <w:rFonts w:ascii="宋体" w:hAnsi="宋体"/>
          <w:szCs w:val="21"/>
        </w:rPr>
        <w:t>进</w:t>
      </w:r>
      <w:r>
        <w:rPr>
          <w:rFonts w:hint="eastAsia" w:ascii="宋体" w:hAnsi="宋体"/>
          <w:szCs w:val="21"/>
        </w:rPr>
        <w:t>）</w:t>
      </w:r>
      <w:r>
        <w:rPr>
          <w:rFonts w:ascii="宋体" w:hAnsi="宋体"/>
          <w:szCs w:val="21"/>
        </w:rPr>
        <w:t>口总</w:t>
      </w:r>
      <w:r>
        <w:rPr>
          <w:rFonts w:hint="eastAsia" w:ascii="宋体" w:hAnsi="宋体"/>
          <w:szCs w:val="21"/>
        </w:rPr>
        <w:t>额、当期收到（支付）的出（进）口货款金额、期末账面出（进）口应收（付）款余额、期末账面出（进）口预收（付）款余额、出（进）口应收（付）款平均周期等。</w:t>
      </w:r>
    </w:p>
    <w:p>
      <w:pPr>
        <w:spacing w:before="31" w:after="31" w:line="360" w:lineRule="auto"/>
        <w:ind w:firstLine="420"/>
        <w:rPr>
          <w:rFonts w:ascii="宋体" w:hAnsi="宋体"/>
          <w:szCs w:val="21"/>
        </w:rPr>
      </w:pPr>
      <w:r>
        <w:rPr>
          <w:rFonts w:hint="eastAsia" w:ascii="宋体" w:hAnsi="宋体"/>
          <w:b/>
          <w:szCs w:val="21"/>
        </w:rPr>
        <w:t>（五）</w:t>
      </w:r>
      <w:r>
        <w:rPr>
          <w:rFonts w:hint="eastAsia" w:ascii="宋体" w:hAnsi="宋体" w:cs="宋体"/>
          <w:szCs w:val="21"/>
        </w:rPr>
        <w:t>为避免贸易信贷数据申报出现遗漏或重复，调查对象应按照“谁进行进/出口账务处理</w:t>
      </w:r>
      <w:r>
        <w:rPr>
          <w:rFonts w:hint="eastAsia" w:ascii="宋体" w:hAnsi="宋体"/>
          <w:szCs w:val="21"/>
        </w:rPr>
        <w:t>，谁申报”的原则，填报其账务处理中货物出口/进口，及相应的货款收付情况。</w:t>
      </w:r>
    </w:p>
    <w:p>
      <w:pPr>
        <w:spacing w:before="31" w:after="31" w:line="360" w:lineRule="auto"/>
        <w:ind w:firstLine="420"/>
        <w:rPr>
          <w:rFonts w:ascii="宋体" w:hAnsi="宋体"/>
          <w:szCs w:val="21"/>
        </w:rPr>
      </w:pPr>
      <w:r>
        <w:rPr>
          <w:rFonts w:hint="eastAsia" w:ascii="宋体"/>
          <w:b/>
          <w:szCs w:val="21"/>
        </w:rPr>
        <w:t>（六）</w:t>
      </w:r>
      <w:r>
        <w:rPr>
          <w:rFonts w:hint="eastAsia" w:ascii="宋体" w:hAnsi="宋体"/>
          <w:szCs w:val="21"/>
        </w:rPr>
        <w:t>贸易信贷调查为月度调查。被调查的样本企业应当于月后</w:t>
      </w:r>
      <w:r>
        <w:rPr>
          <w:rFonts w:hint="eastAsia" w:ascii="宋体" w:hAnsi="宋体"/>
        </w:rPr>
        <w:t>15日内完成数据报送。</w:t>
      </w:r>
      <w:r>
        <w:rPr>
          <w:rFonts w:hint="eastAsia" w:ascii="宋体"/>
          <w:szCs w:val="21"/>
        </w:rPr>
        <w:t>国家外汇管理局可以</w:t>
      </w:r>
      <w:r>
        <w:rPr>
          <w:rFonts w:hint="eastAsia" w:ascii="宋体" w:hAnsi="宋体"/>
          <w:szCs w:val="21"/>
        </w:rPr>
        <w:t>根据有关时效性要求和节假日安排，适时调整贸易信贷调查的频度和报送时间。</w:t>
      </w:r>
    </w:p>
    <w:p>
      <w:pPr>
        <w:spacing w:before="31" w:after="31" w:line="360" w:lineRule="auto"/>
        <w:ind w:firstLine="420"/>
        <w:rPr>
          <w:rFonts w:ascii="宋体" w:hAnsi="宋体"/>
          <w:szCs w:val="21"/>
        </w:rPr>
      </w:pPr>
      <w:r>
        <w:rPr>
          <w:rFonts w:hint="eastAsia" w:ascii="宋体" w:hAnsi="宋体"/>
          <w:b/>
          <w:szCs w:val="21"/>
        </w:rPr>
        <w:t>（七）</w:t>
      </w:r>
      <w:r>
        <w:rPr>
          <w:rFonts w:hint="eastAsia" w:ascii="宋体" w:hAnsi="宋体"/>
          <w:szCs w:val="21"/>
        </w:rPr>
        <w:t>被调查的样本企业应通过国家外汇管理局应用服务平台贸易信贷抽样调查系统互联网版（访问地址为http://asone.safesvc.gov.cn/asone/</w:t>
      </w:r>
      <w:r>
        <w:rPr>
          <w:rFonts w:ascii="宋体" w:hAnsi="宋体"/>
          <w:szCs w:val="21"/>
        </w:rPr>
        <w:t>）</w:t>
      </w:r>
      <w:r>
        <w:rPr>
          <w:rFonts w:hint="eastAsia" w:ascii="宋体" w:hAnsi="宋体"/>
        </w:rPr>
        <w:t>填报数据。</w:t>
      </w:r>
      <w:r>
        <w:rPr>
          <w:rFonts w:hint="eastAsia" w:ascii="宋体" w:hAnsi="宋体"/>
          <w:szCs w:val="21"/>
        </w:rPr>
        <w:t>各分局、外汇管理部通过应用服务平台贸易信贷抽样调查系统外汇局版（访问地址为http://100.1.48.51:9101/asone/</w:t>
      </w:r>
      <w:r>
        <w:rPr>
          <w:rFonts w:ascii="宋体" w:hAnsi="宋体"/>
          <w:szCs w:val="21"/>
        </w:rPr>
        <w:t>）</w:t>
      </w:r>
      <w:r>
        <w:rPr>
          <w:rFonts w:hint="eastAsia" w:ascii="宋体" w:hAnsi="宋体"/>
          <w:szCs w:val="21"/>
        </w:rPr>
        <w:t>进行数据质量核查和报送。</w:t>
      </w:r>
    </w:p>
    <w:p>
      <w:pPr>
        <w:spacing w:before="31" w:after="31" w:line="360" w:lineRule="auto"/>
        <w:ind w:firstLine="420"/>
        <w:rPr>
          <w:rFonts w:ascii="宋体"/>
          <w:szCs w:val="21"/>
        </w:rPr>
      </w:pPr>
      <w:r>
        <w:rPr>
          <w:rFonts w:hint="eastAsia" w:ascii="宋体" w:hAnsi="宋体"/>
          <w:szCs w:val="21"/>
        </w:rPr>
        <w:t>贸易信贷抽样调查系统使用手册见应用服务平台界面“常用下载”栏目。</w:t>
      </w:r>
    </w:p>
    <w:p>
      <w:pPr>
        <w:spacing w:before="31" w:after="31" w:line="360" w:lineRule="auto"/>
        <w:ind w:firstLine="422" w:firstLineChars="200"/>
        <w:rPr>
          <w:rFonts w:ascii="宋体" w:hAnsi="宋体"/>
          <w:szCs w:val="21"/>
        </w:rPr>
      </w:pPr>
      <w:r>
        <w:rPr>
          <w:rFonts w:hint="eastAsia" w:ascii="宋体" w:hAnsi="宋体"/>
          <w:b/>
          <w:szCs w:val="21"/>
        </w:rPr>
        <w:t>（八）</w:t>
      </w:r>
      <w:r>
        <w:rPr>
          <w:rFonts w:hint="eastAsia" w:ascii="宋体" w:hAnsi="宋体"/>
          <w:szCs w:val="21"/>
        </w:rPr>
        <w:t>各分局、外汇管理部（各分支局）应按照以下要求完成抽样调查的组织工作：</w:t>
      </w:r>
    </w:p>
    <w:p>
      <w:pPr>
        <w:spacing w:before="31" w:after="31" w:line="360" w:lineRule="auto"/>
        <w:ind w:firstLine="420"/>
        <w:rPr>
          <w:rFonts w:hAnsi="宋体" w:cs="宋体"/>
        </w:rPr>
      </w:pPr>
      <w:r>
        <w:rPr>
          <w:rFonts w:ascii="宋体" w:hAnsi="宋体"/>
          <w:szCs w:val="21"/>
        </w:rPr>
        <w:t>1</w:t>
      </w:r>
      <w:r>
        <w:rPr>
          <w:rFonts w:hint="eastAsia" w:ascii="宋体" w:hAnsi="宋体"/>
          <w:szCs w:val="21"/>
        </w:rPr>
        <w:t>．参与</w:t>
      </w:r>
      <w:r>
        <w:rPr>
          <w:rFonts w:hint="eastAsia" w:hAnsi="宋体" w:cs="宋体"/>
        </w:rPr>
        <w:t>调查的企业由国家外汇管理局根据全国涉外收支和进出口形势确定和调整，并每年通过贸易信贷抽样调查系统发布当年参加调查的企业名单。</w:t>
      </w:r>
      <w:r>
        <w:rPr>
          <w:rFonts w:hint="eastAsia" w:ascii="宋体" w:hAnsi="宋体" w:eastAsia="宋体" w:cs="宋体"/>
        </w:rPr>
        <w:t>各分局</w:t>
      </w:r>
      <w:r>
        <w:rPr>
          <w:rFonts w:hint="eastAsia" w:hAnsi="宋体" w:cs="宋体"/>
        </w:rPr>
        <w:t>、外汇管理部</w:t>
      </w:r>
      <w:r>
        <w:rPr>
          <w:rFonts w:hint="eastAsia" w:ascii="宋体" w:hAnsi="宋体" w:eastAsia="宋体" w:cs="宋体"/>
        </w:rPr>
        <w:t>可根据辖内具体情况，对少量样本企业进行替换。</w:t>
      </w:r>
    </w:p>
    <w:p>
      <w:pPr>
        <w:spacing w:before="31" w:after="31" w:line="360" w:lineRule="auto"/>
        <w:ind w:firstLine="420"/>
        <w:rPr>
          <w:rFonts w:ascii="宋体" w:hAnsi="宋体"/>
          <w:szCs w:val="21"/>
        </w:rPr>
      </w:pPr>
      <w:r>
        <w:rPr>
          <w:rFonts w:hint="eastAsia" w:ascii="宋体" w:hAnsi="宋体" w:eastAsia="宋体" w:cs="宋体"/>
        </w:rPr>
        <w:t xml:space="preserve">2. </w:t>
      </w:r>
      <w:r>
        <w:rPr>
          <w:rFonts w:hint="eastAsia" w:ascii="宋体" w:hAnsi="宋体"/>
          <w:szCs w:val="21"/>
        </w:rPr>
        <w:t>各分支局应采取措施保证贸易信贷申报表的回收率，对于不能按要求报送申报表的调查对象按制度规定进行处理并就有关情况做出详细说明。</w:t>
      </w:r>
    </w:p>
    <w:p>
      <w:pPr>
        <w:spacing w:before="31" w:after="31" w:line="360" w:lineRule="auto"/>
        <w:ind w:firstLine="420" w:firstLineChars="200"/>
        <w:rPr>
          <w:rFonts w:ascii="宋体" w:hAnsi="宋体"/>
          <w:szCs w:val="21"/>
        </w:rPr>
      </w:pPr>
      <w:r>
        <w:rPr>
          <w:rFonts w:hint="eastAsia" w:ascii="宋体" w:hAnsi="宋体"/>
          <w:szCs w:val="21"/>
        </w:rPr>
        <w:t>3．各分支局应指定专人负责在申报表回收的同时开展申报表准确性审核工作。各分支局具体负责调查的工作人员，在调查期间，应及时解决调查中遇到的问题，督导调查对象申报表的填报和回收工作。如发现调查对象数据存在疑问的，应及时与调查对象取得联系，取得调查对象的协助与支持，必要时应进行现场核实，保证调查工作顺利进行。</w:t>
      </w:r>
    </w:p>
    <w:p>
      <w:pPr>
        <w:spacing w:before="31" w:after="31" w:line="360" w:lineRule="auto"/>
        <w:ind w:firstLine="420" w:firstLineChars="200"/>
        <w:rPr>
          <w:rFonts w:ascii="宋体" w:hAnsi="宋体"/>
          <w:szCs w:val="21"/>
        </w:rPr>
      </w:pPr>
      <w:r>
        <w:rPr>
          <w:rFonts w:hint="eastAsia" w:ascii="宋体" w:hAnsi="宋体"/>
          <w:szCs w:val="21"/>
        </w:rPr>
        <w:t>4. 各分支局在审核样本企业填报数据时，除参考</w:t>
      </w:r>
      <w:r>
        <w:rPr>
          <w:rFonts w:hint="eastAsia" w:hAnsi="宋体" w:cs="宋体"/>
        </w:rPr>
        <w:t>贸易信贷抽样调查</w:t>
      </w:r>
      <w:r>
        <w:rPr>
          <w:rFonts w:hint="eastAsia" w:ascii="宋体" w:hAnsi="宋体"/>
          <w:szCs w:val="21"/>
        </w:rPr>
        <w:t>系统设定的差异率指标外，还应根据国际收支申报数据、海关进出口数据及样本企业业务情况综合评估填报数据的准确性，如：填报数据为负值、数据特别大或特别小、环比变动率过大、填报金额与报表要求的币种和计量单位不匹配、单个样本企业填报数据占辖内样本总体填报数据的比例过高等。</w:t>
      </w:r>
    </w:p>
    <w:p>
      <w:pPr>
        <w:spacing w:before="31" w:after="31" w:line="360" w:lineRule="auto"/>
        <w:ind w:firstLine="420" w:firstLineChars="200"/>
        <w:rPr>
          <w:rFonts w:ascii="宋体"/>
          <w:szCs w:val="21"/>
        </w:rPr>
      </w:pPr>
      <w:r>
        <w:rPr>
          <w:rFonts w:hint="eastAsia" w:ascii="宋体" w:hAnsi="宋体"/>
          <w:szCs w:val="21"/>
        </w:rPr>
        <w:t>5. 各分局、外汇管理部应每年就贸易信贷情况提交调查报告。</w:t>
      </w:r>
    </w:p>
    <w:p>
      <w:pPr>
        <w:spacing w:before="31" w:after="31" w:line="360" w:lineRule="auto"/>
        <w:ind w:firstLine="420"/>
        <w:rPr>
          <w:rFonts w:ascii="宋体"/>
          <w:szCs w:val="21"/>
        </w:rPr>
      </w:pPr>
      <w:r>
        <w:rPr>
          <w:rFonts w:hint="eastAsia" w:ascii="宋体"/>
          <w:b/>
          <w:szCs w:val="21"/>
        </w:rPr>
        <w:t>（九）</w:t>
      </w:r>
      <w:r>
        <w:rPr>
          <w:rFonts w:hint="eastAsia" w:ascii="宋体"/>
          <w:szCs w:val="21"/>
        </w:rPr>
        <w:t>国家外汇管理局负责对全国贸易信贷调查实行统一管理，负责制定和修改贸易信贷调查方案及贸易信贷调查表，负责对外汇局分支机构相关工作的培训、指导和检查，汇总、编制全国贸易信贷流量和存量数据。</w:t>
      </w:r>
    </w:p>
    <w:p>
      <w:pPr>
        <w:spacing w:before="31" w:after="31" w:line="360" w:lineRule="auto"/>
        <w:ind w:firstLine="420" w:firstLineChars="200"/>
        <w:rPr>
          <w:rFonts w:ascii="宋体"/>
          <w:szCs w:val="21"/>
        </w:rPr>
      </w:pPr>
      <w:r>
        <w:rPr>
          <w:rFonts w:hint="eastAsia" w:ascii="宋体"/>
          <w:szCs w:val="21"/>
        </w:rPr>
        <w:t>外汇局分支机构负责本辖区的贸易信贷调查工作，包括对调查对象进行培训和指导、采集调查对象申报数据、控制申报数据质量、汇总分析有关数据</w:t>
      </w:r>
      <w:r>
        <w:rPr>
          <w:rFonts w:hint="eastAsia" w:ascii="宋体" w:hAnsi="宋体"/>
          <w:szCs w:val="21"/>
        </w:rPr>
        <w:t>。</w:t>
      </w:r>
    </w:p>
    <w:p>
      <w:pPr>
        <w:spacing w:before="31" w:after="31" w:line="360" w:lineRule="auto"/>
        <w:rPr>
          <w:rFonts w:eastAsia="黑体"/>
          <w:sz w:val="32"/>
        </w:rPr>
      </w:pPr>
      <w:r>
        <w:rPr>
          <w:rFonts w:hint="eastAsia" w:ascii="宋体" w:hAnsi="宋体"/>
          <w:b/>
          <w:szCs w:val="21"/>
        </w:rPr>
        <w:t xml:space="preserve">   （十）</w:t>
      </w:r>
      <w:r>
        <w:rPr>
          <w:rFonts w:hint="eastAsia" w:ascii="宋体"/>
          <w:szCs w:val="21"/>
        </w:rPr>
        <w:t>对于未按照本制度及时、准确、完整填报贸易信贷调查报表的企业，国家外汇管理局及其分支机构应按照《中华人民共和国外汇管理条例》第四十八条、《国际收支统计申报办法》第十七条的规定予以处罚。</w:t>
      </w:r>
      <w:r>
        <w:rPr>
          <w:rFonts w:eastAsia="黑体"/>
          <w:sz w:val="32"/>
        </w:rPr>
        <w:br w:type="page"/>
      </w:r>
    </w:p>
    <w:p>
      <w:pPr>
        <w:spacing w:before="31" w:after="31" w:line="720" w:lineRule="auto"/>
        <w:ind w:right="323"/>
        <w:jc w:val="center"/>
        <w:rPr>
          <w:rFonts w:eastAsia="黑体"/>
          <w:sz w:val="32"/>
        </w:rPr>
      </w:pPr>
      <w:r>
        <w:rPr>
          <w:rFonts w:hint="eastAsia" w:eastAsia="黑体"/>
          <w:sz w:val="32"/>
        </w:rPr>
        <w:t>二、报表目录</w:t>
      </w:r>
    </w:p>
    <w:p>
      <w:pPr>
        <w:spacing w:before="31" w:after="31"/>
        <w:jc w:val="center"/>
        <w:rPr>
          <w:rFonts w:eastAsia="黑体"/>
          <w:sz w:val="32"/>
        </w:rPr>
      </w:pPr>
    </w:p>
    <w:tbl>
      <w:tblPr>
        <w:tblW w:w="8364" w:type="dxa"/>
        <w:tblInd w:w="108"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left w:w="108" w:type="dxa"/>
          <w:right w:w="108" w:type="dxa"/>
        </w:tblCellMar>
      </w:tblPr>
      <w:tblGrid>
        <w:gridCol w:w="709"/>
        <w:gridCol w:w="992"/>
        <w:gridCol w:w="709"/>
        <w:gridCol w:w="1985"/>
        <w:gridCol w:w="992"/>
        <w:gridCol w:w="2410"/>
        <w:gridCol w:w="567"/>
      </w:tblGrid>
      <w:tr>
        <w:trPr>
          <w:trHeight w:val="800" w:hRule="atLeast"/>
        </w:trPr>
        <w:tc>
          <w:tcPr>
            <w:tcW w:w="709" w:type="dxa"/>
            <w:tcBorders>
              <w:top w:val="single" w:color="auto" w:sz="8" w:space="0"/>
              <w:left w:val="nil"/>
              <w:bottom w:val="single" w:color="auto" w:sz="2" w:space="0"/>
              <w:right w:val="single" w:color="auto" w:sz="4" w:space="0"/>
            </w:tcBorders>
            <w:vAlign w:val="center"/>
          </w:tcPr>
          <w:p>
            <w:pPr>
              <w:spacing w:beforeLines="50" w:afterLines="50"/>
              <w:jc w:val="center"/>
              <w:rPr>
                <w:sz w:val="18"/>
              </w:rPr>
            </w:pPr>
            <w:r>
              <w:rPr>
                <w:rFonts w:hint="eastAsia"/>
                <w:sz w:val="18"/>
              </w:rPr>
              <w:t>表号</w:t>
            </w:r>
          </w:p>
        </w:tc>
        <w:tc>
          <w:tcPr>
            <w:tcW w:w="992" w:type="dxa"/>
            <w:tcBorders>
              <w:top w:val="single" w:color="auto" w:sz="8" w:space="0"/>
              <w:left w:val="single" w:color="auto" w:sz="4" w:space="0"/>
              <w:bottom w:val="single" w:color="auto" w:sz="2" w:space="0"/>
              <w:right w:val="single" w:color="auto" w:sz="4" w:space="0"/>
            </w:tcBorders>
            <w:vAlign w:val="center"/>
          </w:tcPr>
          <w:p>
            <w:pPr>
              <w:spacing w:beforeLines="50" w:afterLines="50"/>
              <w:jc w:val="center"/>
              <w:rPr>
                <w:sz w:val="18"/>
              </w:rPr>
            </w:pPr>
            <w:r>
              <w:rPr>
                <w:rFonts w:hint="eastAsia"/>
                <w:sz w:val="18"/>
              </w:rPr>
              <w:t>表名</w:t>
            </w:r>
          </w:p>
        </w:tc>
        <w:tc>
          <w:tcPr>
            <w:tcW w:w="709" w:type="dxa"/>
            <w:tcBorders>
              <w:top w:val="single" w:color="auto" w:sz="8" w:space="0"/>
              <w:left w:val="single" w:color="auto" w:sz="4" w:space="0"/>
              <w:bottom w:val="single" w:color="auto" w:sz="2" w:space="0"/>
              <w:right w:val="single" w:color="auto" w:sz="4" w:space="0"/>
            </w:tcBorders>
            <w:vAlign w:val="center"/>
          </w:tcPr>
          <w:p>
            <w:pPr>
              <w:spacing w:beforeLines="50" w:afterLines="50"/>
              <w:jc w:val="center"/>
              <w:rPr>
                <w:sz w:val="18"/>
              </w:rPr>
            </w:pPr>
            <w:r>
              <w:rPr>
                <w:rFonts w:hint="eastAsia"/>
                <w:sz w:val="18"/>
              </w:rPr>
              <w:t>报告期别</w:t>
            </w:r>
          </w:p>
        </w:tc>
        <w:tc>
          <w:tcPr>
            <w:tcW w:w="1985" w:type="dxa"/>
            <w:tcBorders>
              <w:top w:val="single" w:color="auto" w:sz="8" w:space="0"/>
              <w:left w:val="single" w:color="auto" w:sz="4" w:space="0"/>
              <w:bottom w:val="single" w:color="auto" w:sz="2" w:space="0"/>
              <w:right w:val="single" w:color="auto" w:sz="4" w:space="0"/>
            </w:tcBorders>
            <w:vAlign w:val="center"/>
          </w:tcPr>
          <w:p>
            <w:pPr>
              <w:spacing w:beforeLines="50" w:afterLines="50"/>
              <w:jc w:val="center"/>
              <w:rPr>
                <w:sz w:val="18"/>
              </w:rPr>
            </w:pPr>
            <w:r>
              <w:rPr>
                <w:rFonts w:hint="eastAsia"/>
                <w:sz w:val="18"/>
              </w:rPr>
              <w:t>填报口径</w:t>
            </w:r>
          </w:p>
        </w:tc>
        <w:tc>
          <w:tcPr>
            <w:tcW w:w="992" w:type="dxa"/>
            <w:tcBorders>
              <w:top w:val="single" w:color="auto" w:sz="8" w:space="0"/>
              <w:left w:val="single" w:color="auto" w:sz="4" w:space="0"/>
              <w:bottom w:val="single" w:color="auto" w:sz="2" w:space="0"/>
              <w:right w:val="single" w:color="auto" w:sz="4" w:space="0"/>
            </w:tcBorders>
            <w:vAlign w:val="center"/>
          </w:tcPr>
          <w:p>
            <w:pPr>
              <w:spacing w:beforeLines="50" w:afterLines="50"/>
              <w:jc w:val="center"/>
              <w:rPr>
                <w:sz w:val="18"/>
              </w:rPr>
            </w:pPr>
            <w:r>
              <w:rPr>
                <w:rFonts w:hint="eastAsia"/>
                <w:sz w:val="18"/>
              </w:rPr>
              <w:t>报送单位</w:t>
            </w:r>
          </w:p>
        </w:tc>
        <w:tc>
          <w:tcPr>
            <w:tcW w:w="2410" w:type="dxa"/>
            <w:tcBorders>
              <w:top w:val="single" w:color="auto" w:sz="8" w:space="0"/>
              <w:left w:val="single" w:color="auto" w:sz="4" w:space="0"/>
              <w:bottom w:val="single" w:color="auto" w:sz="2" w:space="0"/>
              <w:right w:val="single" w:color="auto" w:sz="4" w:space="0"/>
            </w:tcBorders>
            <w:vAlign w:val="center"/>
          </w:tcPr>
          <w:p>
            <w:pPr>
              <w:spacing w:beforeLines="50" w:afterLines="50"/>
              <w:jc w:val="center"/>
              <w:rPr>
                <w:sz w:val="18"/>
              </w:rPr>
            </w:pPr>
            <w:r>
              <w:rPr>
                <w:rFonts w:hint="eastAsia"/>
                <w:sz w:val="18"/>
              </w:rPr>
              <w:t>报送日期及方式</w:t>
            </w:r>
          </w:p>
        </w:tc>
        <w:tc>
          <w:tcPr>
            <w:tcW w:w="567" w:type="dxa"/>
            <w:tcBorders>
              <w:top w:val="single" w:color="auto" w:sz="8" w:space="0"/>
              <w:left w:val="single" w:color="auto" w:sz="4" w:space="0"/>
              <w:bottom w:val="single" w:color="auto" w:sz="2" w:space="0"/>
              <w:right w:val="nil"/>
            </w:tcBorders>
            <w:vAlign w:val="center"/>
          </w:tcPr>
          <w:p>
            <w:pPr>
              <w:spacing w:beforeLines="50" w:afterLines="50"/>
              <w:jc w:val="center"/>
              <w:rPr>
                <w:sz w:val="18"/>
              </w:rPr>
            </w:pPr>
            <w:r>
              <w:rPr>
                <w:rFonts w:hint="eastAsia"/>
                <w:sz w:val="18"/>
              </w:rPr>
              <w:t>页码</w:t>
            </w:r>
          </w:p>
        </w:tc>
      </w:tr>
      <w:tr>
        <w:trPr>
          <w:trHeight w:val="637" w:hRule="atLeast"/>
        </w:trPr>
        <w:tc>
          <w:tcPr>
            <w:tcW w:w="709" w:type="dxa"/>
            <w:tcBorders>
              <w:top w:val="single" w:color="auto" w:sz="2" w:space="0"/>
              <w:left w:val="nil"/>
              <w:bottom w:val="single" w:color="auto" w:sz="2" w:space="0"/>
              <w:right w:val="single" w:color="auto" w:sz="2" w:space="0"/>
            </w:tcBorders>
            <w:vAlign w:val="center"/>
          </w:tcPr>
          <w:p>
            <w:pPr>
              <w:spacing w:beforeLines="50" w:afterLines="50" w:line="190" w:lineRule="exact"/>
              <w:jc w:val="center"/>
              <w:rPr>
                <w:rFonts w:ascii="宋体" w:hAnsi="宋体"/>
                <w:sz w:val="18"/>
              </w:rPr>
            </w:pPr>
            <w:r>
              <w:rPr>
                <w:rFonts w:hint="eastAsia" w:ascii="宋体" w:hAnsi="宋体"/>
                <w:sz w:val="18"/>
              </w:rPr>
              <w:t>T0</w:t>
            </w:r>
            <w:r>
              <w:rPr>
                <w:rFonts w:ascii="宋体" w:hAnsi="宋体"/>
                <w:sz w:val="18"/>
              </w:rPr>
              <w:t>1</w:t>
            </w:r>
            <w:r>
              <w:rPr>
                <w:rFonts w:hint="eastAsia" w:ascii="宋体" w:hAnsi="宋体"/>
                <w:sz w:val="18"/>
              </w:rPr>
              <w:t>表</w:t>
            </w:r>
          </w:p>
        </w:tc>
        <w:tc>
          <w:tcPr>
            <w:tcW w:w="992" w:type="dxa"/>
            <w:tcBorders>
              <w:top w:val="single" w:color="auto" w:sz="2" w:space="0"/>
              <w:left w:val="single" w:color="auto" w:sz="2" w:space="0"/>
              <w:bottom w:val="single" w:color="auto" w:sz="2" w:space="0"/>
              <w:right w:val="single" w:color="auto" w:sz="2" w:space="0"/>
            </w:tcBorders>
            <w:vAlign w:val="center"/>
          </w:tcPr>
          <w:p>
            <w:pPr>
              <w:pStyle w:val="14"/>
              <w:spacing w:beforeLines="50" w:afterLines="50" w:line="190" w:lineRule="exact"/>
              <w:jc w:val="center"/>
              <w:rPr>
                <w:rFonts w:ascii="宋体" w:hAnsi="宋体"/>
              </w:rPr>
            </w:pPr>
            <w:r>
              <w:rPr>
                <w:rFonts w:hint="eastAsia" w:ascii="宋体" w:hAnsi="宋体"/>
              </w:rPr>
              <w:t>调查对象单位基本信息情况表</w:t>
            </w:r>
          </w:p>
        </w:tc>
        <w:tc>
          <w:tcPr>
            <w:tcW w:w="709" w:type="dxa"/>
            <w:tcBorders>
              <w:top w:val="single" w:color="auto" w:sz="2" w:space="0"/>
              <w:left w:val="single" w:color="auto" w:sz="2" w:space="0"/>
              <w:bottom w:val="single" w:color="auto" w:sz="2" w:space="0"/>
              <w:right w:val="single" w:color="auto" w:sz="2" w:space="0"/>
            </w:tcBorders>
            <w:vAlign w:val="center"/>
          </w:tcPr>
          <w:p>
            <w:pPr>
              <w:spacing w:beforeLines="50" w:afterLines="50"/>
              <w:jc w:val="center"/>
            </w:pPr>
            <w:r>
              <w:rPr>
                <w:rFonts w:hint="eastAsia" w:ascii="宋体" w:hAnsi="宋体"/>
                <w:sz w:val="18"/>
                <w:szCs w:val="18"/>
              </w:rPr>
              <w:t>年报</w:t>
            </w:r>
          </w:p>
        </w:tc>
        <w:tc>
          <w:tcPr>
            <w:tcW w:w="1985" w:type="dxa"/>
            <w:tcBorders>
              <w:top w:val="single" w:color="auto" w:sz="2" w:space="0"/>
              <w:left w:val="single" w:color="auto" w:sz="2" w:space="0"/>
              <w:bottom w:val="single" w:color="auto" w:sz="2" w:space="0"/>
              <w:right w:val="single" w:color="auto" w:sz="2" w:space="0"/>
            </w:tcBorders>
            <w:vAlign w:val="center"/>
          </w:tcPr>
          <w:p>
            <w:pPr>
              <w:spacing w:beforeLines="50" w:afterLines="50"/>
              <w:jc w:val="center"/>
              <w:rPr>
                <w:rFonts w:ascii="宋体" w:hAnsi="宋体"/>
                <w:sz w:val="18"/>
                <w:szCs w:val="18"/>
              </w:rPr>
            </w:pPr>
            <w:r>
              <w:rPr>
                <w:rFonts w:hint="eastAsia" w:ascii="宋体" w:hAnsi="宋体"/>
                <w:sz w:val="18"/>
                <w:szCs w:val="18"/>
              </w:rPr>
              <w:t>调查对象基本信息</w:t>
            </w:r>
          </w:p>
        </w:tc>
        <w:tc>
          <w:tcPr>
            <w:tcW w:w="992" w:type="dxa"/>
            <w:tcBorders>
              <w:top w:val="single" w:color="auto" w:sz="2" w:space="0"/>
              <w:left w:val="single" w:color="auto" w:sz="2" w:space="0"/>
              <w:bottom w:val="single" w:color="auto" w:sz="2" w:space="0"/>
              <w:right w:val="single" w:color="auto" w:sz="2" w:space="0"/>
            </w:tcBorders>
            <w:vAlign w:val="center"/>
          </w:tcPr>
          <w:p>
            <w:pPr>
              <w:spacing w:beforeLines="50" w:afterLines="50"/>
              <w:jc w:val="center"/>
              <w:rPr>
                <w:rFonts w:ascii="宋体" w:hAnsi="宋体"/>
                <w:sz w:val="18"/>
                <w:szCs w:val="18"/>
              </w:rPr>
            </w:pPr>
            <w:r>
              <w:rPr>
                <w:rFonts w:hint="eastAsia" w:ascii="宋体" w:hAnsi="宋体"/>
                <w:sz w:val="18"/>
                <w:szCs w:val="18"/>
              </w:rPr>
              <w:t>各法人企业、产业活动单位</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Lines="50" w:afterLines="50"/>
              <w:jc w:val="center"/>
              <w:rPr>
                <w:rFonts w:ascii="宋体" w:hAnsi="宋体"/>
                <w:sz w:val="18"/>
                <w:szCs w:val="18"/>
              </w:rPr>
            </w:pPr>
            <w:r>
              <w:rPr>
                <w:rFonts w:hint="eastAsia" w:ascii="宋体" w:hAnsi="宋体"/>
                <w:sz w:val="18"/>
                <w:szCs w:val="18"/>
              </w:rPr>
              <w:t>样本企业按规定时间在电子系统中填报数据后，各分支局核查后于年后20日内向国家外汇管理局报送。</w:t>
            </w:r>
          </w:p>
        </w:tc>
        <w:tc>
          <w:tcPr>
            <w:tcW w:w="567" w:type="dxa"/>
            <w:tcBorders>
              <w:top w:val="single" w:color="auto" w:sz="2" w:space="0"/>
              <w:left w:val="single" w:color="auto" w:sz="2" w:space="0"/>
              <w:bottom w:val="single" w:color="auto" w:sz="2" w:space="0"/>
              <w:right w:val="nil"/>
            </w:tcBorders>
            <w:vAlign w:val="center"/>
          </w:tcPr>
          <w:p>
            <w:pPr>
              <w:spacing w:beforeLines="50" w:afterLines="50" w:line="190" w:lineRule="exact"/>
              <w:jc w:val="center"/>
              <w:rPr>
                <w:rFonts w:ascii="宋体" w:hAnsi="宋体"/>
                <w:sz w:val="18"/>
              </w:rPr>
            </w:pPr>
            <w:r>
              <w:rPr>
                <w:rFonts w:hint="eastAsia" w:ascii="宋体" w:hAnsi="宋体"/>
                <w:sz w:val="18"/>
              </w:rPr>
              <w:t>5</w:t>
            </w:r>
          </w:p>
        </w:tc>
      </w:tr>
      <w:tr>
        <w:trPr>
          <w:trHeight w:val="719" w:hRule="atLeast"/>
        </w:trPr>
        <w:tc>
          <w:tcPr>
            <w:tcW w:w="709" w:type="dxa"/>
            <w:tcBorders>
              <w:top w:val="single" w:color="auto" w:sz="2" w:space="0"/>
              <w:left w:val="nil"/>
              <w:bottom w:val="single" w:color="auto" w:sz="2" w:space="0"/>
              <w:right w:val="single" w:color="auto" w:sz="2" w:space="0"/>
            </w:tcBorders>
            <w:vAlign w:val="center"/>
          </w:tcPr>
          <w:p>
            <w:pPr>
              <w:spacing w:beforeLines="50" w:afterLines="50" w:line="190" w:lineRule="exact"/>
              <w:jc w:val="center"/>
              <w:rPr>
                <w:rFonts w:ascii="宋体" w:hAnsi="宋体"/>
                <w:sz w:val="18"/>
              </w:rPr>
            </w:pPr>
            <w:r>
              <w:rPr>
                <w:rFonts w:hint="eastAsia" w:ascii="宋体" w:hAnsi="宋体"/>
                <w:sz w:val="18"/>
              </w:rPr>
              <w:t>T02表</w:t>
            </w:r>
          </w:p>
        </w:tc>
        <w:tc>
          <w:tcPr>
            <w:tcW w:w="992" w:type="dxa"/>
            <w:tcBorders>
              <w:top w:val="single" w:color="auto" w:sz="2" w:space="0"/>
              <w:left w:val="single" w:color="auto" w:sz="2" w:space="0"/>
              <w:bottom w:val="single" w:color="auto" w:sz="2" w:space="0"/>
              <w:right w:val="single" w:color="auto" w:sz="2" w:space="0"/>
            </w:tcBorders>
            <w:vAlign w:val="center"/>
          </w:tcPr>
          <w:p>
            <w:pPr>
              <w:spacing w:beforeLines="50" w:afterLines="50" w:line="190" w:lineRule="exact"/>
              <w:jc w:val="center"/>
              <w:rPr>
                <w:rFonts w:ascii="宋体" w:hAnsi="宋体"/>
                <w:sz w:val="18"/>
              </w:rPr>
            </w:pPr>
            <w:r>
              <w:rPr>
                <w:rFonts w:hint="eastAsia" w:ascii="宋体" w:hAnsi="宋体"/>
                <w:sz w:val="18"/>
                <w:szCs w:val="18"/>
              </w:rPr>
              <w:t>出口样本企业贸易信贷申报表</w:t>
            </w:r>
          </w:p>
        </w:tc>
        <w:tc>
          <w:tcPr>
            <w:tcW w:w="709" w:type="dxa"/>
            <w:tcBorders>
              <w:top w:val="single" w:color="auto" w:sz="2" w:space="0"/>
              <w:left w:val="single" w:color="auto" w:sz="2" w:space="0"/>
              <w:bottom w:val="single" w:color="auto" w:sz="2" w:space="0"/>
              <w:right w:val="single" w:color="auto" w:sz="2" w:space="0"/>
            </w:tcBorders>
            <w:vAlign w:val="center"/>
          </w:tcPr>
          <w:p>
            <w:pPr>
              <w:spacing w:beforeLines="50" w:afterLines="50"/>
              <w:jc w:val="center"/>
            </w:pPr>
            <w:r>
              <w:rPr>
                <w:rFonts w:hint="eastAsia" w:ascii="宋体" w:hAnsi="宋体"/>
                <w:sz w:val="18"/>
                <w:szCs w:val="18"/>
              </w:rPr>
              <w:t>月报</w:t>
            </w:r>
          </w:p>
        </w:tc>
        <w:tc>
          <w:tcPr>
            <w:tcW w:w="1985" w:type="dxa"/>
            <w:tcBorders>
              <w:top w:val="single" w:color="auto" w:sz="2" w:space="0"/>
              <w:left w:val="single" w:color="auto" w:sz="2" w:space="0"/>
              <w:bottom w:val="single" w:color="auto" w:sz="2" w:space="0"/>
              <w:right w:val="single" w:color="auto" w:sz="2" w:space="0"/>
            </w:tcBorders>
            <w:vAlign w:val="center"/>
          </w:tcPr>
          <w:p>
            <w:pPr>
              <w:spacing w:beforeLines="50" w:afterLines="50"/>
              <w:jc w:val="center"/>
              <w:rPr>
                <w:rFonts w:ascii="宋体" w:hAnsi="宋体"/>
                <w:sz w:val="18"/>
                <w:szCs w:val="18"/>
              </w:rPr>
            </w:pPr>
            <w:r>
              <w:rPr>
                <w:rFonts w:hint="eastAsia" w:ascii="宋体" w:hAnsi="宋体"/>
                <w:sz w:val="18"/>
                <w:szCs w:val="18"/>
              </w:rPr>
              <w:t>出口样本企业当期出</w:t>
            </w:r>
            <w:r>
              <w:rPr>
                <w:rFonts w:ascii="宋体" w:hAnsi="宋体"/>
                <w:sz w:val="18"/>
                <w:szCs w:val="18"/>
              </w:rPr>
              <w:t>口总</w:t>
            </w:r>
            <w:r>
              <w:rPr>
                <w:rFonts w:hint="eastAsia" w:ascii="宋体" w:hAnsi="宋体"/>
                <w:sz w:val="18"/>
                <w:szCs w:val="18"/>
              </w:rPr>
              <w:t>额、当期收到的出口货款金额、期末账面出口应收款余额、期末账面出口预收款余额等</w:t>
            </w:r>
          </w:p>
        </w:tc>
        <w:tc>
          <w:tcPr>
            <w:tcW w:w="992" w:type="dxa"/>
            <w:tcBorders>
              <w:top w:val="single" w:color="auto" w:sz="2" w:space="0"/>
              <w:left w:val="single" w:color="auto" w:sz="2" w:space="0"/>
              <w:bottom w:val="single" w:color="auto" w:sz="2" w:space="0"/>
              <w:right w:val="single" w:color="auto" w:sz="2" w:space="0"/>
            </w:tcBorders>
            <w:vAlign w:val="center"/>
          </w:tcPr>
          <w:p>
            <w:pPr>
              <w:spacing w:beforeLines="50" w:afterLines="50"/>
              <w:jc w:val="center"/>
              <w:rPr>
                <w:rFonts w:ascii="宋体" w:hAnsi="宋体"/>
                <w:sz w:val="18"/>
                <w:szCs w:val="18"/>
              </w:rPr>
            </w:pPr>
            <w:r>
              <w:rPr>
                <w:rFonts w:hint="eastAsia" w:ascii="宋体" w:hAnsi="宋体"/>
                <w:sz w:val="18"/>
                <w:szCs w:val="18"/>
              </w:rPr>
              <w:t>各法人企业、产业活动单位</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Lines="50" w:afterLines="50"/>
              <w:jc w:val="center"/>
              <w:rPr>
                <w:rFonts w:ascii="宋体" w:hAnsi="宋体"/>
                <w:sz w:val="18"/>
                <w:szCs w:val="18"/>
              </w:rPr>
            </w:pPr>
            <w:r>
              <w:rPr>
                <w:rFonts w:hint="eastAsia" w:ascii="宋体" w:hAnsi="宋体"/>
                <w:sz w:val="18"/>
                <w:szCs w:val="18"/>
              </w:rPr>
              <w:t>样本企业按规定时间在电子系统中填报数据后，各分支局核查后于月后20日内向国家外汇管理局报送。</w:t>
            </w:r>
          </w:p>
        </w:tc>
        <w:tc>
          <w:tcPr>
            <w:tcW w:w="567" w:type="dxa"/>
            <w:tcBorders>
              <w:top w:val="single" w:color="auto" w:sz="2" w:space="0"/>
              <w:left w:val="single" w:color="auto" w:sz="2" w:space="0"/>
              <w:bottom w:val="single" w:color="auto" w:sz="2" w:space="0"/>
              <w:right w:val="nil"/>
            </w:tcBorders>
            <w:vAlign w:val="center"/>
          </w:tcPr>
          <w:p>
            <w:pPr>
              <w:spacing w:beforeLines="50" w:afterLines="50" w:line="190" w:lineRule="exact"/>
              <w:jc w:val="center"/>
              <w:rPr>
                <w:rFonts w:ascii="宋体" w:hAnsi="宋体"/>
                <w:sz w:val="18"/>
              </w:rPr>
            </w:pPr>
            <w:r>
              <w:rPr>
                <w:rFonts w:hint="eastAsia" w:ascii="宋体" w:hAnsi="宋体"/>
                <w:sz w:val="18"/>
              </w:rPr>
              <w:t>6</w:t>
            </w:r>
          </w:p>
        </w:tc>
      </w:tr>
      <w:tr>
        <w:trPr>
          <w:trHeight w:val="530" w:hRule="atLeast"/>
        </w:trPr>
        <w:tc>
          <w:tcPr>
            <w:tcW w:w="709" w:type="dxa"/>
            <w:tcBorders>
              <w:top w:val="single" w:color="auto" w:sz="2" w:space="0"/>
              <w:left w:val="nil"/>
              <w:bottom w:val="single" w:color="auto" w:sz="2" w:space="0"/>
              <w:right w:val="single" w:color="auto" w:sz="2" w:space="0"/>
            </w:tcBorders>
            <w:vAlign w:val="center"/>
          </w:tcPr>
          <w:p>
            <w:pPr>
              <w:spacing w:beforeLines="50" w:afterLines="50"/>
              <w:jc w:val="center"/>
              <w:rPr>
                <w:sz w:val="18"/>
              </w:rPr>
            </w:pPr>
            <w:r>
              <w:rPr>
                <w:rFonts w:hint="eastAsia" w:ascii="宋体" w:hAnsi="宋体"/>
                <w:sz w:val="18"/>
              </w:rPr>
              <w:t>T03表</w:t>
            </w:r>
          </w:p>
        </w:tc>
        <w:tc>
          <w:tcPr>
            <w:tcW w:w="992" w:type="dxa"/>
            <w:tcBorders>
              <w:top w:val="single" w:color="auto" w:sz="2" w:space="0"/>
              <w:left w:val="single" w:color="auto" w:sz="2" w:space="0"/>
              <w:bottom w:val="single" w:color="auto" w:sz="2" w:space="0"/>
              <w:right w:val="single" w:color="auto" w:sz="2" w:space="0"/>
            </w:tcBorders>
            <w:vAlign w:val="center"/>
          </w:tcPr>
          <w:p>
            <w:pPr>
              <w:spacing w:beforeLines="50" w:afterLines="50"/>
              <w:jc w:val="center"/>
              <w:rPr>
                <w:sz w:val="18"/>
              </w:rPr>
            </w:pPr>
            <w:r>
              <w:rPr>
                <w:rFonts w:hint="eastAsia" w:ascii="宋体" w:hAnsi="宋体"/>
                <w:sz w:val="18"/>
                <w:szCs w:val="18"/>
              </w:rPr>
              <w:t>进口样本企业贸易信贷申报表</w:t>
            </w:r>
          </w:p>
        </w:tc>
        <w:tc>
          <w:tcPr>
            <w:tcW w:w="709" w:type="dxa"/>
            <w:tcBorders>
              <w:top w:val="single" w:color="auto" w:sz="2" w:space="0"/>
              <w:left w:val="single" w:color="auto" w:sz="2" w:space="0"/>
              <w:bottom w:val="single" w:color="auto" w:sz="2" w:space="0"/>
              <w:right w:val="single" w:color="auto" w:sz="2" w:space="0"/>
            </w:tcBorders>
            <w:vAlign w:val="center"/>
          </w:tcPr>
          <w:p>
            <w:pPr>
              <w:spacing w:beforeLines="50" w:afterLines="50"/>
              <w:jc w:val="center"/>
            </w:pPr>
            <w:r>
              <w:rPr>
                <w:rFonts w:hint="eastAsia" w:ascii="宋体" w:hAnsi="宋体"/>
                <w:sz w:val="18"/>
                <w:szCs w:val="18"/>
              </w:rPr>
              <w:t>月报</w:t>
            </w:r>
          </w:p>
        </w:tc>
        <w:tc>
          <w:tcPr>
            <w:tcW w:w="1985" w:type="dxa"/>
            <w:tcBorders>
              <w:top w:val="single" w:color="auto" w:sz="2" w:space="0"/>
              <w:left w:val="single" w:color="auto" w:sz="2" w:space="0"/>
              <w:bottom w:val="single" w:color="auto" w:sz="2" w:space="0"/>
              <w:right w:val="single" w:color="auto" w:sz="2" w:space="0"/>
            </w:tcBorders>
            <w:vAlign w:val="center"/>
          </w:tcPr>
          <w:p>
            <w:pPr>
              <w:spacing w:beforeLines="50" w:afterLines="50"/>
              <w:jc w:val="center"/>
              <w:rPr>
                <w:rFonts w:ascii="宋体" w:hAnsi="宋体"/>
                <w:sz w:val="18"/>
                <w:szCs w:val="18"/>
              </w:rPr>
            </w:pPr>
            <w:r>
              <w:rPr>
                <w:rFonts w:hint="eastAsia" w:ascii="宋体" w:hAnsi="宋体"/>
                <w:sz w:val="18"/>
                <w:szCs w:val="18"/>
              </w:rPr>
              <w:t>进口样本企业当期</w:t>
            </w:r>
            <w:r>
              <w:rPr>
                <w:rFonts w:ascii="宋体" w:hAnsi="宋体"/>
                <w:sz w:val="18"/>
                <w:szCs w:val="18"/>
              </w:rPr>
              <w:t>进口总</w:t>
            </w:r>
            <w:r>
              <w:rPr>
                <w:rFonts w:hint="eastAsia" w:ascii="宋体" w:hAnsi="宋体"/>
                <w:sz w:val="18"/>
                <w:szCs w:val="18"/>
              </w:rPr>
              <w:t>额、当期支付的进口货款金额、期末账面进口应付款余额、期末账面进口预付款余额等</w:t>
            </w:r>
          </w:p>
        </w:tc>
        <w:tc>
          <w:tcPr>
            <w:tcW w:w="992" w:type="dxa"/>
            <w:tcBorders>
              <w:top w:val="single" w:color="auto" w:sz="2" w:space="0"/>
              <w:left w:val="single" w:color="auto" w:sz="2" w:space="0"/>
              <w:bottom w:val="single" w:color="auto" w:sz="2" w:space="0"/>
              <w:right w:val="single" w:color="auto" w:sz="2" w:space="0"/>
            </w:tcBorders>
            <w:vAlign w:val="center"/>
          </w:tcPr>
          <w:p>
            <w:pPr>
              <w:spacing w:beforeLines="50" w:afterLines="50"/>
              <w:jc w:val="center"/>
              <w:rPr>
                <w:rFonts w:ascii="宋体" w:hAnsi="宋体"/>
                <w:sz w:val="18"/>
                <w:szCs w:val="18"/>
              </w:rPr>
            </w:pPr>
            <w:r>
              <w:rPr>
                <w:rFonts w:hint="eastAsia" w:ascii="宋体" w:hAnsi="宋体"/>
                <w:sz w:val="18"/>
                <w:szCs w:val="18"/>
              </w:rPr>
              <w:t>各法人企业、产业活动单位</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Lines="50" w:afterLines="50"/>
              <w:jc w:val="center"/>
              <w:rPr>
                <w:rFonts w:ascii="宋体" w:hAnsi="宋体"/>
                <w:sz w:val="18"/>
                <w:szCs w:val="18"/>
              </w:rPr>
            </w:pPr>
            <w:r>
              <w:rPr>
                <w:rFonts w:hint="eastAsia" w:ascii="宋体" w:hAnsi="宋体"/>
                <w:sz w:val="18"/>
                <w:szCs w:val="18"/>
              </w:rPr>
              <w:t>样本企业按规定时间在电子系统中填报数据后，各分支局核查后于月后20日内向国家外汇管理局报送。</w:t>
            </w:r>
          </w:p>
        </w:tc>
        <w:tc>
          <w:tcPr>
            <w:tcW w:w="567" w:type="dxa"/>
            <w:tcBorders>
              <w:top w:val="single" w:color="auto" w:sz="2" w:space="0"/>
              <w:left w:val="single" w:color="auto" w:sz="2" w:space="0"/>
              <w:bottom w:val="single" w:color="auto" w:sz="2" w:space="0"/>
              <w:right w:val="nil"/>
            </w:tcBorders>
            <w:vAlign w:val="center"/>
          </w:tcPr>
          <w:p>
            <w:pPr>
              <w:spacing w:beforeLines="50" w:afterLines="50"/>
              <w:jc w:val="center"/>
              <w:rPr>
                <w:sz w:val="18"/>
              </w:rPr>
            </w:pPr>
            <w:r>
              <w:rPr>
                <w:rFonts w:hint="eastAsia"/>
                <w:sz w:val="18"/>
              </w:rPr>
              <w:t>7</w:t>
            </w:r>
          </w:p>
        </w:tc>
      </w:tr>
    </w:tbl>
    <w:p>
      <w:pPr>
        <w:spacing w:before="31" w:after="31"/>
        <w:ind w:left="-567" w:leftChars="-270" w:right="-197" w:rightChars="-94"/>
      </w:pPr>
    </w:p>
    <w:p>
      <w:pPr>
        <w:spacing w:before="31" w:after="31" w:line="720" w:lineRule="auto"/>
        <w:ind w:right="323"/>
        <w:jc w:val="center"/>
        <w:rPr>
          <w:rFonts w:ascii="黑体" w:eastAsia="黑体"/>
          <w:sz w:val="32"/>
          <w:szCs w:val="32"/>
        </w:rPr>
      </w:pPr>
    </w:p>
    <w:p>
      <w:pPr>
        <w:spacing w:before="31" w:after="31" w:line="720" w:lineRule="auto"/>
        <w:jc w:val="center"/>
        <w:rPr>
          <w:rFonts w:ascii="黑体" w:hAnsi="宋体" w:eastAsia="黑体"/>
          <w:sz w:val="32"/>
          <w:szCs w:val="32"/>
        </w:rPr>
      </w:pPr>
      <w:r>
        <w:rPr>
          <w:rFonts w:ascii="黑体" w:eastAsia="黑体"/>
          <w:sz w:val="32"/>
          <w:szCs w:val="32"/>
        </w:rPr>
        <w:br w:type="page"/>
      </w:r>
      <w:r>
        <w:rPr>
          <w:rFonts w:hint="eastAsia" w:ascii="黑体" w:hAnsi="宋体" w:eastAsia="黑体"/>
          <w:sz w:val="32"/>
          <w:szCs w:val="32"/>
        </w:rPr>
        <w:t>三、调 查 表 式</w:t>
      </w:r>
    </w:p>
    <w:p>
      <w:pPr>
        <w:pStyle w:val="9"/>
        <w:spacing w:before="31" w:after="31"/>
        <w:jc w:val="right"/>
        <w:rPr>
          <w:rFonts w:ascii="宋体" w:eastAsia="宋体"/>
          <w:color w:val="auto"/>
          <w:sz w:val="18"/>
          <w:szCs w:val="18"/>
        </w:rPr>
      </w:pPr>
    </w:p>
    <w:p>
      <w:pPr>
        <w:widowControl/>
        <w:spacing w:before="31" w:after="31" w:line="240" w:lineRule="auto"/>
        <w:ind w:left="283" w:leftChars="135"/>
        <w:jc w:val="center"/>
        <w:rPr>
          <w:rFonts w:ascii="宋体" w:hAnsi="宋体" w:eastAsia="宋体" w:cs="宋体"/>
          <w:bCs/>
          <w:kern w:val="0"/>
          <w:sz w:val="32"/>
          <w:szCs w:val="32"/>
        </w:rPr>
      </w:pPr>
      <w:r>
        <w:rPr>
          <w:rFonts w:hint="eastAsia" w:ascii="宋体" w:hAnsi="宋体" w:eastAsia="宋体"/>
          <w:sz w:val="32"/>
          <w:szCs w:val="32"/>
        </w:rPr>
        <w:t>（一）</w:t>
      </w:r>
      <w:r>
        <w:rPr>
          <w:rFonts w:hint="eastAsia" w:ascii="宋体" w:hAnsi="宋体" w:eastAsia="宋体" w:cs="宋体"/>
          <w:bCs/>
          <w:kern w:val="0"/>
          <w:sz w:val="32"/>
          <w:szCs w:val="32"/>
        </w:rPr>
        <w:t>调查对象单位基本信息情况表</w:t>
      </w:r>
    </w:p>
    <w:p>
      <w:pPr>
        <w:widowControl/>
        <w:spacing w:before="31" w:after="31"/>
        <w:ind w:left="283" w:leftChars="135"/>
        <w:jc w:val="center"/>
        <w:rPr>
          <w:rFonts w:ascii="宋体" w:hAnsi="宋体" w:eastAsia="宋体" w:cs="宋体"/>
          <w:bCs/>
          <w:kern w:val="0"/>
          <w:sz w:val="32"/>
          <w:szCs w:val="32"/>
        </w:rPr>
      </w:pPr>
    </w:p>
    <w:p>
      <w:pPr>
        <w:spacing w:before="31" w:after="31"/>
        <w:ind w:right="360"/>
        <w:jc w:val="left"/>
        <w:rPr>
          <w:sz w:val="18"/>
        </w:rPr>
      </w:pPr>
      <w:r>
        <w:rPr>
          <w:rFonts w:hint="eastAsia"/>
          <w:sz w:val="18"/>
        </w:rPr>
        <w:t xml:space="preserve">                                                                  表    号：</w:t>
      </w:r>
      <w:r>
        <w:rPr>
          <w:rFonts w:hint="eastAsia" w:ascii="宋体" w:hAnsi="宋体" w:cs="宋体"/>
          <w:kern w:val="0"/>
          <w:sz w:val="18"/>
          <w:szCs w:val="18"/>
        </w:rPr>
        <w:t>T01表</w:t>
      </w:r>
    </w:p>
    <w:p>
      <w:pPr>
        <w:tabs>
          <w:tab w:val="left" w:pos="7088"/>
        </w:tabs>
        <w:spacing w:before="31" w:after="31"/>
        <w:jc w:val="left"/>
        <w:rPr>
          <w:sz w:val="18"/>
        </w:rPr>
      </w:pPr>
      <w:r>
        <w:rPr>
          <w:rFonts w:hint="eastAsia"/>
          <w:sz w:val="18"/>
        </w:rPr>
        <w:t xml:space="preserve">                                                                  制定机关：国家外汇管理局</w:t>
      </w:r>
    </w:p>
    <w:p>
      <w:pPr>
        <w:spacing w:before="31" w:after="31"/>
        <w:ind w:right="-36" w:rightChars="-17"/>
        <w:jc w:val="left"/>
        <w:rPr>
          <w:sz w:val="18"/>
        </w:rPr>
      </w:pPr>
      <w:r>
        <w:rPr>
          <w:rFonts w:hint="eastAsia"/>
          <w:sz w:val="18"/>
        </w:rPr>
        <w:t xml:space="preserve">                                                                  批准机关：国家统计局</w:t>
      </w:r>
    </w:p>
    <w:p>
      <w:pPr>
        <w:wordWrap w:val="0"/>
        <w:spacing w:before="31" w:after="31"/>
        <w:jc w:val="left"/>
        <w:rPr>
          <w:rFonts w:ascii="宋体" w:hAnsi="宋体" w:cs="宋体"/>
          <w:kern w:val="0"/>
          <w:sz w:val="18"/>
          <w:szCs w:val="18"/>
        </w:rPr>
      </w:pPr>
      <w:r>
        <w:rPr>
          <w:rFonts w:hint="eastAsia"/>
          <w:sz w:val="18"/>
        </w:rPr>
        <w:t xml:space="preserve">                                                                  批准文号：国统制[2013]80号</w:t>
      </w:r>
    </w:p>
    <w:p>
      <w:pPr>
        <w:spacing w:before="31" w:after="31"/>
        <w:jc w:val="left"/>
        <w:rPr>
          <w:sz w:val="18"/>
        </w:rPr>
      </w:pPr>
      <w:r>
        <w:rPr>
          <w:rFonts w:hint="eastAsia"/>
          <w:sz w:val="18"/>
        </w:rPr>
        <w:t xml:space="preserve">                                                                  有效期至：2017年  月</w:t>
      </w:r>
    </w:p>
    <w:p>
      <w:pPr>
        <w:spacing w:before="31" w:after="31"/>
        <w:jc w:val="right"/>
        <w:rPr>
          <w:sz w:val="18"/>
        </w:rPr>
      </w:pPr>
    </w:p>
    <w:p>
      <w:pPr>
        <w:spacing w:before="31" w:after="31"/>
        <w:rPr>
          <w:sz w:val="18"/>
        </w:rPr>
      </w:pPr>
    </w:p>
    <w:p>
      <w:pPr>
        <w:spacing w:before="31" w:after="31"/>
        <w:jc w:val="center"/>
        <w:rPr>
          <w:rFonts w:ascii="宋体"/>
          <w:sz w:val="18"/>
        </w:rPr>
      </w:pPr>
      <w:r>
        <w:rPr>
          <w:rFonts w:hint="eastAsia"/>
          <w:sz w:val="18"/>
        </w:rPr>
        <w:t>20  年    月</w:t>
      </w:r>
    </w:p>
    <w:tbl>
      <w:tblPr>
        <w:tblW w:w="1045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045"/>
        <w:gridCol w:w="1046"/>
        <w:gridCol w:w="1045"/>
        <w:gridCol w:w="1046"/>
        <w:gridCol w:w="1045"/>
        <w:gridCol w:w="1046"/>
        <w:gridCol w:w="1045"/>
        <w:gridCol w:w="1046"/>
        <w:gridCol w:w="1046"/>
        <w:gridCol w:w="1046"/>
      </w:tblGrid>
      <w:tr>
        <w:trPr>
          <w:gridAfter w:val="2"/>
          <w:wAfter w:w="2092" w:type="dxa"/>
          <w:trHeight w:val="271" w:hRule="atLeast"/>
        </w:trPr>
        <w:tc>
          <w:tcPr>
            <w:tcW w:w="1045" w:type="dxa"/>
            <w:vMerge w:val="restart"/>
            <w:tcBorders>
              <w:top w:val="single" w:color="auto" w:sz="8" w:space="0"/>
              <w:left w:val="nil"/>
              <w:bottom w:val="single" w:color="000000" w:sz="8" w:space="0"/>
              <w:right w:val="single" w:color="auto" w:sz="8" w:space="0"/>
            </w:tcBorders>
            <w:vAlign w:val="center"/>
          </w:tcPr>
          <w:p>
            <w:pPr>
              <w:widowControl/>
              <w:spacing w:before="31" w:after="31"/>
              <w:jc w:val="center"/>
              <w:rPr>
                <w:rFonts w:ascii="宋体" w:hAnsi="宋体" w:cs="宋体"/>
                <w:kern w:val="0"/>
                <w:sz w:val="18"/>
                <w:szCs w:val="18"/>
              </w:rPr>
            </w:pPr>
            <w:bookmarkStart w:id="0" w:name="RANGE!A2"/>
            <w:r>
              <w:rPr>
                <w:rFonts w:hint="eastAsia" w:ascii="宋体" w:hAnsi="宋体" w:cs="宋体"/>
                <w:kern w:val="0"/>
                <w:sz w:val="18"/>
                <w:szCs w:val="18"/>
              </w:rPr>
              <w:t>调查对象单位名称</w:t>
            </w:r>
            <w:bookmarkEnd w:id="0"/>
          </w:p>
        </w:tc>
        <w:tc>
          <w:tcPr>
            <w:tcW w:w="1046" w:type="dxa"/>
            <w:vMerge w:val="restart"/>
            <w:tcBorders>
              <w:top w:val="single" w:color="auto" w:sz="8" w:space="0"/>
              <w:left w:val="single" w:color="auto" w:sz="8" w:space="0"/>
              <w:bottom w:val="single" w:color="000000" w:sz="8" w:space="0"/>
              <w:right w:val="single" w:color="auto" w:sz="8"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组织机构代码</w:t>
            </w:r>
          </w:p>
        </w:tc>
        <w:tc>
          <w:tcPr>
            <w:tcW w:w="1045" w:type="dxa"/>
            <w:vMerge w:val="restart"/>
            <w:tcBorders>
              <w:top w:val="single" w:color="auto" w:sz="8" w:space="0"/>
              <w:left w:val="single" w:color="auto" w:sz="8" w:space="0"/>
              <w:bottom w:val="single" w:color="000000" w:sz="8" w:space="0"/>
              <w:right w:val="single" w:color="auto" w:sz="8"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所属外汇局代码及名称</w:t>
            </w:r>
          </w:p>
        </w:tc>
        <w:tc>
          <w:tcPr>
            <w:tcW w:w="1046" w:type="dxa"/>
            <w:vMerge w:val="restart"/>
            <w:tcBorders>
              <w:top w:val="single" w:color="auto" w:sz="8" w:space="0"/>
              <w:left w:val="single" w:color="auto" w:sz="8" w:space="0"/>
              <w:bottom w:val="single" w:color="000000" w:sz="8" w:space="0"/>
              <w:right w:val="single" w:color="auto" w:sz="8"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企业海关代码</w:t>
            </w:r>
          </w:p>
        </w:tc>
        <w:tc>
          <w:tcPr>
            <w:tcW w:w="1045" w:type="dxa"/>
            <w:vMerge w:val="restart"/>
            <w:tcBorders>
              <w:top w:val="single" w:color="auto" w:sz="8" w:space="0"/>
              <w:left w:val="single" w:color="auto" w:sz="8" w:space="0"/>
              <w:bottom w:val="single" w:color="000000" w:sz="8" w:space="0"/>
              <w:right w:val="single" w:color="auto" w:sz="8"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单位地址</w:t>
            </w:r>
          </w:p>
        </w:tc>
        <w:tc>
          <w:tcPr>
            <w:tcW w:w="1046" w:type="dxa"/>
            <w:vMerge w:val="restart"/>
            <w:tcBorders>
              <w:top w:val="single" w:color="auto" w:sz="8" w:space="0"/>
              <w:left w:val="single" w:color="auto" w:sz="8" w:space="0"/>
              <w:bottom w:val="single" w:color="000000" w:sz="8" w:space="0"/>
              <w:right w:val="single" w:color="auto" w:sz="8"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邮政编码</w:t>
            </w:r>
          </w:p>
        </w:tc>
        <w:tc>
          <w:tcPr>
            <w:tcW w:w="1045" w:type="dxa"/>
            <w:vMerge w:val="restart"/>
            <w:tcBorders>
              <w:top w:val="single" w:color="auto" w:sz="8" w:space="0"/>
              <w:left w:val="single" w:color="auto" w:sz="8" w:space="0"/>
              <w:bottom w:val="single" w:color="000000" w:sz="8" w:space="0"/>
              <w:right w:val="single" w:color="auto" w:sz="8"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经济类型及代码</w:t>
            </w:r>
          </w:p>
        </w:tc>
        <w:tc>
          <w:tcPr>
            <w:tcW w:w="1046" w:type="dxa"/>
            <w:vMerge w:val="restart"/>
            <w:tcBorders>
              <w:top w:val="single" w:color="auto" w:sz="8" w:space="0"/>
              <w:left w:val="single" w:color="auto" w:sz="8" w:space="0"/>
              <w:bottom w:val="single" w:color="000000" w:sz="8" w:space="0"/>
              <w:right w:val="nil"/>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行业属性代码及名称</w:t>
            </w:r>
          </w:p>
        </w:tc>
      </w:tr>
      <w:tr>
        <w:trPr>
          <w:gridAfter w:val="2"/>
          <w:wAfter w:w="2092" w:type="dxa"/>
          <w:trHeight w:val="302" w:hRule="atLeast"/>
        </w:trPr>
        <w:tc>
          <w:tcPr>
            <w:tcW w:w="1045" w:type="dxa"/>
            <w:vMerge w:val="continue"/>
            <w:tcBorders>
              <w:top w:val="single" w:color="auto" w:sz="8" w:space="0"/>
              <w:left w:val="nil"/>
              <w:bottom w:val="single" w:color="000000" w:sz="8" w:space="0"/>
              <w:right w:val="single" w:color="auto" w:sz="8" w:space="0"/>
            </w:tcBorders>
            <w:vAlign w:val="center"/>
          </w:tcPr>
          <w:p>
            <w:pPr>
              <w:widowControl/>
              <w:spacing w:before="31" w:after="31"/>
              <w:jc w:val="left"/>
              <w:rPr>
                <w:rFonts w:ascii="宋体" w:hAnsi="宋体" w:cs="宋体"/>
                <w:kern w:val="0"/>
                <w:sz w:val="18"/>
                <w:szCs w:val="18"/>
              </w:rPr>
            </w:pPr>
          </w:p>
        </w:tc>
        <w:tc>
          <w:tcPr>
            <w:tcW w:w="1046" w:type="dxa"/>
            <w:vMerge w:val="continue"/>
            <w:tcBorders>
              <w:top w:val="single" w:color="auto" w:sz="8" w:space="0"/>
              <w:left w:val="single" w:color="auto" w:sz="8" w:space="0"/>
              <w:bottom w:val="single" w:color="000000" w:sz="8" w:space="0"/>
              <w:right w:val="single" w:color="auto" w:sz="8" w:space="0"/>
            </w:tcBorders>
            <w:vAlign w:val="center"/>
          </w:tcPr>
          <w:p>
            <w:pPr>
              <w:widowControl/>
              <w:spacing w:before="31" w:after="31"/>
              <w:jc w:val="left"/>
              <w:rPr>
                <w:rFonts w:ascii="宋体" w:hAnsi="宋体" w:cs="宋体"/>
                <w:kern w:val="0"/>
                <w:sz w:val="18"/>
                <w:szCs w:val="18"/>
              </w:rPr>
            </w:pPr>
          </w:p>
        </w:tc>
        <w:tc>
          <w:tcPr>
            <w:tcW w:w="1045" w:type="dxa"/>
            <w:vMerge w:val="continue"/>
            <w:tcBorders>
              <w:top w:val="single" w:color="auto" w:sz="8" w:space="0"/>
              <w:left w:val="single" w:color="auto" w:sz="8" w:space="0"/>
              <w:bottom w:val="single" w:color="000000" w:sz="8" w:space="0"/>
              <w:right w:val="single" w:color="auto" w:sz="8" w:space="0"/>
            </w:tcBorders>
            <w:vAlign w:val="center"/>
          </w:tcPr>
          <w:p>
            <w:pPr>
              <w:widowControl/>
              <w:spacing w:before="31" w:after="31"/>
              <w:jc w:val="left"/>
              <w:rPr>
                <w:rFonts w:ascii="宋体" w:hAnsi="宋体" w:cs="宋体"/>
                <w:kern w:val="0"/>
                <w:sz w:val="18"/>
                <w:szCs w:val="18"/>
              </w:rPr>
            </w:pPr>
          </w:p>
        </w:tc>
        <w:tc>
          <w:tcPr>
            <w:tcW w:w="1046" w:type="dxa"/>
            <w:vMerge w:val="continue"/>
            <w:tcBorders>
              <w:top w:val="single" w:color="auto" w:sz="8" w:space="0"/>
              <w:left w:val="single" w:color="auto" w:sz="8" w:space="0"/>
              <w:bottom w:val="single" w:color="000000" w:sz="8" w:space="0"/>
              <w:right w:val="single" w:color="auto" w:sz="8" w:space="0"/>
            </w:tcBorders>
            <w:vAlign w:val="center"/>
          </w:tcPr>
          <w:p>
            <w:pPr>
              <w:widowControl/>
              <w:spacing w:before="31" w:after="31"/>
              <w:jc w:val="left"/>
              <w:rPr>
                <w:rFonts w:ascii="宋体" w:hAnsi="宋体" w:cs="宋体"/>
                <w:kern w:val="0"/>
                <w:sz w:val="18"/>
                <w:szCs w:val="18"/>
              </w:rPr>
            </w:pPr>
          </w:p>
        </w:tc>
        <w:tc>
          <w:tcPr>
            <w:tcW w:w="1045" w:type="dxa"/>
            <w:vMerge w:val="continue"/>
            <w:tcBorders>
              <w:top w:val="single" w:color="auto" w:sz="8" w:space="0"/>
              <w:left w:val="single" w:color="auto" w:sz="8" w:space="0"/>
              <w:bottom w:val="single" w:color="000000" w:sz="8" w:space="0"/>
              <w:right w:val="single" w:color="auto" w:sz="8" w:space="0"/>
            </w:tcBorders>
            <w:vAlign w:val="center"/>
          </w:tcPr>
          <w:p>
            <w:pPr>
              <w:widowControl/>
              <w:spacing w:before="31" w:after="31"/>
              <w:jc w:val="left"/>
              <w:rPr>
                <w:rFonts w:ascii="宋体" w:hAnsi="宋体" w:cs="宋体"/>
                <w:kern w:val="0"/>
                <w:sz w:val="18"/>
                <w:szCs w:val="18"/>
              </w:rPr>
            </w:pPr>
          </w:p>
        </w:tc>
        <w:tc>
          <w:tcPr>
            <w:tcW w:w="1046" w:type="dxa"/>
            <w:vMerge w:val="continue"/>
            <w:tcBorders>
              <w:top w:val="single" w:color="auto" w:sz="8" w:space="0"/>
              <w:left w:val="single" w:color="auto" w:sz="8" w:space="0"/>
              <w:bottom w:val="single" w:color="000000" w:sz="8" w:space="0"/>
              <w:right w:val="single" w:color="auto" w:sz="8" w:space="0"/>
            </w:tcBorders>
            <w:vAlign w:val="center"/>
          </w:tcPr>
          <w:p>
            <w:pPr>
              <w:widowControl/>
              <w:spacing w:before="31" w:after="31"/>
              <w:jc w:val="left"/>
              <w:rPr>
                <w:rFonts w:ascii="宋体" w:hAnsi="宋体" w:cs="宋体"/>
                <w:kern w:val="0"/>
                <w:sz w:val="18"/>
                <w:szCs w:val="18"/>
              </w:rPr>
            </w:pPr>
          </w:p>
        </w:tc>
        <w:tc>
          <w:tcPr>
            <w:tcW w:w="1045" w:type="dxa"/>
            <w:vMerge w:val="continue"/>
            <w:tcBorders>
              <w:top w:val="single" w:color="auto" w:sz="8" w:space="0"/>
              <w:left w:val="single" w:color="auto" w:sz="8" w:space="0"/>
              <w:bottom w:val="single" w:color="000000" w:sz="8" w:space="0"/>
              <w:right w:val="single" w:color="auto" w:sz="8" w:space="0"/>
            </w:tcBorders>
            <w:vAlign w:val="center"/>
          </w:tcPr>
          <w:p>
            <w:pPr>
              <w:widowControl/>
              <w:spacing w:before="31" w:after="31"/>
              <w:jc w:val="left"/>
              <w:rPr>
                <w:rFonts w:ascii="宋体" w:hAnsi="宋体" w:cs="宋体"/>
                <w:kern w:val="0"/>
                <w:sz w:val="18"/>
                <w:szCs w:val="18"/>
              </w:rPr>
            </w:pPr>
          </w:p>
        </w:tc>
        <w:tc>
          <w:tcPr>
            <w:tcW w:w="1046" w:type="dxa"/>
            <w:vMerge w:val="continue"/>
            <w:tcBorders>
              <w:top w:val="single" w:color="auto" w:sz="8" w:space="0"/>
              <w:left w:val="single" w:color="auto" w:sz="8" w:space="0"/>
              <w:bottom w:val="single" w:color="000000" w:sz="8" w:space="0"/>
              <w:right w:val="nil"/>
            </w:tcBorders>
            <w:vAlign w:val="center"/>
          </w:tcPr>
          <w:p>
            <w:pPr>
              <w:widowControl/>
              <w:spacing w:before="31" w:after="31"/>
              <w:jc w:val="left"/>
              <w:rPr>
                <w:rFonts w:ascii="宋体" w:hAnsi="宋体" w:cs="宋体"/>
                <w:kern w:val="0"/>
                <w:sz w:val="18"/>
                <w:szCs w:val="18"/>
              </w:rPr>
            </w:pPr>
          </w:p>
        </w:tc>
      </w:tr>
      <w:tr>
        <w:trPr>
          <w:gridAfter w:val="2"/>
          <w:wAfter w:w="2092" w:type="dxa"/>
          <w:trHeight w:val="302" w:hRule="atLeast"/>
        </w:trPr>
        <w:tc>
          <w:tcPr>
            <w:tcW w:w="1045" w:type="dxa"/>
            <w:vMerge w:val="continue"/>
            <w:tcBorders>
              <w:top w:val="single" w:color="auto" w:sz="8" w:space="0"/>
              <w:left w:val="nil"/>
              <w:bottom w:val="single" w:color="000000" w:sz="8" w:space="0"/>
              <w:right w:val="single" w:color="auto" w:sz="8" w:space="0"/>
            </w:tcBorders>
            <w:vAlign w:val="center"/>
          </w:tcPr>
          <w:p>
            <w:pPr>
              <w:widowControl/>
              <w:spacing w:before="31" w:after="31"/>
              <w:jc w:val="left"/>
              <w:rPr>
                <w:rFonts w:ascii="宋体" w:hAnsi="宋体" w:cs="宋体"/>
                <w:kern w:val="0"/>
                <w:sz w:val="18"/>
                <w:szCs w:val="18"/>
              </w:rPr>
            </w:pPr>
          </w:p>
        </w:tc>
        <w:tc>
          <w:tcPr>
            <w:tcW w:w="1046" w:type="dxa"/>
            <w:vMerge w:val="continue"/>
            <w:tcBorders>
              <w:top w:val="single" w:color="auto" w:sz="8" w:space="0"/>
              <w:left w:val="single" w:color="auto" w:sz="8" w:space="0"/>
              <w:bottom w:val="single" w:color="000000" w:sz="8" w:space="0"/>
              <w:right w:val="single" w:color="auto" w:sz="8" w:space="0"/>
            </w:tcBorders>
            <w:vAlign w:val="center"/>
          </w:tcPr>
          <w:p>
            <w:pPr>
              <w:widowControl/>
              <w:spacing w:before="31" w:after="31"/>
              <w:jc w:val="left"/>
              <w:rPr>
                <w:rFonts w:ascii="宋体" w:hAnsi="宋体" w:cs="宋体"/>
                <w:kern w:val="0"/>
                <w:sz w:val="18"/>
                <w:szCs w:val="18"/>
              </w:rPr>
            </w:pPr>
          </w:p>
        </w:tc>
        <w:tc>
          <w:tcPr>
            <w:tcW w:w="1045" w:type="dxa"/>
            <w:vMerge w:val="continue"/>
            <w:tcBorders>
              <w:top w:val="single" w:color="auto" w:sz="8" w:space="0"/>
              <w:left w:val="single" w:color="auto" w:sz="8" w:space="0"/>
              <w:bottom w:val="single" w:color="000000" w:sz="8" w:space="0"/>
              <w:right w:val="single" w:color="auto" w:sz="8" w:space="0"/>
            </w:tcBorders>
            <w:vAlign w:val="center"/>
          </w:tcPr>
          <w:p>
            <w:pPr>
              <w:widowControl/>
              <w:spacing w:before="31" w:after="31"/>
              <w:jc w:val="left"/>
              <w:rPr>
                <w:rFonts w:ascii="宋体" w:hAnsi="宋体" w:cs="宋体"/>
                <w:kern w:val="0"/>
                <w:sz w:val="18"/>
                <w:szCs w:val="18"/>
              </w:rPr>
            </w:pPr>
          </w:p>
        </w:tc>
        <w:tc>
          <w:tcPr>
            <w:tcW w:w="1046" w:type="dxa"/>
            <w:vMerge w:val="continue"/>
            <w:tcBorders>
              <w:top w:val="single" w:color="auto" w:sz="8" w:space="0"/>
              <w:left w:val="single" w:color="auto" w:sz="8" w:space="0"/>
              <w:bottom w:val="single" w:color="000000" w:sz="8" w:space="0"/>
              <w:right w:val="single" w:color="auto" w:sz="8" w:space="0"/>
            </w:tcBorders>
            <w:vAlign w:val="center"/>
          </w:tcPr>
          <w:p>
            <w:pPr>
              <w:widowControl/>
              <w:spacing w:before="31" w:after="31"/>
              <w:jc w:val="left"/>
              <w:rPr>
                <w:rFonts w:ascii="宋体" w:hAnsi="宋体" w:cs="宋体"/>
                <w:kern w:val="0"/>
                <w:sz w:val="18"/>
                <w:szCs w:val="18"/>
              </w:rPr>
            </w:pPr>
          </w:p>
        </w:tc>
        <w:tc>
          <w:tcPr>
            <w:tcW w:w="1045" w:type="dxa"/>
            <w:vMerge w:val="continue"/>
            <w:tcBorders>
              <w:top w:val="single" w:color="auto" w:sz="8" w:space="0"/>
              <w:left w:val="single" w:color="auto" w:sz="8" w:space="0"/>
              <w:bottom w:val="single" w:color="000000" w:sz="8" w:space="0"/>
              <w:right w:val="single" w:color="auto" w:sz="8" w:space="0"/>
            </w:tcBorders>
            <w:vAlign w:val="center"/>
          </w:tcPr>
          <w:p>
            <w:pPr>
              <w:widowControl/>
              <w:spacing w:before="31" w:after="31"/>
              <w:jc w:val="left"/>
              <w:rPr>
                <w:rFonts w:ascii="宋体" w:hAnsi="宋体" w:cs="宋体"/>
                <w:kern w:val="0"/>
                <w:sz w:val="18"/>
                <w:szCs w:val="18"/>
              </w:rPr>
            </w:pPr>
          </w:p>
        </w:tc>
        <w:tc>
          <w:tcPr>
            <w:tcW w:w="1046" w:type="dxa"/>
            <w:vMerge w:val="continue"/>
            <w:tcBorders>
              <w:top w:val="single" w:color="auto" w:sz="8" w:space="0"/>
              <w:left w:val="single" w:color="auto" w:sz="8" w:space="0"/>
              <w:bottom w:val="single" w:color="000000" w:sz="8" w:space="0"/>
              <w:right w:val="single" w:color="auto" w:sz="8" w:space="0"/>
            </w:tcBorders>
            <w:vAlign w:val="center"/>
          </w:tcPr>
          <w:p>
            <w:pPr>
              <w:widowControl/>
              <w:spacing w:before="31" w:after="31"/>
              <w:jc w:val="left"/>
              <w:rPr>
                <w:rFonts w:ascii="宋体" w:hAnsi="宋体" w:cs="宋体"/>
                <w:kern w:val="0"/>
                <w:sz w:val="18"/>
                <w:szCs w:val="18"/>
              </w:rPr>
            </w:pPr>
          </w:p>
        </w:tc>
        <w:tc>
          <w:tcPr>
            <w:tcW w:w="1045" w:type="dxa"/>
            <w:vMerge w:val="continue"/>
            <w:tcBorders>
              <w:top w:val="single" w:color="auto" w:sz="8" w:space="0"/>
              <w:left w:val="single" w:color="auto" w:sz="8" w:space="0"/>
              <w:bottom w:val="single" w:color="000000" w:sz="8" w:space="0"/>
              <w:right w:val="single" w:color="auto" w:sz="8" w:space="0"/>
            </w:tcBorders>
            <w:vAlign w:val="center"/>
          </w:tcPr>
          <w:p>
            <w:pPr>
              <w:widowControl/>
              <w:spacing w:before="31" w:after="31"/>
              <w:jc w:val="left"/>
              <w:rPr>
                <w:rFonts w:ascii="宋体" w:hAnsi="宋体" w:cs="宋体"/>
                <w:kern w:val="0"/>
                <w:sz w:val="18"/>
                <w:szCs w:val="18"/>
              </w:rPr>
            </w:pPr>
          </w:p>
        </w:tc>
        <w:tc>
          <w:tcPr>
            <w:tcW w:w="1046" w:type="dxa"/>
            <w:vMerge w:val="continue"/>
            <w:tcBorders>
              <w:top w:val="single" w:color="auto" w:sz="8" w:space="0"/>
              <w:left w:val="single" w:color="auto" w:sz="8" w:space="0"/>
              <w:bottom w:val="single" w:color="000000" w:sz="8" w:space="0"/>
              <w:right w:val="nil"/>
            </w:tcBorders>
            <w:vAlign w:val="center"/>
          </w:tcPr>
          <w:p>
            <w:pPr>
              <w:widowControl/>
              <w:spacing w:before="31" w:after="31"/>
              <w:jc w:val="left"/>
              <w:rPr>
                <w:rFonts w:ascii="宋体" w:hAnsi="宋体" w:cs="宋体"/>
                <w:kern w:val="0"/>
                <w:sz w:val="18"/>
                <w:szCs w:val="18"/>
              </w:rPr>
            </w:pPr>
          </w:p>
        </w:tc>
      </w:tr>
      <w:tr>
        <w:trPr>
          <w:gridAfter w:val="2"/>
          <w:wAfter w:w="2092" w:type="dxa"/>
          <w:trHeight w:val="285" w:hRule="atLeast"/>
        </w:trPr>
        <w:tc>
          <w:tcPr>
            <w:tcW w:w="1045" w:type="dxa"/>
            <w:tcBorders>
              <w:top w:val="nil"/>
              <w:left w:val="nil"/>
              <w:bottom w:val="single" w:color="auto" w:sz="8" w:space="0"/>
              <w:right w:val="single" w:color="auto" w:sz="8" w:space="0"/>
            </w:tcBorders>
            <w:vAlign w:val="center"/>
          </w:tcPr>
          <w:p>
            <w:pPr>
              <w:widowControl/>
              <w:spacing w:before="31" w:after="31"/>
              <w:jc w:val="center"/>
              <w:rPr>
                <w:kern w:val="0"/>
                <w:sz w:val="18"/>
                <w:szCs w:val="18"/>
              </w:rPr>
            </w:pPr>
            <w:r>
              <w:rPr>
                <w:kern w:val="0"/>
                <w:sz w:val="18"/>
                <w:szCs w:val="18"/>
              </w:rPr>
              <w:t>T0101</w:t>
            </w:r>
          </w:p>
        </w:tc>
        <w:tc>
          <w:tcPr>
            <w:tcW w:w="1046" w:type="dxa"/>
            <w:tcBorders>
              <w:top w:val="nil"/>
              <w:left w:val="nil"/>
              <w:bottom w:val="single" w:color="auto" w:sz="8" w:space="0"/>
              <w:right w:val="single" w:color="auto" w:sz="8" w:space="0"/>
            </w:tcBorders>
            <w:vAlign w:val="center"/>
          </w:tcPr>
          <w:p>
            <w:pPr>
              <w:widowControl/>
              <w:spacing w:before="31" w:after="31"/>
              <w:jc w:val="center"/>
              <w:rPr>
                <w:kern w:val="0"/>
                <w:sz w:val="18"/>
                <w:szCs w:val="18"/>
              </w:rPr>
            </w:pPr>
            <w:r>
              <w:rPr>
                <w:kern w:val="0"/>
                <w:sz w:val="18"/>
                <w:szCs w:val="18"/>
              </w:rPr>
              <w:t>T0102</w:t>
            </w:r>
          </w:p>
        </w:tc>
        <w:tc>
          <w:tcPr>
            <w:tcW w:w="1045" w:type="dxa"/>
            <w:tcBorders>
              <w:top w:val="nil"/>
              <w:left w:val="nil"/>
              <w:bottom w:val="single" w:color="auto" w:sz="8" w:space="0"/>
              <w:right w:val="single" w:color="auto" w:sz="8" w:space="0"/>
            </w:tcBorders>
            <w:vAlign w:val="center"/>
          </w:tcPr>
          <w:p>
            <w:pPr>
              <w:widowControl/>
              <w:spacing w:before="31" w:after="31"/>
              <w:jc w:val="center"/>
              <w:rPr>
                <w:kern w:val="0"/>
                <w:sz w:val="18"/>
                <w:szCs w:val="18"/>
              </w:rPr>
            </w:pPr>
            <w:r>
              <w:rPr>
                <w:kern w:val="0"/>
                <w:sz w:val="18"/>
                <w:szCs w:val="18"/>
              </w:rPr>
              <w:t>T0103</w:t>
            </w:r>
          </w:p>
        </w:tc>
        <w:tc>
          <w:tcPr>
            <w:tcW w:w="1046" w:type="dxa"/>
            <w:tcBorders>
              <w:top w:val="nil"/>
              <w:left w:val="nil"/>
              <w:bottom w:val="single" w:color="auto" w:sz="8" w:space="0"/>
              <w:right w:val="single" w:color="auto" w:sz="8" w:space="0"/>
            </w:tcBorders>
            <w:vAlign w:val="center"/>
          </w:tcPr>
          <w:p>
            <w:pPr>
              <w:widowControl/>
              <w:spacing w:before="31" w:after="31"/>
              <w:jc w:val="center"/>
              <w:rPr>
                <w:kern w:val="0"/>
                <w:sz w:val="18"/>
                <w:szCs w:val="18"/>
              </w:rPr>
            </w:pPr>
            <w:r>
              <w:rPr>
                <w:kern w:val="0"/>
                <w:sz w:val="18"/>
                <w:szCs w:val="18"/>
              </w:rPr>
              <w:t>T0104</w:t>
            </w:r>
          </w:p>
        </w:tc>
        <w:tc>
          <w:tcPr>
            <w:tcW w:w="1045" w:type="dxa"/>
            <w:tcBorders>
              <w:top w:val="nil"/>
              <w:left w:val="nil"/>
              <w:bottom w:val="single" w:color="auto" w:sz="8" w:space="0"/>
              <w:right w:val="single" w:color="auto" w:sz="8" w:space="0"/>
            </w:tcBorders>
            <w:vAlign w:val="center"/>
          </w:tcPr>
          <w:p>
            <w:pPr>
              <w:widowControl/>
              <w:spacing w:before="31" w:after="31"/>
              <w:jc w:val="center"/>
              <w:rPr>
                <w:kern w:val="0"/>
                <w:sz w:val="18"/>
                <w:szCs w:val="18"/>
              </w:rPr>
            </w:pPr>
            <w:r>
              <w:rPr>
                <w:kern w:val="0"/>
                <w:sz w:val="18"/>
                <w:szCs w:val="18"/>
              </w:rPr>
              <w:t>T0105</w:t>
            </w:r>
          </w:p>
        </w:tc>
        <w:tc>
          <w:tcPr>
            <w:tcW w:w="1046" w:type="dxa"/>
            <w:tcBorders>
              <w:top w:val="nil"/>
              <w:left w:val="nil"/>
              <w:bottom w:val="single" w:color="auto" w:sz="8" w:space="0"/>
              <w:right w:val="single" w:color="auto" w:sz="8" w:space="0"/>
            </w:tcBorders>
            <w:vAlign w:val="center"/>
          </w:tcPr>
          <w:p>
            <w:pPr>
              <w:widowControl/>
              <w:spacing w:before="31" w:after="31"/>
              <w:jc w:val="center"/>
              <w:rPr>
                <w:kern w:val="0"/>
                <w:sz w:val="18"/>
                <w:szCs w:val="18"/>
              </w:rPr>
            </w:pPr>
            <w:r>
              <w:rPr>
                <w:kern w:val="0"/>
                <w:sz w:val="18"/>
                <w:szCs w:val="18"/>
              </w:rPr>
              <w:t>T0106</w:t>
            </w:r>
          </w:p>
        </w:tc>
        <w:tc>
          <w:tcPr>
            <w:tcW w:w="1045" w:type="dxa"/>
            <w:tcBorders>
              <w:top w:val="nil"/>
              <w:left w:val="nil"/>
              <w:bottom w:val="single" w:color="auto" w:sz="8" w:space="0"/>
              <w:right w:val="single" w:color="auto" w:sz="8" w:space="0"/>
            </w:tcBorders>
            <w:vAlign w:val="center"/>
          </w:tcPr>
          <w:p>
            <w:pPr>
              <w:widowControl/>
              <w:spacing w:before="31" w:after="31"/>
              <w:jc w:val="center"/>
              <w:rPr>
                <w:kern w:val="0"/>
                <w:sz w:val="18"/>
                <w:szCs w:val="18"/>
              </w:rPr>
            </w:pPr>
            <w:r>
              <w:rPr>
                <w:kern w:val="0"/>
                <w:sz w:val="18"/>
                <w:szCs w:val="18"/>
              </w:rPr>
              <w:t>T0107</w:t>
            </w:r>
          </w:p>
        </w:tc>
        <w:tc>
          <w:tcPr>
            <w:tcW w:w="1046" w:type="dxa"/>
            <w:tcBorders>
              <w:top w:val="nil"/>
              <w:left w:val="nil"/>
              <w:bottom w:val="single" w:color="auto" w:sz="8" w:space="0"/>
              <w:right w:val="nil"/>
            </w:tcBorders>
            <w:vAlign w:val="center"/>
          </w:tcPr>
          <w:p>
            <w:pPr>
              <w:widowControl/>
              <w:spacing w:before="31" w:after="31"/>
              <w:jc w:val="center"/>
              <w:rPr>
                <w:kern w:val="0"/>
                <w:sz w:val="18"/>
                <w:szCs w:val="18"/>
              </w:rPr>
            </w:pPr>
            <w:r>
              <w:rPr>
                <w:kern w:val="0"/>
                <w:sz w:val="18"/>
                <w:szCs w:val="18"/>
              </w:rPr>
              <w:t>T 0108</w:t>
            </w:r>
          </w:p>
        </w:tc>
      </w:tr>
      <w:tr>
        <w:trPr>
          <w:gridAfter w:val="2"/>
          <w:wAfter w:w="2092" w:type="dxa"/>
          <w:trHeight w:val="285" w:hRule="atLeast"/>
        </w:trPr>
        <w:tc>
          <w:tcPr>
            <w:tcW w:w="1045" w:type="dxa"/>
            <w:tcBorders>
              <w:top w:val="nil"/>
              <w:left w:val="nil"/>
              <w:bottom w:val="single" w:color="auto" w:sz="8" w:space="0"/>
              <w:right w:val="single" w:color="auto" w:sz="8"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甲</w:t>
            </w:r>
          </w:p>
        </w:tc>
        <w:tc>
          <w:tcPr>
            <w:tcW w:w="1046" w:type="dxa"/>
            <w:tcBorders>
              <w:top w:val="nil"/>
              <w:left w:val="nil"/>
              <w:bottom w:val="single" w:color="auto" w:sz="8" w:space="0"/>
              <w:right w:val="single" w:color="auto" w:sz="8"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乙</w:t>
            </w:r>
          </w:p>
        </w:tc>
        <w:tc>
          <w:tcPr>
            <w:tcW w:w="1045" w:type="dxa"/>
            <w:tcBorders>
              <w:top w:val="nil"/>
              <w:left w:val="nil"/>
              <w:bottom w:val="single" w:color="auto" w:sz="8" w:space="0"/>
              <w:right w:val="single" w:color="auto" w:sz="8"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丙</w:t>
            </w:r>
          </w:p>
        </w:tc>
        <w:tc>
          <w:tcPr>
            <w:tcW w:w="1046" w:type="dxa"/>
            <w:tcBorders>
              <w:top w:val="nil"/>
              <w:left w:val="nil"/>
              <w:bottom w:val="single" w:color="auto" w:sz="8" w:space="0"/>
              <w:right w:val="single" w:color="auto" w:sz="8"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丁</w:t>
            </w:r>
          </w:p>
        </w:tc>
        <w:tc>
          <w:tcPr>
            <w:tcW w:w="1045" w:type="dxa"/>
            <w:tcBorders>
              <w:top w:val="nil"/>
              <w:left w:val="nil"/>
              <w:bottom w:val="single" w:color="auto" w:sz="8" w:space="0"/>
              <w:right w:val="single" w:color="auto" w:sz="8"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戊</w:t>
            </w:r>
          </w:p>
        </w:tc>
        <w:tc>
          <w:tcPr>
            <w:tcW w:w="1046" w:type="dxa"/>
            <w:tcBorders>
              <w:top w:val="nil"/>
              <w:left w:val="nil"/>
              <w:bottom w:val="single" w:color="auto" w:sz="8" w:space="0"/>
              <w:right w:val="single" w:color="auto" w:sz="8"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己</w:t>
            </w:r>
          </w:p>
        </w:tc>
        <w:tc>
          <w:tcPr>
            <w:tcW w:w="1045" w:type="dxa"/>
            <w:tcBorders>
              <w:top w:val="nil"/>
              <w:left w:val="nil"/>
              <w:bottom w:val="single" w:color="auto" w:sz="8" w:space="0"/>
              <w:right w:val="single" w:color="auto" w:sz="8"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庚</w:t>
            </w:r>
          </w:p>
        </w:tc>
        <w:tc>
          <w:tcPr>
            <w:tcW w:w="1046" w:type="dxa"/>
            <w:tcBorders>
              <w:top w:val="nil"/>
              <w:left w:val="nil"/>
              <w:bottom w:val="single" w:color="auto" w:sz="8" w:space="0"/>
              <w:right w:val="nil"/>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辛</w:t>
            </w:r>
          </w:p>
        </w:tc>
      </w:tr>
      <w:tr>
        <w:trPr>
          <w:gridAfter w:val="2"/>
          <w:wAfter w:w="2092" w:type="dxa"/>
          <w:trHeight w:val="285" w:hRule="atLeast"/>
        </w:trPr>
        <w:tc>
          <w:tcPr>
            <w:tcW w:w="1045" w:type="dxa"/>
            <w:tcBorders>
              <w:top w:val="nil"/>
              <w:left w:val="nil"/>
              <w:bottom w:val="nil"/>
              <w:right w:val="nil"/>
            </w:tcBorders>
            <w:vAlign w:val="center"/>
          </w:tcPr>
          <w:p>
            <w:pPr>
              <w:widowControl/>
              <w:spacing w:before="31" w:after="31"/>
              <w:jc w:val="right"/>
              <w:rPr>
                <w:rFonts w:ascii="Calibri" w:hAnsi="Calibri" w:cs="宋体"/>
                <w:kern w:val="0"/>
                <w:szCs w:val="21"/>
              </w:rPr>
            </w:pPr>
          </w:p>
        </w:tc>
        <w:tc>
          <w:tcPr>
            <w:tcW w:w="1046" w:type="dxa"/>
            <w:tcBorders>
              <w:top w:val="nil"/>
              <w:left w:val="nil"/>
              <w:bottom w:val="nil"/>
              <w:right w:val="nil"/>
            </w:tcBorders>
            <w:vAlign w:val="center"/>
          </w:tcPr>
          <w:p>
            <w:pPr>
              <w:widowControl/>
              <w:spacing w:before="31" w:after="31"/>
              <w:jc w:val="right"/>
              <w:rPr>
                <w:rFonts w:ascii="Calibri" w:hAnsi="Calibri" w:cs="宋体"/>
                <w:kern w:val="0"/>
                <w:szCs w:val="21"/>
              </w:rPr>
            </w:pPr>
          </w:p>
        </w:tc>
        <w:tc>
          <w:tcPr>
            <w:tcW w:w="1045" w:type="dxa"/>
            <w:tcBorders>
              <w:top w:val="nil"/>
              <w:left w:val="nil"/>
              <w:bottom w:val="nil"/>
              <w:right w:val="nil"/>
            </w:tcBorders>
            <w:vAlign w:val="center"/>
          </w:tcPr>
          <w:p>
            <w:pPr>
              <w:widowControl/>
              <w:spacing w:before="31" w:after="31"/>
              <w:jc w:val="right"/>
              <w:rPr>
                <w:rFonts w:ascii="Calibri" w:hAnsi="Calibri" w:cs="宋体"/>
                <w:kern w:val="0"/>
                <w:szCs w:val="21"/>
              </w:rPr>
            </w:pPr>
          </w:p>
        </w:tc>
        <w:tc>
          <w:tcPr>
            <w:tcW w:w="1046" w:type="dxa"/>
            <w:tcBorders>
              <w:top w:val="nil"/>
              <w:left w:val="nil"/>
              <w:bottom w:val="nil"/>
              <w:right w:val="nil"/>
            </w:tcBorders>
            <w:vAlign w:val="center"/>
          </w:tcPr>
          <w:p>
            <w:pPr>
              <w:widowControl/>
              <w:spacing w:before="31" w:after="31"/>
              <w:jc w:val="right"/>
              <w:rPr>
                <w:rFonts w:ascii="Calibri" w:hAnsi="Calibri" w:cs="宋体"/>
                <w:kern w:val="0"/>
                <w:szCs w:val="21"/>
              </w:rPr>
            </w:pPr>
          </w:p>
        </w:tc>
        <w:tc>
          <w:tcPr>
            <w:tcW w:w="1045" w:type="dxa"/>
            <w:tcBorders>
              <w:top w:val="nil"/>
              <w:left w:val="nil"/>
              <w:bottom w:val="nil"/>
              <w:right w:val="nil"/>
            </w:tcBorders>
            <w:vAlign w:val="center"/>
          </w:tcPr>
          <w:p>
            <w:pPr>
              <w:widowControl/>
              <w:spacing w:before="31" w:after="31"/>
              <w:jc w:val="right"/>
              <w:rPr>
                <w:rFonts w:ascii="Calibri" w:hAnsi="Calibri" w:cs="宋体"/>
                <w:kern w:val="0"/>
                <w:szCs w:val="21"/>
              </w:rPr>
            </w:pPr>
          </w:p>
        </w:tc>
        <w:tc>
          <w:tcPr>
            <w:tcW w:w="1046" w:type="dxa"/>
            <w:tcBorders>
              <w:top w:val="nil"/>
              <w:left w:val="nil"/>
              <w:bottom w:val="nil"/>
              <w:right w:val="nil"/>
            </w:tcBorders>
            <w:vAlign w:val="center"/>
          </w:tcPr>
          <w:p>
            <w:pPr>
              <w:widowControl/>
              <w:spacing w:before="31" w:after="31"/>
              <w:jc w:val="right"/>
              <w:rPr>
                <w:rFonts w:ascii="Calibri" w:hAnsi="Calibri" w:cs="宋体"/>
                <w:kern w:val="0"/>
                <w:szCs w:val="21"/>
              </w:rPr>
            </w:pPr>
          </w:p>
        </w:tc>
        <w:tc>
          <w:tcPr>
            <w:tcW w:w="1045" w:type="dxa"/>
            <w:tcBorders>
              <w:top w:val="nil"/>
              <w:left w:val="nil"/>
              <w:bottom w:val="nil"/>
              <w:right w:val="nil"/>
            </w:tcBorders>
            <w:vAlign w:val="center"/>
          </w:tcPr>
          <w:p>
            <w:pPr>
              <w:widowControl/>
              <w:spacing w:before="31" w:after="31"/>
              <w:jc w:val="right"/>
              <w:rPr>
                <w:rFonts w:ascii="Calibri" w:hAnsi="Calibri" w:cs="宋体"/>
                <w:kern w:val="0"/>
                <w:szCs w:val="21"/>
              </w:rPr>
            </w:pPr>
          </w:p>
        </w:tc>
        <w:tc>
          <w:tcPr>
            <w:tcW w:w="1046" w:type="dxa"/>
            <w:tcBorders>
              <w:top w:val="nil"/>
              <w:left w:val="nil"/>
              <w:bottom w:val="nil"/>
              <w:right w:val="nil"/>
            </w:tcBorders>
            <w:vAlign w:val="center"/>
          </w:tcPr>
          <w:p>
            <w:pPr>
              <w:widowControl/>
              <w:spacing w:before="31" w:after="31"/>
              <w:jc w:val="right"/>
              <w:rPr>
                <w:rFonts w:ascii="Calibri" w:hAnsi="Calibri" w:cs="宋体"/>
                <w:kern w:val="0"/>
                <w:szCs w:val="21"/>
              </w:rPr>
            </w:pPr>
          </w:p>
        </w:tc>
      </w:tr>
      <w:tr>
        <w:trPr>
          <w:gridAfter w:val="2"/>
          <w:wAfter w:w="2092" w:type="dxa"/>
          <w:trHeight w:val="285" w:hRule="atLeast"/>
        </w:trPr>
        <w:tc>
          <w:tcPr>
            <w:tcW w:w="1045" w:type="dxa"/>
            <w:tcBorders>
              <w:top w:val="nil"/>
              <w:left w:val="nil"/>
              <w:bottom w:val="nil"/>
              <w:right w:val="nil"/>
            </w:tcBorders>
            <w:vAlign w:val="center"/>
          </w:tcPr>
          <w:p>
            <w:pPr>
              <w:widowControl/>
              <w:spacing w:before="31" w:after="31"/>
              <w:jc w:val="right"/>
              <w:rPr>
                <w:rFonts w:ascii="Calibri" w:hAnsi="Calibri" w:cs="宋体"/>
                <w:kern w:val="0"/>
                <w:szCs w:val="21"/>
              </w:rPr>
            </w:pPr>
          </w:p>
        </w:tc>
        <w:tc>
          <w:tcPr>
            <w:tcW w:w="1046" w:type="dxa"/>
            <w:tcBorders>
              <w:top w:val="nil"/>
              <w:left w:val="nil"/>
              <w:bottom w:val="nil"/>
              <w:right w:val="nil"/>
            </w:tcBorders>
            <w:vAlign w:val="center"/>
          </w:tcPr>
          <w:p>
            <w:pPr>
              <w:widowControl/>
              <w:spacing w:before="31" w:after="31"/>
              <w:jc w:val="right"/>
              <w:rPr>
                <w:rFonts w:ascii="Calibri" w:hAnsi="Calibri" w:cs="宋体"/>
                <w:kern w:val="0"/>
                <w:szCs w:val="21"/>
              </w:rPr>
            </w:pPr>
          </w:p>
        </w:tc>
        <w:tc>
          <w:tcPr>
            <w:tcW w:w="1045" w:type="dxa"/>
            <w:tcBorders>
              <w:top w:val="nil"/>
              <w:left w:val="nil"/>
              <w:bottom w:val="nil"/>
              <w:right w:val="nil"/>
            </w:tcBorders>
            <w:vAlign w:val="center"/>
          </w:tcPr>
          <w:p>
            <w:pPr>
              <w:widowControl/>
              <w:spacing w:before="31" w:after="31"/>
              <w:jc w:val="right"/>
              <w:rPr>
                <w:rFonts w:ascii="Calibri" w:hAnsi="Calibri" w:cs="宋体"/>
                <w:kern w:val="0"/>
                <w:szCs w:val="21"/>
              </w:rPr>
            </w:pPr>
          </w:p>
        </w:tc>
        <w:tc>
          <w:tcPr>
            <w:tcW w:w="1046" w:type="dxa"/>
            <w:tcBorders>
              <w:top w:val="nil"/>
              <w:left w:val="nil"/>
              <w:bottom w:val="nil"/>
              <w:right w:val="nil"/>
            </w:tcBorders>
            <w:vAlign w:val="center"/>
          </w:tcPr>
          <w:p>
            <w:pPr>
              <w:widowControl/>
              <w:spacing w:before="31" w:after="31"/>
              <w:jc w:val="right"/>
              <w:rPr>
                <w:rFonts w:ascii="Calibri" w:hAnsi="Calibri" w:cs="宋体"/>
                <w:kern w:val="0"/>
                <w:szCs w:val="21"/>
              </w:rPr>
            </w:pPr>
          </w:p>
        </w:tc>
        <w:tc>
          <w:tcPr>
            <w:tcW w:w="1045" w:type="dxa"/>
            <w:tcBorders>
              <w:top w:val="nil"/>
              <w:left w:val="nil"/>
              <w:bottom w:val="nil"/>
              <w:right w:val="nil"/>
            </w:tcBorders>
            <w:vAlign w:val="center"/>
          </w:tcPr>
          <w:p>
            <w:pPr>
              <w:widowControl/>
              <w:spacing w:before="31" w:after="31"/>
              <w:jc w:val="right"/>
              <w:rPr>
                <w:rFonts w:ascii="Calibri" w:hAnsi="Calibri" w:cs="宋体"/>
                <w:kern w:val="0"/>
                <w:szCs w:val="21"/>
              </w:rPr>
            </w:pPr>
          </w:p>
        </w:tc>
        <w:tc>
          <w:tcPr>
            <w:tcW w:w="1046" w:type="dxa"/>
            <w:tcBorders>
              <w:top w:val="nil"/>
              <w:left w:val="nil"/>
              <w:bottom w:val="nil"/>
              <w:right w:val="nil"/>
            </w:tcBorders>
            <w:vAlign w:val="center"/>
          </w:tcPr>
          <w:p>
            <w:pPr>
              <w:widowControl/>
              <w:spacing w:before="31" w:after="31"/>
              <w:jc w:val="right"/>
              <w:rPr>
                <w:rFonts w:ascii="Calibri" w:hAnsi="Calibri" w:cs="宋体"/>
                <w:kern w:val="0"/>
                <w:szCs w:val="21"/>
              </w:rPr>
            </w:pPr>
          </w:p>
        </w:tc>
        <w:tc>
          <w:tcPr>
            <w:tcW w:w="1045" w:type="dxa"/>
            <w:tcBorders>
              <w:top w:val="nil"/>
              <w:left w:val="nil"/>
              <w:bottom w:val="nil"/>
              <w:right w:val="nil"/>
            </w:tcBorders>
            <w:vAlign w:val="center"/>
          </w:tcPr>
          <w:p>
            <w:pPr>
              <w:widowControl/>
              <w:spacing w:before="31" w:after="31"/>
              <w:jc w:val="right"/>
              <w:rPr>
                <w:rFonts w:ascii="Calibri" w:hAnsi="Calibri" w:cs="宋体"/>
                <w:kern w:val="0"/>
                <w:szCs w:val="21"/>
              </w:rPr>
            </w:pPr>
          </w:p>
        </w:tc>
        <w:tc>
          <w:tcPr>
            <w:tcW w:w="1046" w:type="dxa"/>
            <w:tcBorders>
              <w:top w:val="nil"/>
              <w:left w:val="nil"/>
              <w:bottom w:val="nil"/>
              <w:right w:val="nil"/>
            </w:tcBorders>
            <w:vAlign w:val="center"/>
          </w:tcPr>
          <w:p>
            <w:pPr>
              <w:widowControl/>
              <w:spacing w:before="31" w:after="31"/>
              <w:jc w:val="right"/>
              <w:rPr>
                <w:rFonts w:ascii="Calibri" w:hAnsi="Calibri" w:cs="宋体"/>
                <w:kern w:val="0"/>
                <w:szCs w:val="21"/>
              </w:rPr>
            </w:pPr>
          </w:p>
        </w:tc>
      </w:tr>
      <w:tr>
        <w:trPr>
          <w:gridAfter w:val="2"/>
          <w:wAfter w:w="2092" w:type="dxa"/>
          <w:trHeight w:val="285" w:hRule="atLeast"/>
        </w:trPr>
        <w:tc>
          <w:tcPr>
            <w:tcW w:w="1045" w:type="dxa"/>
            <w:tcBorders>
              <w:top w:val="nil"/>
              <w:left w:val="nil"/>
              <w:bottom w:val="single" w:color="auto" w:sz="8" w:space="0"/>
              <w:right w:val="nil"/>
            </w:tcBorders>
            <w:vAlign w:val="center"/>
          </w:tcPr>
          <w:p>
            <w:pPr>
              <w:widowControl/>
              <w:spacing w:before="31" w:after="31"/>
              <w:jc w:val="left"/>
              <w:rPr>
                <w:rFonts w:ascii="宋体" w:hAnsi="宋体" w:cs="宋体"/>
                <w:kern w:val="0"/>
                <w:sz w:val="18"/>
                <w:szCs w:val="18"/>
              </w:rPr>
            </w:pPr>
            <w:r>
              <w:rPr>
                <w:rFonts w:hint="eastAsia" w:ascii="宋体" w:hAnsi="宋体" w:cs="宋体"/>
                <w:kern w:val="0"/>
                <w:sz w:val="18"/>
                <w:szCs w:val="18"/>
              </w:rPr>
              <w:t>　</w:t>
            </w:r>
          </w:p>
        </w:tc>
        <w:tc>
          <w:tcPr>
            <w:tcW w:w="1046" w:type="dxa"/>
            <w:tcBorders>
              <w:top w:val="nil"/>
              <w:left w:val="nil"/>
              <w:bottom w:val="single" w:color="auto" w:sz="8" w:space="0"/>
              <w:right w:val="nil"/>
            </w:tcBorders>
            <w:vAlign w:val="center"/>
          </w:tcPr>
          <w:p>
            <w:pPr>
              <w:widowControl/>
              <w:spacing w:before="31" w:after="31"/>
              <w:jc w:val="left"/>
              <w:rPr>
                <w:rFonts w:ascii="宋体" w:hAnsi="宋体" w:cs="宋体"/>
                <w:kern w:val="0"/>
                <w:sz w:val="18"/>
                <w:szCs w:val="18"/>
              </w:rPr>
            </w:pPr>
            <w:r>
              <w:rPr>
                <w:rFonts w:hint="eastAsia" w:ascii="宋体" w:hAnsi="宋体" w:cs="宋体"/>
                <w:kern w:val="0"/>
                <w:sz w:val="18"/>
                <w:szCs w:val="18"/>
              </w:rPr>
              <w:t>　</w:t>
            </w:r>
          </w:p>
        </w:tc>
        <w:tc>
          <w:tcPr>
            <w:tcW w:w="1045" w:type="dxa"/>
            <w:tcBorders>
              <w:top w:val="nil"/>
              <w:left w:val="nil"/>
              <w:bottom w:val="single" w:color="auto" w:sz="8" w:space="0"/>
              <w:right w:val="nil"/>
            </w:tcBorders>
            <w:vAlign w:val="center"/>
          </w:tcPr>
          <w:p>
            <w:pPr>
              <w:widowControl/>
              <w:spacing w:before="31" w:after="31"/>
              <w:jc w:val="left"/>
              <w:rPr>
                <w:rFonts w:ascii="宋体" w:hAnsi="宋体" w:cs="宋体"/>
                <w:kern w:val="0"/>
                <w:sz w:val="18"/>
                <w:szCs w:val="18"/>
              </w:rPr>
            </w:pPr>
            <w:r>
              <w:rPr>
                <w:rFonts w:hint="eastAsia" w:ascii="宋体" w:hAnsi="宋体" w:cs="宋体"/>
                <w:kern w:val="0"/>
                <w:sz w:val="18"/>
                <w:szCs w:val="18"/>
              </w:rPr>
              <w:t>　</w:t>
            </w:r>
          </w:p>
        </w:tc>
        <w:tc>
          <w:tcPr>
            <w:tcW w:w="1046" w:type="dxa"/>
            <w:tcBorders>
              <w:top w:val="nil"/>
              <w:left w:val="nil"/>
              <w:bottom w:val="single" w:color="auto" w:sz="8" w:space="0"/>
              <w:right w:val="nil"/>
            </w:tcBorders>
            <w:vAlign w:val="center"/>
          </w:tcPr>
          <w:p>
            <w:pPr>
              <w:widowControl/>
              <w:spacing w:before="31" w:after="31"/>
              <w:jc w:val="left"/>
              <w:rPr>
                <w:rFonts w:ascii="宋体" w:hAnsi="宋体" w:cs="宋体"/>
                <w:kern w:val="0"/>
                <w:sz w:val="18"/>
                <w:szCs w:val="18"/>
              </w:rPr>
            </w:pPr>
            <w:r>
              <w:rPr>
                <w:rFonts w:hint="eastAsia" w:ascii="宋体" w:hAnsi="宋体" w:cs="宋体"/>
                <w:kern w:val="0"/>
                <w:sz w:val="18"/>
                <w:szCs w:val="18"/>
              </w:rPr>
              <w:t>　</w:t>
            </w:r>
          </w:p>
        </w:tc>
        <w:tc>
          <w:tcPr>
            <w:tcW w:w="1045" w:type="dxa"/>
            <w:tcBorders>
              <w:top w:val="nil"/>
              <w:left w:val="nil"/>
              <w:bottom w:val="single" w:color="auto" w:sz="8" w:space="0"/>
              <w:right w:val="nil"/>
            </w:tcBorders>
            <w:vAlign w:val="center"/>
          </w:tcPr>
          <w:p>
            <w:pPr>
              <w:widowControl/>
              <w:spacing w:before="31" w:after="31"/>
              <w:jc w:val="left"/>
              <w:rPr>
                <w:rFonts w:ascii="宋体" w:hAnsi="宋体" w:cs="宋体"/>
                <w:kern w:val="0"/>
                <w:sz w:val="18"/>
                <w:szCs w:val="18"/>
              </w:rPr>
            </w:pPr>
            <w:r>
              <w:rPr>
                <w:rFonts w:hint="eastAsia" w:ascii="宋体" w:hAnsi="宋体" w:cs="宋体"/>
                <w:kern w:val="0"/>
                <w:sz w:val="18"/>
                <w:szCs w:val="18"/>
              </w:rPr>
              <w:t>　</w:t>
            </w:r>
          </w:p>
        </w:tc>
        <w:tc>
          <w:tcPr>
            <w:tcW w:w="1046" w:type="dxa"/>
            <w:tcBorders>
              <w:top w:val="nil"/>
              <w:left w:val="nil"/>
              <w:bottom w:val="single" w:color="auto" w:sz="8" w:space="0"/>
              <w:right w:val="nil"/>
            </w:tcBorders>
            <w:vAlign w:val="center"/>
          </w:tcPr>
          <w:p>
            <w:pPr>
              <w:widowControl/>
              <w:spacing w:before="31" w:after="31"/>
              <w:jc w:val="left"/>
              <w:rPr>
                <w:rFonts w:ascii="宋体" w:hAnsi="宋体" w:cs="宋体"/>
                <w:kern w:val="0"/>
                <w:sz w:val="18"/>
                <w:szCs w:val="18"/>
              </w:rPr>
            </w:pPr>
            <w:r>
              <w:rPr>
                <w:rFonts w:hint="eastAsia" w:ascii="宋体" w:hAnsi="宋体" w:cs="宋体"/>
                <w:kern w:val="0"/>
                <w:sz w:val="18"/>
                <w:szCs w:val="18"/>
              </w:rPr>
              <w:t>　</w:t>
            </w:r>
          </w:p>
        </w:tc>
        <w:tc>
          <w:tcPr>
            <w:tcW w:w="1045" w:type="dxa"/>
            <w:tcBorders>
              <w:top w:val="nil"/>
              <w:left w:val="nil"/>
              <w:bottom w:val="single" w:color="auto" w:sz="8" w:space="0"/>
              <w:right w:val="nil"/>
            </w:tcBorders>
            <w:vAlign w:val="center"/>
          </w:tcPr>
          <w:p>
            <w:pPr>
              <w:widowControl/>
              <w:spacing w:before="31" w:after="31"/>
              <w:jc w:val="left"/>
              <w:rPr>
                <w:rFonts w:ascii="宋体" w:hAnsi="宋体" w:cs="宋体"/>
                <w:kern w:val="0"/>
                <w:sz w:val="18"/>
                <w:szCs w:val="18"/>
              </w:rPr>
            </w:pPr>
            <w:r>
              <w:rPr>
                <w:rFonts w:hint="eastAsia" w:ascii="宋体" w:hAnsi="宋体" w:cs="宋体"/>
                <w:kern w:val="0"/>
                <w:sz w:val="18"/>
                <w:szCs w:val="18"/>
              </w:rPr>
              <w:t>　</w:t>
            </w:r>
          </w:p>
        </w:tc>
        <w:tc>
          <w:tcPr>
            <w:tcW w:w="1046" w:type="dxa"/>
            <w:tcBorders>
              <w:top w:val="nil"/>
              <w:left w:val="nil"/>
              <w:bottom w:val="single" w:color="auto" w:sz="8" w:space="0"/>
              <w:right w:val="nil"/>
            </w:tcBorders>
            <w:vAlign w:val="center"/>
          </w:tcPr>
          <w:p>
            <w:pPr>
              <w:widowControl/>
              <w:spacing w:before="31" w:after="31"/>
              <w:jc w:val="left"/>
              <w:rPr>
                <w:rFonts w:ascii="宋体" w:hAnsi="宋体" w:cs="宋体"/>
                <w:kern w:val="0"/>
                <w:sz w:val="18"/>
                <w:szCs w:val="18"/>
              </w:rPr>
            </w:pPr>
            <w:r>
              <w:rPr>
                <w:rFonts w:hint="eastAsia" w:ascii="宋体" w:hAnsi="宋体" w:cs="宋体"/>
                <w:kern w:val="0"/>
                <w:sz w:val="18"/>
                <w:szCs w:val="18"/>
              </w:rPr>
              <w:t>　</w:t>
            </w:r>
          </w:p>
        </w:tc>
      </w:tr>
      <w:tr>
        <w:trPr>
          <w:gridAfter w:val="2"/>
          <w:wAfter w:w="2092" w:type="dxa"/>
          <w:trHeight w:val="285" w:hRule="atLeast"/>
        </w:trPr>
        <w:tc>
          <w:tcPr>
            <w:tcW w:w="1045" w:type="dxa"/>
            <w:tcBorders>
              <w:top w:val="nil"/>
              <w:left w:val="nil"/>
              <w:bottom w:val="nil"/>
              <w:right w:val="nil"/>
            </w:tcBorders>
            <w:vAlign w:val="center"/>
          </w:tcPr>
          <w:tbl>
            <w:tblPr>
              <w:tblW w:w="108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1080"/>
            </w:tblGrid>
            <w:tr>
              <w:trPr>
                <w:trHeight w:val="285" w:hRule="atLeast"/>
                <w:tblCellSpacing w:w="0" w:type="dxa"/>
              </w:trPr>
              <w:tc>
                <w:tcPr>
                  <w:tcW w:w="1080" w:type="dxa"/>
                  <w:tcBorders>
                    <w:top w:val="nil"/>
                    <w:left w:val="nil"/>
                    <w:bottom w:val="single" w:color="auto" w:sz="8" w:space="0"/>
                    <w:right w:val="nil"/>
                  </w:tcBorders>
                  <w:vAlign w:val="center"/>
                </w:tcPr>
                <w:p>
                  <w:pPr>
                    <w:widowControl/>
                    <w:spacing w:before="31" w:after="31"/>
                    <w:rPr>
                      <w:rFonts w:ascii="宋体" w:hAnsi="宋体" w:cs="宋体"/>
                      <w:kern w:val="0"/>
                      <w:sz w:val="18"/>
                      <w:szCs w:val="18"/>
                    </w:rPr>
                  </w:pPr>
                  <w:r>
                    <w:rPr>
                      <w:rFonts w:hint="eastAsia" w:ascii="宋体" w:hAnsi="宋体" w:cs="宋体"/>
                      <w:kern w:val="0"/>
                      <w:sz w:val="18"/>
                      <w:szCs w:val="18"/>
                    </w:rPr>
                    <w:t>续表</w:t>
                  </w:r>
                </w:p>
              </w:tc>
            </w:tr>
          </w:tbl>
          <w:p>
            <w:pPr>
              <w:widowControl/>
              <w:spacing w:before="31" w:after="31"/>
              <w:jc w:val="left"/>
              <w:rPr>
                <w:rFonts w:ascii="宋体" w:hAnsi="宋体" w:cs="宋体"/>
                <w:kern w:val="0"/>
                <w:sz w:val="22"/>
                <w:szCs w:val="22"/>
              </w:rPr>
            </w:pPr>
          </w:p>
        </w:tc>
        <w:tc>
          <w:tcPr>
            <w:tcW w:w="1046" w:type="dxa"/>
            <w:tcBorders>
              <w:top w:val="nil"/>
              <w:left w:val="nil"/>
              <w:bottom w:val="nil"/>
              <w:right w:val="nil"/>
            </w:tcBorders>
            <w:vAlign w:val="center"/>
          </w:tcPr>
          <w:p>
            <w:pPr>
              <w:widowControl/>
              <w:spacing w:before="31" w:after="31"/>
              <w:rPr>
                <w:rFonts w:ascii="宋体" w:hAnsi="宋体" w:cs="宋体"/>
                <w:kern w:val="0"/>
                <w:sz w:val="18"/>
                <w:szCs w:val="18"/>
              </w:rPr>
            </w:pPr>
          </w:p>
        </w:tc>
        <w:tc>
          <w:tcPr>
            <w:tcW w:w="1045" w:type="dxa"/>
            <w:tcBorders>
              <w:top w:val="nil"/>
              <w:left w:val="nil"/>
              <w:bottom w:val="single" w:color="auto" w:sz="8" w:space="0"/>
              <w:right w:val="nil"/>
            </w:tcBorders>
            <w:vAlign w:val="center"/>
          </w:tcPr>
          <w:p>
            <w:pPr>
              <w:widowControl/>
              <w:spacing w:before="31" w:after="31"/>
              <w:rPr>
                <w:rFonts w:ascii="宋体" w:hAnsi="宋体" w:cs="宋体"/>
                <w:kern w:val="0"/>
                <w:szCs w:val="21"/>
              </w:rPr>
            </w:pPr>
            <w:r>
              <w:rPr>
                <w:rFonts w:hint="eastAsia" w:ascii="宋体" w:hAnsi="宋体" w:cs="宋体"/>
                <w:kern w:val="0"/>
                <w:szCs w:val="21"/>
              </w:rPr>
              <w:t>　</w:t>
            </w:r>
          </w:p>
        </w:tc>
        <w:tc>
          <w:tcPr>
            <w:tcW w:w="1046" w:type="dxa"/>
            <w:tcBorders>
              <w:top w:val="nil"/>
              <w:left w:val="nil"/>
              <w:bottom w:val="single" w:color="auto" w:sz="8" w:space="0"/>
              <w:right w:val="nil"/>
            </w:tcBorders>
            <w:vAlign w:val="center"/>
          </w:tcPr>
          <w:p>
            <w:pPr>
              <w:widowControl/>
              <w:spacing w:before="31" w:after="31"/>
              <w:rPr>
                <w:rFonts w:ascii="宋体" w:hAnsi="宋体" w:cs="宋体"/>
                <w:kern w:val="0"/>
                <w:szCs w:val="21"/>
              </w:rPr>
            </w:pPr>
            <w:r>
              <w:rPr>
                <w:rFonts w:hint="eastAsia" w:ascii="宋体" w:hAnsi="宋体" w:cs="宋体"/>
                <w:kern w:val="0"/>
                <w:szCs w:val="21"/>
              </w:rPr>
              <w:t>　</w:t>
            </w:r>
          </w:p>
        </w:tc>
        <w:tc>
          <w:tcPr>
            <w:tcW w:w="1045" w:type="dxa"/>
            <w:tcBorders>
              <w:top w:val="nil"/>
              <w:left w:val="nil"/>
              <w:bottom w:val="single" w:color="auto" w:sz="8" w:space="0"/>
              <w:right w:val="nil"/>
            </w:tcBorders>
            <w:vAlign w:val="center"/>
          </w:tcPr>
          <w:p>
            <w:pPr>
              <w:widowControl/>
              <w:spacing w:before="31" w:after="31"/>
              <w:rPr>
                <w:rFonts w:ascii="宋体" w:hAnsi="宋体" w:cs="宋体"/>
                <w:kern w:val="0"/>
                <w:szCs w:val="21"/>
              </w:rPr>
            </w:pPr>
            <w:r>
              <w:rPr>
                <w:rFonts w:hint="eastAsia" w:ascii="宋体" w:hAnsi="宋体" w:cs="宋体"/>
                <w:kern w:val="0"/>
                <w:szCs w:val="21"/>
              </w:rPr>
              <w:t>　</w:t>
            </w:r>
          </w:p>
        </w:tc>
        <w:tc>
          <w:tcPr>
            <w:tcW w:w="1046" w:type="dxa"/>
            <w:tcBorders>
              <w:top w:val="nil"/>
              <w:left w:val="nil"/>
              <w:bottom w:val="single" w:color="auto" w:sz="8" w:space="0"/>
              <w:right w:val="nil"/>
            </w:tcBorders>
            <w:vAlign w:val="center"/>
          </w:tcPr>
          <w:p>
            <w:pPr>
              <w:widowControl/>
              <w:spacing w:before="31" w:after="31"/>
              <w:rPr>
                <w:rFonts w:ascii="宋体" w:hAnsi="宋体" w:cs="宋体"/>
                <w:kern w:val="0"/>
                <w:szCs w:val="21"/>
              </w:rPr>
            </w:pPr>
            <w:r>
              <w:rPr>
                <w:rFonts w:hint="eastAsia" w:ascii="宋体" w:hAnsi="宋体" w:cs="宋体"/>
                <w:kern w:val="0"/>
                <w:szCs w:val="21"/>
              </w:rPr>
              <w:t>　</w:t>
            </w:r>
          </w:p>
        </w:tc>
        <w:tc>
          <w:tcPr>
            <w:tcW w:w="1045" w:type="dxa"/>
            <w:tcBorders>
              <w:top w:val="nil"/>
              <w:left w:val="nil"/>
              <w:bottom w:val="single" w:color="auto" w:sz="8" w:space="0"/>
              <w:right w:val="nil"/>
            </w:tcBorders>
            <w:vAlign w:val="center"/>
          </w:tcPr>
          <w:p>
            <w:pPr>
              <w:widowControl/>
              <w:spacing w:before="31" w:after="31"/>
              <w:rPr>
                <w:rFonts w:ascii="宋体" w:hAnsi="宋体" w:cs="宋体"/>
                <w:kern w:val="0"/>
                <w:szCs w:val="21"/>
              </w:rPr>
            </w:pPr>
            <w:r>
              <w:rPr>
                <w:rFonts w:hint="eastAsia" w:ascii="宋体" w:hAnsi="宋体" w:cs="宋体"/>
                <w:kern w:val="0"/>
                <w:szCs w:val="21"/>
              </w:rPr>
              <w:t>　</w:t>
            </w:r>
          </w:p>
        </w:tc>
        <w:tc>
          <w:tcPr>
            <w:tcW w:w="1046" w:type="dxa"/>
            <w:tcBorders>
              <w:top w:val="nil"/>
              <w:left w:val="nil"/>
              <w:bottom w:val="single" w:color="auto" w:sz="8" w:space="0"/>
              <w:right w:val="nil"/>
            </w:tcBorders>
            <w:vAlign w:val="center"/>
          </w:tcPr>
          <w:p>
            <w:pPr>
              <w:widowControl/>
              <w:spacing w:before="31" w:after="31"/>
              <w:rPr>
                <w:rFonts w:ascii="宋体" w:hAnsi="宋体" w:cs="宋体"/>
                <w:kern w:val="0"/>
                <w:szCs w:val="21"/>
              </w:rPr>
            </w:pPr>
            <w:r>
              <w:rPr>
                <w:rFonts w:hint="eastAsia" w:ascii="宋体" w:hAnsi="宋体" w:cs="宋体"/>
                <w:kern w:val="0"/>
                <w:szCs w:val="21"/>
              </w:rPr>
              <w:t>　</w:t>
            </w:r>
          </w:p>
        </w:tc>
      </w:tr>
      <w:tr>
        <w:trPr>
          <w:gridAfter w:val="2"/>
          <w:wAfter w:w="2092" w:type="dxa"/>
          <w:trHeight w:val="271" w:hRule="atLeast"/>
        </w:trPr>
        <w:tc>
          <w:tcPr>
            <w:tcW w:w="1045" w:type="dxa"/>
            <w:vMerge w:val="restart"/>
            <w:tcBorders>
              <w:top w:val="nil"/>
              <w:left w:val="nil"/>
              <w:bottom w:val="single" w:color="000000" w:sz="8" w:space="0"/>
              <w:right w:val="single" w:color="auto" w:sz="8"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主要贸易方式</w:t>
            </w:r>
          </w:p>
        </w:tc>
        <w:tc>
          <w:tcPr>
            <w:tcW w:w="1046" w:type="dxa"/>
            <w:vMerge w:val="restart"/>
            <w:tcBorders>
              <w:top w:val="single" w:color="auto" w:sz="8" w:space="0"/>
              <w:left w:val="nil"/>
              <w:bottom w:val="single" w:color="000000" w:sz="8" w:space="0"/>
              <w:right w:val="single" w:color="auto" w:sz="8"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主营产品</w:t>
            </w:r>
          </w:p>
        </w:tc>
        <w:tc>
          <w:tcPr>
            <w:tcW w:w="1045" w:type="dxa"/>
            <w:vMerge w:val="restart"/>
            <w:tcBorders>
              <w:top w:val="nil"/>
              <w:left w:val="nil"/>
              <w:bottom w:val="single" w:color="000000" w:sz="8" w:space="0"/>
              <w:right w:val="single" w:color="auto" w:sz="8"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主要出口国家及地区</w:t>
            </w:r>
          </w:p>
        </w:tc>
        <w:tc>
          <w:tcPr>
            <w:tcW w:w="1046" w:type="dxa"/>
            <w:vMerge w:val="restart"/>
            <w:tcBorders>
              <w:top w:val="nil"/>
              <w:left w:val="nil"/>
              <w:bottom w:val="single" w:color="000000" w:sz="8" w:space="0"/>
              <w:right w:val="single" w:color="auto" w:sz="8"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主要进口国家及地区</w:t>
            </w:r>
          </w:p>
        </w:tc>
        <w:tc>
          <w:tcPr>
            <w:tcW w:w="1045" w:type="dxa"/>
            <w:vMerge w:val="restart"/>
            <w:tcBorders>
              <w:top w:val="nil"/>
              <w:left w:val="nil"/>
              <w:bottom w:val="single" w:color="000000" w:sz="8" w:space="0"/>
              <w:right w:val="single" w:color="auto" w:sz="8"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企业联系人</w:t>
            </w:r>
          </w:p>
        </w:tc>
        <w:tc>
          <w:tcPr>
            <w:tcW w:w="1046" w:type="dxa"/>
            <w:vMerge w:val="restart"/>
            <w:tcBorders>
              <w:top w:val="nil"/>
              <w:left w:val="nil"/>
              <w:bottom w:val="single" w:color="000000" w:sz="8" w:space="0"/>
              <w:right w:val="single" w:color="auto" w:sz="8"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企业联系人电话</w:t>
            </w:r>
          </w:p>
        </w:tc>
        <w:tc>
          <w:tcPr>
            <w:tcW w:w="1045" w:type="dxa"/>
            <w:vMerge w:val="restart"/>
            <w:tcBorders>
              <w:top w:val="nil"/>
              <w:left w:val="nil"/>
              <w:bottom w:val="single" w:color="000000" w:sz="8" w:space="0"/>
              <w:right w:val="single" w:color="auto" w:sz="8"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企业联系人手机</w:t>
            </w:r>
          </w:p>
        </w:tc>
        <w:tc>
          <w:tcPr>
            <w:tcW w:w="1046" w:type="dxa"/>
            <w:vMerge w:val="restart"/>
            <w:tcBorders>
              <w:top w:val="nil"/>
              <w:left w:val="nil"/>
              <w:bottom w:val="single" w:color="000000" w:sz="8" w:space="0"/>
              <w:right w:val="nil"/>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贸易信贷申报表填报人</w:t>
            </w:r>
          </w:p>
        </w:tc>
      </w:tr>
      <w:tr>
        <w:trPr>
          <w:gridAfter w:val="2"/>
          <w:wAfter w:w="2092" w:type="dxa"/>
          <w:trHeight w:val="302" w:hRule="atLeast"/>
        </w:trPr>
        <w:tc>
          <w:tcPr>
            <w:tcW w:w="1045" w:type="dxa"/>
            <w:vMerge w:val="continue"/>
            <w:tcBorders>
              <w:top w:val="nil"/>
              <w:left w:val="nil"/>
              <w:bottom w:val="single" w:color="000000" w:sz="8" w:space="0"/>
              <w:right w:val="single" w:color="auto" w:sz="8" w:space="0"/>
            </w:tcBorders>
            <w:vAlign w:val="center"/>
          </w:tcPr>
          <w:p>
            <w:pPr>
              <w:widowControl/>
              <w:spacing w:before="31" w:after="31"/>
              <w:jc w:val="left"/>
              <w:rPr>
                <w:rFonts w:ascii="宋体" w:hAnsi="宋体" w:cs="宋体"/>
                <w:kern w:val="0"/>
                <w:sz w:val="18"/>
                <w:szCs w:val="18"/>
              </w:rPr>
            </w:pPr>
          </w:p>
        </w:tc>
        <w:tc>
          <w:tcPr>
            <w:tcW w:w="1046" w:type="dxa"/>
            <w:vMerge w:val="continue"/>
            <w:tcBorders>
              <w:top w:val="single" w:color="auto" w:sz="8" w:space="0"/>
              <w:left w:val="nil"/>
              <w:bottom w:val="single" w:color="000000" w:sz="8" w:space="0"/>
              <w:right w:val="single" w:color="auto" w:sz="8" w:space="0"/>
            </w:tcBorders>
            <w:vAlign w:val="center"/>
          </w:tcPr>
          <w:p>
            <w:pPr>
              <w:widowControl/>
              <w:spacing w:before="31" w:after="31"/>
              <w:jc w:val="left"/>
              <w:rPr>
                <w:rFonts w:ascii="宋体" w:hAnsi="宋体" w:cs="宋体"/>
                <w:kern w:val="0"/>
                <w:sz w:val="18"/>
                <w:szCs w:val="18"/>
              </w:rPr>
            </w:pPr>
          </w:p>
        </w:tc>
        <w:tc>
          <w:tcPr>
            <w:tcW w:w="1045" w:type="dxa"/>
            <w:vMerge w:val="continue"/>
            <w:tcBorders>
              <w:top w:val="nil"/>
              <w:left w:val="nil"/>
              <w:bottom w:val="single" w:color="000000" w:sz="8" w:space="0"/>
              <w:right w:val="single" w:color="auto" w:sz="8" w:space="0"/>
            </w:tcBorders>
            <w:vAlign w:val="center"/>
          </w:tcPr>
          <w:p>
            <w:pPr>
              <w:widowControl/>
              <w:spacing w:before="31" w:after="31"/>
              <w:jc w:val="left"/>
              <w:rPr>
                <w:rFonts w:ascii="宋体" w:hAnsi="宋体" w:cs="宋体"/>
                <w:kern w:val="0"/>
                <w:sz w:val="18"/>
                <w:szCs w:val="18"/>
              </w:rPr>
            </w:pPr>
          </w:p>
        </w:tc>
        <w:tc>
          <w:tcPr>
            <w:tcW w:w="1046" w:type="dxa"/>
            <w:vMerge w:val="continue"/>
            <w:tcBorders>
              <w:top w:val="nil"/>
              <w:left w:val="nil"/>
              <w:bottom w:val="single" w:color="000000" w:sz="8" w:space="0"/>
              <w:right w:val="single" w:color="auto" w:sz="8" w:space="0"/>
            </w:tcBorders>
            <w:vAlign w:val="center"/>
          </w:tcPr>
          <w:p>
            <w:pPr>
              <w:widowControl/>
              <w:spacing w:before="31" w:after="31"/>
              <w:jc w:val="left"/>
              <w:rPr>
                <w:rFonts w:ascii="宋体" w:hAnsi="宋体" w:cs="宋体"/>
                <w:kern w:val="0"/>
                <w:sz w:val="18"/>
                <w:szCs w:val="18"/>
              </w:rPr>
            </w:pPr>
          </w:p>
        </w:tc>
        <w:tc>
          <w:tcPr>
            <w:tcW w:w="1045" w:type="dxa"/>
            <w:vMerge w:val="continue"/>
            <w:tcBorders>
              <w:top w:val="nil"/>
              <w:left w:val="nil"/>
              <w:bottom w:val="single" w:color="000000" w:sz="8" w:space="0"/>
              <w:right w:val="single" w:color="auto" w:sz="8" w:space="0"/>
            </w:tcBorders>
            <w:vAlign w:val="center"/>
          </w:tcPr>
          <w:p>
            <w:pPr>
              <w:widowControl/>
              <w:spacing w:before="31" w:after="31"/>
              <w:jc w:val="left"/>
              <w:rPr>
                <w:rFonts w:ascii="宋体" w:hAnsi="宋体" w:cs="宋体"/>
                <w:kern w:val="0"/>
                <w:sz w:val="18"/>
                <w:szCs w:val="18"/>
              </w:rPr>
            </w:pPr>
          </w:p>
        </w:tc>
        <w:tc>
          <w:tcPr>
            <w:tcW w:w="1046" w:type="dxa"/>
            <w:vMerge w:val="continue"/>
            <w:tcBorders>
              <w:top w:val="nil"/>
              <w:left w:val="nil"/>
              <w:bottom w:val="single" w:color="000000" w:sz="8" w:space="0"/>
              <w:right w:val="single" w:color="auto" w:sz="8" w:space="0"/>
            </w:tcBorders>
            <w:vAlign w:val="center"/>
          </w:tcPr>
          <w:p>
            <w:pPr>
              <w:widowControl/>
              <w:spacing w:before="31" w:after="31"/>
              <w:jc w:val="left"/>
              <w:rPr>
                <w:rFonts w:ascii="宋体" w:hAnsi="宋体" w:cs="宋体"/>
                <w:kern w:val="0"/>
                <w:sz w:val="18"/>
                <w:szCs w:val="18"/>
              </w:rPr>
            </w:pPr>
          </w:p>
        </w:tc>
        <w:tc>
          <w:tcPr>
            <w:tcW w:w="1045" w:type="dxa"/>
            <w:vMerge w:val="continue"/>
            <w:tcBorders>
              <w:top w:val="nil"/>
              <w:left w:val="nil"/>
              <w:bottom w:val="single" w:color="000000" w:sz="8" w:space="0"/>
              <w:right w:val="single" w:color="auto" w:sz="8" w:space="0"/>
            </w:tcBorders>
            <w:vAlign w:val="center"/>
          </w:tcPr>
          <w:p>
            <w:pPr>
              <w:widowControl/>
              <w:spacing w:before="31" w:after="31"/>
              <w:jc w:val="left"/>
              <w:rPr>
                <w:rFonts w:ascii="宋体" w:hAnsi="宋体" w:cs="宋体"/>
                <w:kern w:val="0"/>
                <w:sz w:val="18"/>
                <w:szCs w:val="18"/>
              </w:rPr>
            </w:pPr>
          </w:p>
        </w:tc>
        <w:tc>
          <w:tcPr>
            <w:tcW w:w="1046" w:type="dxa"/>
            <w:vMerge w:val="continue"/>
            <w:tcBorders>
              <w:top w:val="nil"/>
              <w:left w:val="nil"/>
              <w:bottom w:val="single" w:color="000000" w:sz="8" w:space="0"/>
              <w:right w:val="nil"/>
            </w:tcBorders>
            <w:vAlign w:val="center"/>
          </w:tcPr>
          <w:p>
            <w:pPr>
              <w:widowControl/>
              <w:spacing w:before="31" w:after="31"/>
              <w:jc w:val="left"/>
              <w:rPr>
                <w:rFonts w:ascii="宋体" w:hAnsi="宋体" w:cs="宋体"/>
                <w:kern w:val="0"/>
                <w:sz w:val="18"/>
                <w:szCs w:val="18"/>
              </w:rPr>
            </w:pPr>
          </w:p>
        </w:tc>
      </w:tr>
      <w:tr>
        <w:trPr>
          <w:gridAfter w:val="2"/>
          <w:wAfter w:w="2092" w:type="dxa"/>
          <w:trHeight w:val="302" w:hRule="atLeast"/>
        </w:trPr>
        <w:tc>
          <w:tcPr>
            <w:tcW w:w="1045" w:type="dxa"/>
            <w:vMerge w:val="continue"/>
            <w:tcBorders>
              <w:top w:val="nil"/>
              <w:left w:val="nil"/>
              <w:bottom w:val="single" w:color="000000" w:sz="8" w:space="0"/>
              <w:right w:val="single" w:color="auto" w:sz="8" w:space="0"/>
            </w:tcBorders>
            <w:vAlign w:val="center"/>
          </w:tcPr>
          <w:p>
            <w:pPr>
              <w:widowControl/>
              <w:spacing w:before="31" w:after="31"/>
              <w:jc w:val="left"/>
              <w:rPr>
                <w:rFonts w:ascii="宋体" w:hAnsi="宋体" w:cs="宋体"/>
                <w:kern w:val="0"/>
                <w:sz w:val="18"/>
                <w:szCs w:val="18"/>
              </w:rPr>
            </w:pPr>
          </w:p>
        </w:tc>
        <w:tc>
          <w:tcPr>
            <w:tcW w:w="1046" w:type="dxa"/>
            <w:vMerge w:val="continue"/>
            <w:tcBorders>
              <w:top w:val="single" w:color="auto" w:sz="8" w:space="0"/>
              <w:left w:val="nil"/>
              <w:bottom w:val="single" w:color="000000" w:sz="8" w:space="0"/>
              <w:right w:val="single" w:color="auto" w:sz="8" w:space="0"/>
            </w:tcBorders>
            <w:vAlign w:val="center"/>
          </w:tcPr>
          <w:p>
            <w:pPr>
              <w:widowControl/>
              <w:spacing w:before="31" w:after="31"/>
              <w:jc w:val="left"/>
              <w:rPr>
                <w:rFonts w:ascii="宋体" w:hAnsi="宋体" w:cs="宋体"/>
                <w:kern w:val="0"/>
                <w:sz w:val="18"/>
                <w:szCs w:val="18"/>
              </w:rPr>
            </w:pPr>
          </w:p>
        </w:tc>
        <w:tc>
          <w:tcPr>
            <w:tcW w:w="1045" w:type="dxa"/>
            <w:vMerge w:val="continue"/>
            <w:tcBorders>
              <w:top w:val="nil"/>
              <w:left w:val="nil"/>
              <w:bottom w:val="single" w:color="000000" w:sz="8" w:space="0"/>
              <w:right w:val="single" w:color="auto" w:sz="8" w:space="0"/>
            </w:tcBorders>
            <w:vAlign w:val="center"/>
          </w:tcPr>
          <w:p>
            <w:pPr>
              <w:widowControl/>
              <w:spacing w:before="31" w:after="31"/>
              <w:jc w:val="left"/>
              <w:rPr>
                <w:rFonts w:ascii="宋体" w:hAnsi="宋体" w:cs="宋体"/>
                <w:kern w:val="0"/>
                <w:sz w:val="18"/>
                <w:szCs w:val="18"/>
              </w:rPr>
            </w:pPr>
          </w:p>
        </w:tc>
        <w:tc>
          <w:tcPr>
            <w:tcW w:w="1046" w:type="dxa"/>
            <w:vMerge w:val="continue"/>
            <w:tcBorders>
              <w:top w:val="nil"/>
              <w:left w:val="nil"/>
              <w:bottom w:val="single" w:color="000000" w:sz="8" w:space="0"/>
              <w:right w:val="single" w:color="auto" w:sz="8" w:space="0"/>
            </w:tcBorders>
            <w:vAlign w:val="center"/>
          </w:tcPr>
          <w:p>
            <w:pPr>
              <w:widowControl/>
              <w:spacing w:before="31" w:after="31"/>
              <w:jc w:val="left"/>
              <w:rPr>
                <w:rFonts w:ascii="宋体" w:hAnsi="宋体" w:cs="宋体"/>
                <w:kern w:val="0"/>
                <w:sz w:val="18"/>
                <w:szCs w:val="18"/>
              </w:rPr>
            </w:pPr>
          </w:p>
        </w:tc>
        <w:tc>
          <w:tcPr>
            <w:tcW w:w="1045" w:type="dxa"/>
            <w:vMerge w:val="continue"/>
            <w:tcBorders>
              <w:top w:val="nil"/>
              <w:left w:val="nil"/>
              <w:bottom w:val="single" w:color="000000" w:sz="8" w:space="0"/>
              <w:right w:val="single" w:color="auto" w:sz="8" w:space="0"/>
            </w:tcBorders>
            <w:vAlign w:val="center"/>
          </w:tcPr>
          <w:p>
            <w:pPr>
              <w:widowControl/>
              <w:spacing w:before="31" w:after="31"/>
              <w:jc w:val="left"/>
              <w:rPr>
                <w:rFonts w:ascii="宋体" w:hAnsi="宋体" w:cs="宋体"/>
                <w:kern w:val="0"/>
                <w:sz w:val="18"/>
                <w:szCs w:val="18"/>
              </w:rPr>
            </w:pPr>
          </w:p>
        </w:tc>
        <w:tc>
          <w:tcPr>
            <w:tcW w:w="1046" w:type="dxa"/>
            <w:vMerge w:val="continue"/>
            <w:tcBorders>
              <w:top w:val="nil"/>
              <w:left w:val="nil"/>
              <w:bottom w:val="single" w:color="000000" w:sz="8" w:space="0"/>
              <w:right w:val="single" w:color="auto" w:sz="8" w:space="0"/>
            </w:tcBorders>
            <w:vAlign w:val="center"/>
          </w:tcPr>
          <w:p>
            <w:pPr>
              <w:widowControl/>
              <w:spacing w:before="31" w:after="31"/>
              <w:jc w:val="left"/>
              <w:rPr>
                <w:rFonts w:ascii="宋体" w:hAnsi="宋体" w:cs="宋体"/>
                <w:kern w:val="0"/>
                <w:sz w:val="18"/>
                <w:szCs w:val="18"/>
              </w:rPr>
            </w:pPr>
          </w:p>
        </w:tc>
        <w:tc>
          <w:tcPr>
            <w:tcW w:w="1045" w:type="dxa"/>
            <w:vMerge w:val="continue"/>
            <w:tcBorders>
              <w:top w:val="nil"/>
              <w:left w:val="nil"/>
              <w:bottom w:val="single" w:color="000000" w:sz="8" w:space="0"/>
              <w:right w:val="single" w:color="auto" w:sz="8" w:space="0"/>
            </w:tcBorders>
            <w:vAlign w:val="center"/>
          </w:tcPr>
          <w:p>
            <w:pPr>
              <w:widowControl/>
              <w:spacing w:before="31" w:after="31"/>
              <w:jc w:val="left"/>
              <w:rPr>
                <w:rFonts w:ascii="宋体" w:hAnsi="宋体" w:cs="宋体"/>
                <w:kern w:val="0"/>
                <w:sz w:val="18"/>
                <w:szCs w:val="18"/>
              </w:rPr>
            </w:pPr>
          </w:p>
        </w:tc>
        <w:tc>
          <w:tcPr>
            <w:tcW w:w="1046" w:type="dxa"/>
            <w:vMerge w:val="continue"/>
            <w:tcBorders>
              <w:top w:val="nil"/>
              <w:left w:val="nil"/>
              <w:bottom w:val="single" w:color="000000" w:sz="8" w:space="0"/>
              <w:right w:val="nil"/>
            </w:tcBorders>
            <w:vAlign w:val="center"/>
          </w:tcPr>
          <w:p>
            <w:pPr>
              <w:widowControl/>
              <w:spacing w:before="31" w:after="31"/>
              <w:jc w:val="left"/>
              <w:rPr>
                <w:rFonts w:ascii="宋体" w:hAnsi="宋体" w:cs="宋体"/>
                <w:kern w:val="0"/>
                <w:sz w:val="18"/>
                <w:szCs w:val="18"/>
              </w:rPr>
            </w:pPr>
          </w:p>
        </w:tc>
      </w:tr>
      <w:tr>
        <w:trPr>
          <w:gridAfter w:val="2"/>
          <w:wAfter w:w="2092" w:type="dxa"/>
          <w:trHeight w:val="300" w:hRule="atLeast"/>
        </w:trPr>
        <w:tc>
          <w:tcPr>
            <w:tcW w:w="1045" w:type="dxa"/>
            <w:tcBorders>
              <w:top w:val="nil"/>
              <w:left w:val="nil"/>
              <w:bottom w:val="single" w:color="auto" w:sz="8" w:space="0"/>
              <w:right w:val="single" w:color="auto" w:sz="8" w:space="0"/>
            </w:tcBorders>
            <w:vAlign w:val="center"/>
          </w:tcPr>
          <w:p>
            <w:pPr>
              <w:widowControl/>
              <w:spacing w:before="31" w:after="31"/>
              <w:jc w:val="center"/>
              <w:rPr>
                <w:kern w:val="0"/>
                <w:sz w:val="18"/>
                <w:szCs w:val="18"/>
              </w:rPr>
            </w:pPr>
            <w:r>
              <w:rPr>
                <w:kern w:val="0"/>
                <w:sz w:val="18"/>
                <w:szCs w:val="18"/>
              </w:rPr>
              <w:t>T0109</w:t>
            </w:r>
          </w:p>
        </w:tc>
        <w:tc>
          <w:tcPr>
            <w:tcW w:w="1046" w:type="dxa"/>
            <w:tcBorders>
              <w:top w:val="nil"/>
              <w:left w:val="nil"/>
              <w:bottom w:val="single" w:color="auto" w:sz="8" w:space="0"/>
              <w:right w:val="single" w:color="auto" w:sz="8" w:space="0"/>
            </w:tcBorders>
            <w:vAlign w:val="center"/>
          </w:tcPr>
          <w:p>
            <w:pPr>
              <w:widowControl/>
              <w:spacing w:before="31" w:after="31"/>
              <w:jc w:val="center"/>
              <w:rPr>
                <w:kern w:val="0"/>
                <w:sz w:val="18"/>
                <w:szCs w:val="18"/>
              </w:rPr>
            </w:pPr>
            <w:r>
              <w:rPr>
                <w:kern w:val="0"/>
                <w:sz w:val="18"/>
                <w:szCs w:val="18"/>
              </w:rPr>
              <w:t>T0110</w:t>
            </w:r>
          </w:p>
        </w:tc>
        <w:tc>
          <w:tcPr>
            <w:tcW w:w="1045" w:type="dxa"/>
            <w:tcBorders>
              <w:top w:val="nil"/>
              <w:left w:val="nil"/>
              <w:bottom w:val="single" w:color="auto" w:sz="8" w:space="0"/>
              <w:right w:val="nil"/>
            </w:tcBorders>
            <w:vAlign w:val="top"/>
          </w:tcPr>
          <w:p>
            <w:pPr>
              <w:widowControl/>
              <w:spacing w:before="31" w:after="31"/>
              <w:jc w:val="center"/>
              <w:rPr>
                <w:kern w:val="0"/>
                <w:sz w:val="18"/>
                <w:szCs w:val="18"/>
              </w:rPr>
            </w:pPr>
            <w:r>
              <w:rPr>
                <w:kern w:val="0"/>
                <w:sz w:val="18"/>
                <w:szCs w:val="18"/>
              </w:rPr>
              <w:t>T011</w:t>
            </w:r>
            <w:r>
              <w:rPr>
                <w:rFonts w:hint="eastAsia"/>
                <w:kern w:val="0"/>
                <w:sz w:val="18"/>
                <w:szCs w:val="18"/>
              </w:rPr>
              <w:t>1</w:t>
            </w:r>
          </w:p>
        </w:tc>
        <w:tc>
          <w:tcPr>
            <w:tcW w:w="1046" w:type="dxa"/>
            <w:tcBorders>
              <w:top w:val="nil"/>
              <w:left w:val="single" w:color="auto" w:sz="8" w:space="0"/>
              <w:bottom w:val="single" w:color="auto" w:sz="8" w:space="0"/>
              <w:right w:val="single" w:color="auto" w:sz="8" w:space="0"/>
            </w:tcBorders>
            <w:vAlign w:val="top"/>
          </w:tcPr>
          <w:p>
            <w:pPr>
              <w:widowControl/>
              <w:spacing w:before="31" w:after="31"/>
              <w:jc w:val="center"/>
              <w:rPr>
                <w:kern w:val="0"/>
                <w:sz w:val="18"/>
                <w:szCs w:val="18"/>
              </w:rPr>
            </w:pPr>
            <w:r>
              <w:rPr>
                <w:kern w:val="0"/>
                <w:sz w:val="18"/>
                <w:szCs w:val="18"/>
              </w:rPr>
              <w:t>T011</w:t>
            </w:r>
            <w:r>
              <w:rPr>
                <w:rFonts w:hint="eastAsia"/>
                <w:kern w:val="0"/>
                <w:sz w:val="18"/>
                <w:szCs w:val="18"/>
              </w:rPr>
              <w:t>2</w:t>
            </w:r>
          </w:p>
        </w:tc>
        <w:tc>
          <w:tcPr>
            <w:tcW w:w="1045" w:type="dxa"/>
            <w:tcBorders>
              <w:top w:val="nil"/>
              <w:left w:val="nil"/>
              <w:bottom w:val="nil"/>
              <w:right w:val="single" w:color="auto" w:sz="8" w:space="0"/>
            </w:tcBorders>
            <w:vAlign w:val="center"/>
          </w:tcPr>
          <w:p>
            <w:pPr>
              <w:widowControl/>
              <w:spacing w:before="31" w:after="31"/>
              <w:jc w:val="center"/>
              <w:rPr>
                <w:rFonts w:eastAsia="仿宋_GB2312"/>
                <w:kern w:val="0"/>
                <w:sz w:val="18"/>
                <w:szCs w:val="18"/>
              </w:rPr>
            </w:pPr>
            <w:r>
              <w:rPr>
                <w:rFonts w:eastAsia="仿宋_GB2312"/>
                <w:kern w:val="0"/>
                <w:sz w:val="18"/>
                <w:szCs w:val="18"/>
              </w:rPr>
              <w:t>T0113</w:t>
            </w:r>
          </w:p>
        </w:tc>
        <w:tc>
          <w:tcPr>
            <w:tcW w:w="1046" w:type="dxa"/>
            <w:tcBorders>
              <w:top w:val="nil"/>
              <w:left w:val="nil"/>
              <w:bottom w:val="single" w:color="auto" w:sz="8" w:space="0"/>
              <w:right w:val="single" w:color="auto" w:sz="8" w:space="0"/>
            </w:tcBorders>
            <w:vAlign w:val="center"/>
          </w:tcPr>
          <w:p>
            <w:pPr>
              <w:widowControl/>
              <w:spacing w:before="31" w:after="31"/>
              <w:jc w:val="center"/>
              <w:rPr>
                <w:kern w:val="0"/>
                <w:sz w:val="18"/>
                <w:szCs w:val="18"/>
              </w:rPr>
            </w:pPr>
            <w:r>
              <w:rPr>
                <w:kern w:val="0"/>
                <w:sz w:val="18"/>
                <w:szCs w:val="18"/>
              </w:rPr>
              <w:t>T0114</w:t>
            </w:r>
          </w:p>
        </w:tc>
        <w:tc>
          <w:tcPr>
            <w:tcW w:w="1045" w:type="dxa"/>
            <w:tcBorders>
              <w:top w:val="nil"/>
              <w:left w:val="nil"/>
              <w:bottom w:val="single" w:color="auto" w:sz="8" w:space="0"/>
              <w:right w:val="single" w:color="auto" w:sz="8" w:space="0"/>
            </w:tcBorders>
            <w:vAlign w:val="center"/>
          </w:tcPr>
          <w:p>
            <w:pPr>
              <w:widowControl/>
              <w:spacing w:before="31" w:after="31"/>
              <w:jc w:val="center"/>
              <w:rPr>
                <w:kern w:val="0"/>
                <w:sz w:val="18"/>
                <w:szCs w:val="18"/>
              </w:rPr>
            </w:pPr>
            <w:r>
              <w:rPr>
                <w:kern w:val="0"/>
                <w:sz w:val="18"/>
                <w:szCs w:val="18"/>
              </w:rPr>
              <w:t>T011</w:t>
            </w:r>
            <w:r>
              <w:rPr>
                <w:rFonts w:hint="eastAsia"/>
                <w:kern w:val="0"/>
                <w:sz w:val="18"/>
                <w:szCs w:val="18"/>
              </w:rPr>
              <w:t>5</w:t>
            </w:r>
          </w:p>
        </w:tc>
        <w:tc>
          <w:tcPr>
            <w:tcW w:w="1046" w:type="dxa"/>
            <w:tcBorders>
              <w:top w:val="nil"/>
              <w:left w:val="nil"/>
              <w:bottom w:val="single" w:color="auto" w:sz="8" w:space="0"/>
              <w:right w:val="nil"/>
            </w:tcBorders>
            <w:vAlign w:val="center"/>
          </w:tcPr>
          <w:p>
            <w:pPr>
              <w:widowControl/>
              <w:spacing w:before="31" w:after="31"/>
              <w:jc w:val="center"/>
              <w:rPr>
                <w:kern w:val="0"/>
                <w:sz w:val="18"/>
                <w:szCs w:val="18"/>
              </w:rPr>
            </w:pPr>
            <w:r>
              <w:rPr>
                <w:kern w:val="0"/>
                <w:sz w:val="18"/>
                <w:szCs w:val="18"/>
              </w:rPr>
              <w:t>T011</w:t>
            </w:r>
            <w:r>
              <w:rPr>
                <w:rFonts w:hint="eastAsia"/>
                <w:kern w:val="0"/>
                <w:sz w:val="18"/>
                <w:szCs w:val="18"/>
              </w:rPr>
              <w:t>6</w:t>
            </w:r>
          </w:p>
        </w:tc>
      </w:tr>
      <w:tr>
        <w:trPr>
          <w:trHeight w:val="300" w:hRule="atLeast"/>
        </w:trPr>
        <w:tc>
          <w:tcPr>
            <w:tcW w:w="1045" w:type="dxa"/>
            <w:tcBorders>
              <w:top w:val="nil"/>
              <w:left w:val="nil"/>
              <w:bottom w:val="single" w:color="auto" w:sz="8" w:space="0"/>
              <w:right w:val="single" w:color="auto" w:sz="8"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壬</w:t>
            </w:r>
          </w:p>
        </w:tc>
        <w:tc>
          <w:tcPr>
            <w:tcW w:w="1046" w:type="dxa"/>
            <w:tcBorders>
              <w:top w:val="nil"/>
              <w:left w:val="nil"/>
              <w:bottom w:val="single" w:color="auto" w:sz="8" w:space="0"/>
              <w:right w:val="single" w:color="auto" w:sz="8"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癸</w:t>
            </w:r>
          </w:p>
        </w:tc>
        <w:tc>
          <w:tcPr>
            <w:tcW w:w="1045" w:type="dxa"/>
            <w:tcBorders>
              <w:top w:val="nil"/>
              <w:left w:val="nil"/>
              <w:bottom w:val="single" w:color="auto" w:sz="8" w:space="0"/>
              <w:right w:val="nil"/>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子</w:t>
            </w:r>
          </w:p>
        </w:tc>
        <w:tc>
          <w:tcPr>
            <w:tcW w:w="1046" w:type="dxa"/>
            <w:tcBorders>
              <w:top w:val="nil"/>
              <w:left w:val="single" w:color="auto" w:sz="8" w:space="0"/>
              <w:bottom w:val="single" w:color="auto" w:sz="8" w:space="0"/>
              <w:right w:val="single" w:color="auto" w:sz="8"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丑</w:t>
            </w:r>
          </w:p>
        </w:tc>
        <w:tc>
          <w:tcPr>
            <w:tcW w:w="1045" w:type="dxa"/>
            <w:tcBorders>
              <w:top w:val="single" w:color="auto" w:sz="8" w:space="0"/>
              <w:left w:val="nil"/>
              <w:bottom w:val="single" w:color="auto" w:sz="8" w:space="0"/>
              <w:right w:val="single" w:color="auto" w:sz="8"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寅</w:t>
            </w:r>
          </w:p>
        </w:tc>
        <w:tc>
          <w:tcPr>
            <w:tcW w:w="1046" w:type="dxa"/>
            <w:tcBorders>
              <w:top w:val="nil"/>
              <w:left w:val="nil"/>
              <w:bottom w:val="single" w:color="auto" w:sz="8" w:space="0"/>
              <w:right w:val="single" w:color="auto" w:sz="8"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卯</w:t>
            </w:r>
          </w:p>
        </w:tc>
        <w:tc>
          <w:tcPr>
            <w:tcW w:w="1045" w:type="dxa"/>
            <w:tcBorders>
              <w:top w:val="nil"/>
              <w:left w:val="nil"/>
              <w:bottom w:val="single" w:color="auto" w:sz="8" w:space="0"/>
              <w:right w:val="single" w:color="auto" w:sz="8"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辰</w:t>
            </w:r>
          </w:p>
        </w:tc>
        <w:tc>
          <w:tcPr>
            <w:tcW w:w="1046" w:type="dxa"/>
            <w:tcBorders>
              <w:top w:val="nil"/>
              <w:left w:val="nil"/>
              <w:bottom w:val="single" w:color="auto" w:sz="8" w:space="0"/>
              <w:right w:val="nil"/>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巳</w:t>
            </w:r>
          </w:p>
        </w:tc>
        <w:tc>
          <w:tcPr>
            <w:tcW w:w="1046" w:type="dxa"/>
            <w:vAlign w:val="center"/>
          </w:tcPr>
          <w:p>
            <w:pPr>
              <w:widowControl/>
              <w:spacing w:beforeLines="0" w:line="240" w:lineRule="auto"/>
              <w:jc w:val="left"/>
            </w:pPr>
          </w:p>
        </w:tc>
        <w:tc>
          <w:tcPr>
            <w:tcW w:w="1046" w:type="dxa"/>
            <w:vAlign w:val="center"/>
          </w:tcPr>
          <w:p>
            <w:pPr>
              <w:widowControl/>
              <w:spacing w:beforeLines="0" w:line="240" w:lineRule="auto"/>
              <w:jc w:val="left"/>
            </w:pPr>
          </w:p>
        </w:tc>
      </w:tr>
      <w:tr>
        <w:trPr>
          <w:gridAfter w:val="2"/>
          <w:wAfter w:w="2092" w:type="dxa"/>
          <w:trHeight w:val="285" w:hRule="atLeast"/>
        </w:trPr>
        <w:tc>
          <w:tcPr>
            <w:tcW w:w="1045" w:type="dxa"/>
            <w:tcBorders>
              <w:top w:val="nil"/>
              <w:left w:val="nil"/>
              <w:bottom w:val="nil"/>
              <w:right w:val="nil"/>
            </w:tcBorders>
            <w:vAlign w:val="center"/>
          </w:tcPr>
          <w:p>
            <w:pPr>
              <w:widowControl/>
              <w:spacing w:before="31" w:after="31"/>
              <w:rPr>
                <w:rFonts w:ascii="Calibri" w:hAnsi="Calibri" w:cs="宋体"/>
                <w:kern w:val="0"/>
                <w:szCs w:val="21"/>
              </w:rPr>
            </w:pPr>
          </w:p>
        </w:tc>
        <w:tc>
          <w:tcPr>
            <w:tcW w:w="1046" w:type="dxa"/>
            <w:tcBorders>
              <w:top w:val="nil"/>
              <w:left w:val="nil"/>
              <w:bottom w:val="nil"/>
              <w:right w:val="nil"/>
            </w:tcBorders>
            <w:vAlign w:val="center"/>
          </w:tcPr>
          <w:p>
            <w:pPr>
              <w:widowControl/>
              <w:spacing w:before="31" w:after="31"/>
              <w:rPr>
                <w:rFonts w:ascii="Calibri" w:hAnsi="Calibri" w:cs="宋体"/>
                <w:kern w:val="0"/>
                <w:szCs w:val="21"/>
              </w:rPr>
            </w:pPr>
          </w:p>
        </w:tc>
        <w:tc>
          <w:tcPr>
            <w:tcW w:w="1045" w:type="dxa"/>
            <w:tcBorders>
              <w:top w:val="nil"/>
              <w:left w:val="nil"/>
              <w:bottom w:val="nil"/>
              <w:right w:val="nil"/>
            </w:tcBorders>
            <w:vAlign w:val="center"/>
          </w:tcPr>
          <w:p>
            <w:pPr>
              <w:widowControl/>
              <w:spacing w:before="31" w:after="31"/>
              <w:rPr>
                <w:rFonts w:ascii="Calibri" w:hAnsi="Calibri" w:cs="宋体"/>
                <w:kern w:val="0"/>
                <w:szCs w:val="21"/>
              </w:rPr>
            </w:pPr>
          </w:p>
        </w:tc>
        <w:tc>
          <w:tcPr>
            <w:tcW w:w="1046" w:type="dxa"/>
            <w:tcBorders>
              <w:top w:val="nil"/>
              <w:left w:val="nil"/>
              <w:bottom w:val="nil"/>
              <w:right w:val="nil"/>
            </w:tcBorders>
            <w:vAlign w:val="center"/>
          </w:tcPr>
          <w:p>
            <w:pPr>
              <w:widowControl/>
              <w:spacing w:before="31" w:after="31"/>
              <w:rPr>
                <w:rFonts w:ascii="Calibri" w:hAnsi="Calibri" w:cs="宋体"/>
                <w:kern w:val="0"/>
                <w:szCs w:val="21"/>
              </w:rPr>
            </w:pPr>
          </w:p>
        </w:tc>
        <w:tc>
          <w:tcPr>
            <w:tcW w:w="1045" w:type="dxa"/>
            <w:tcBorders>
              <w:top w:val="nil"/>
              <w:left w:val="nil"/>
              <w:bottom w:val="nil"/>
              <w:right w:val="nil"/>
            </w:tcBorders>
            <w:vAlign w:val="center"/>
          </w:tcPr>
          <w:p>
            <w:pPr>
              <w:widowControl/>
              <w:spacing w:before="31" w:after="31"/>
              <w:rPr>
                <w:rFonts w:ascii="Calibri" w:hAnsi="Calibri" w:cs="宋体"/>
                <w:kern w:val="0"/>
                <w:szCs w:val="21"/>
              </w:rPr>
            </w:pPr>
          </w:p>
        </w:tc>
        <w:tc>
          <w:tcPr>
            <w:tcW w:w="1046" w:type="dxa"/>
            <w:tcBorders>
              <w:top w:val="nil"/>
              <w:left w:val="nil"/>
              <w:bottom w:val="nil"/>
              <w:right w:val="nil"/>
            </w:tcBorders>
            <w:vAlign w:val="center"/>
          </w:tcPr>
          <w:p>
            <w:pPr>
              <w:widowControl/>
              <w:spacing w:before="31" w:after="31"/>
              <w:rPr>
                <w:rFonts w:ascii="Calibri" w:hAnsi="Calibri" w:cs="宋体"/>
                <w:kern w:val="0"/>
                <w:szCs w:val="21"/>
              </w:rPr>
            </w:pPr>
          </w:p>
        </w:tc>
        <w:tc>
          <w:tcPr>
            <w:tcW w:w="1045" w:type="dxa"/>
            <w:tcBorders>
              <w:top w:val="nil"/>
              <w:left w:val="nil"/>
              <w:bottom w:val="nil"/>
              <w:right w:val="nil"/>
            </w:tcBorders>
            <w:vAlign w:val="center"/>
          </w:tcPr>
          <w:p>
            <w:pPr>
              <w:widowControl/>
              <w:spacing w:before="31" w:after="31"/>
              <w:rPr>
                <w:rFonts w:ascii="Calibri" w:hAnsi="Calibri" w:cs="宋体"/>
                <w:kern w:val="0"/>
                <w:szCs w:val="21"/>
              </w:rPr>
            </w:pPr>
          </w:p>
        </w:tc>
        <w:tc>
          <w:tcPr>
            <w:tcW w:w="1046" w:type="dxa"/>
            <w:tcBorders>
              <w:top w:val="nil"/>
              <w:left w:val="nil"/>
              <w:bottom w:val="nil"/>
              <w:right w:val="nil"/>
            </w:tcBorders>
            <w:vAlign w:val="center"/>
          </w:tcPr>
          <w:p>
            <w:pPr>
              <w:widowControl/>
              <w:spacing w:before="31" w:after="31"/>
              <w:rPr>
                <w:rFonts w:ascii="Calibri" w:hAnsi="Calibri" w:cs="宋体"/>
                <w:kern w:val="0"/>
                <w:szCs w:val="21"/>
              </w:rPr>
            </w:pPr>
          </w:p>
        </w:tc>
      </w:tr>
      <w:tr>
        <w:trPr>
          <w:gridAfter w:val="2"/>
          <w:wAfter w:w="2092" w:type="dxa"/>
          <w:trHeight w:val="285" w:hRule="atLeast"/>
        </w:trPr>
        <w:tc>
          <w:tcPr>
            <w:tcW w:w="1045" w:type="dxa"/>
            <w:tcBorders>
              <w:top w:val="nil"/>
              <w:left w:val="nil"/>
              <w:bottom w:val="nil"/>
              <w:right w:val="nil"/>
            </w:tcBorders>
            <w:vAlign w:val="center"/>
          </w:tcPr>
          <w:p>
            <w:pPr>
              <w:widowControl/>
              <w:spacing w:before="31" w:after="31"/>
              <w:rPr>
                <w:rFonts w:ascii="Calibri" w:hAnsi="Calibri" w:cs="宋体"/>
                <w:kern w:val="0"/>
                <w:szCs w:val="21"/>
              </w:rPr>
            </w:pPr>
          </w:p>
        </w:tc>
        <w:tc>
          <w:tcPr>
            <w:tcW w:w="1046" w:type="dxa"/>
            <w:tcBorders>
              <w:top w:val="nil"/>
              <w:left w:val="nil"/>
              <w:bottom w:val="nil"/>
              <w:right w:val="nil"/>
            </w:tcBorders>
            <w:vAlign w:val="center"/>
          </w:tcPr>
          <w:p>
            <w:pPr>
              <w:widowControl/>
              <w:spacing w:before="31" w:after="31"/>
              <w:rPr>
                <w:rFonts w:ascii="Calibri" w:hAnsi="Calibri" w:cs="宋体"/>
                <w:kern w:val="0"/>
                <w:szCs w:val="21"/>
              </w:rPr>
            </w:pPr>
          </w:p>
        </w:tc>
        <w:tc>
          <w:tcPr>
            <w:tcW w:w="1045" w:type="dxa"/>
            <w:tcBorders>
              <w:top w:val="nil"/>
              <w:left w:val="nil"/>
              <w:bottom w:val="nil"/>
              <w:right w:val="nil"/>
            </w:tcBorders>
            <w:vAlign w:val="center"/>
          </w:tcPr>
          <w:p>
            <w:pPr>
              <w:widowControl/>
              <w:spacing w:before="31" w:after="31"/>
              <w:rPr>
                <w:rFonts w:ascii="Calibri" w:hAnsi="Calibri" w:cs="宋体"/>
                <w:kern w:val="0"/>
                <w:szCs w:val="21"/>
              </w:rPr>
            </w:pPr>
          </w:p>
        </w:tc>
        <w:tc>
          <w:tcPr>
            <w:tcW w:w="1046" w:type="dxa"/>
            <w:tcBorders>
              <w:top w:val="nil"/>
              <w:left w:val="nil"/>
              <w:bottom w:val="nil"/>
              <w:right w:val="nil"/>
            </w:tcBorders>
            <w:vAlign w:val="center"/>
          </w:tcPr>
          <w:p>
            <w:pPr>
              <w:widowControl/>
              <w:spacing w:before="31" w:after="31"/>
              <w:rPr>
                <w:rFonts w:ascii="Calibri" w:hAnsi="Calibri" w:cs="宋体"/>
                <w:kern w:val="0"/>
                <w:szCs w:val="21"/>
              </w:rPr>
            </w:pPr>
          </w:p>
        </w:tc>
        <w:tc>
          <w:tcPr>
            <w:tcW w:w="1045" w:type="dxa"/>
            <w:tcBorders>
              <w:top w:val="nil"/>
              <w:left w:val="nil"/>
              <w:bottom w:val="nil"/>
              <w:right w:val="nil"/>
            </w:tcBorders>
            <w:vAlign w:val="center"/>
          </w:tcPr>
          <w:p>
            <w:pPr>
              <w:widowControl/>
              <w:spacing w:before="31" w:after="31"/>
              <w:rPr>
                <w:rFonts w:ascii="Calibri" w:hAnsi="Calibri" w:cs="宋体"/>
                <w:kern w:val="0"/>
                <w:szCs w:val="21"/>
              </w:rPr>
            </w:pPr>
          </w:p>
        </w:tc>
        <w:tc>
          <w:tcPr>
            <w:tcW w:w="1046" w:type="dxa"/>
            <w:tcBorders>
              <w:top w:val="nil"/>
              <w:left w:val="nil"/>
              <w:bottom w:val="nil"/>
              <w:right w:val="nil"/>
            </w:tcBorders>
            <w:vAlign w:val="center"/>
          </w:tcPr>
          <w:p>
            <w:pPr>
              <w:widowControl/>
              <w:spacing w:before="31" w:after="31"/>
              <w:rPr>
                <w:rFonts w:ascii="Calibri" w:hAnsi="Calibri" w:cs="宋体"/>
                <w:kern w:val="0"/>
                <w:szCs w:val="21"/>
              </w:rPr>
            </w:pPr>
          </w:p>
        </w:tc>
        <w:tc>
          <w:tcPr>
            <w:tcW w:w="1045" w:type="dxa"/>
            <w:tcBorders>
              <w:top w:val="nil"/>
              <w:left w:val="nil"/>
              <w:bottom w:val="nil"/>
              <w:right w:val="nil"/>
            </w:tcBorders>
            <w:vAlign w:val="center"/>
          </w:tcPr>
          <w:p>
            <w:pPr>
              <w:widowControl/>
              <w:spacing w:before="31" w:after="31"/>
              <w:rPr>
                <w:rFonts w:ascii="Calibri" w:hAnsi="Calibri" w:cs="宋体"/>
                <w:kern w:val="0"/>
                <w:szCs w:val="21"/>
              </w:rPr>
            </w:pPr>
          </w:p>
        </w:tc>
        <w:tc>
          <w:tcPr>
            <w:tcW w:w="1046" w:type="dxa"/>
            <w:tcBorders>
              <w:top w:val="nil"/>
              <w:left w:val="nil"/>
              <w:bottom w:val="nil"/>
              <w:right w:val="nil"/>
            </w:tcBorders>
            <w:vAlign w:val="center"/>
          </w:tcPr>
          <w:p>
            <w:pPr>
              <w:widowControl/>
              <w:spacing w:before="31" w:after="31"/>
              <w:rPr>
                <w:rFonts w:ascii="Calibri" w:hAnsi="Calibri" w:cs="宋体"/>
                <w:kern w:val="0"/>
                <w:szCs w:val="21"/>
              </w:rPr>
            </w:pPr>
          </w:p>
        </w:tc>
      </w:tr>
      <w:tr>
        <w:trPr>
          <w:gridAfter w:val="4"/>
          <w:wAfter w:w="4183" w:type="dxa"/>
          <w:trHeight w:val="285" w:hRule="atLeast"/>
        </w:trPr>
        <w:tc>
          <w:tcPr>
            <w:tcW w:w="1045" w:type="dxa"/>
            <w:tcBorders>
              <w:top w:val="nil"/>
              <w:left w:val="nil"/>
              <w:bottom w:val="single" w:color="auto" w:sz="8" w:space="0"/>
              <w:right w:val="nil"/>
            </w:tcBorders>
            <w:vAlign w:val="center"/>
          </w:tcPr>
          <w:p>
            <w:pPr>
              <w:widowControl/>
              <w:spacing w:before="31" w:after="31"/>
              <w:rPr>
                <w:rFonts w:ascii="宋体" w:hAnsi="宋体" w:cs="宋体"/>
                <w:kern w:val="0"/>
                <w:sz w:val="18"/>
                <w:szCs w:val="18"/>
              </w:rPr>
            </w:pPr>
            <w:r>
              <w:rPr>
                <w:rFonts w:hint="eastAsia" w:ascii="宋体" w:hAnsi="宋体" w:cs="宋体"/>
                <w:kern w:val="0"/>
                <w:sz w:val="18"/>
                <w:szCs w:val="18"/>
              </w:rPr>
              <w:t>　</w:t>
            </w:r>
          </w:p>
        </w:tc>
        <w:tc>
          <w:tcPr>
            <w:tcW w:w="1046" w:type="dxa"/>
            <w:tcBorders>
              <w:top w:val="nil"/>
              <w:left w:val="nil"/>
              <w:bottom w:val="single" w:color="auto" w:sz="8" w:space="0"/>
              <w:right w:val="nil"/>
            </w:tcBorders>
            <w:vAlign w:val="center"/>
          </w:tcPr>
          <w:p>
            <w:pPr>
              <w:widowControl/>
              <w:spacing w:before="31" w:after="31"/>
              <w:rPr>
                <w:rFonts w:ascii="宋体" w:hAnsi="宋体" w:cs="宋体"/>
                <w:kern w:val="0"/>
                <w:sz w:val="18"/>
                <w:szCs w:val="18"/>
              </w:rPr>
            </w:pPr>
            <w:r>
              <w:rPr>
                <w:rFonts w:hint="eastAsia" w:ascii="宋体" w:hAnsi="宋体" w:cs="宋体"/>
                <w:kern w:val="0"/>
                <w:sz w:val="18"/>
                <w:szCs w:val="18"/>
              </w:rPr>
              <w:t>　</w:t>
            </w:r>
          </w:p>
        </w:tc>
        <w:tc>
          <w:tcPr>
            <w:tcW w:w="1045" w:type="dxa"/>
            <w:tcBorders>
              <w:top w:val="nil"/>
              <w:left w:val="nil"/>
              <w:bottom w:val="single" w:color="auto" w:sz="8" w:space="0"/>
              <w:right w:val="nil"/>
            </w:tcBorders>
            <w:vAlign w:val="center"/>
          </w:tcPr>
          <w:p>
            <w:pPr>
              <w:widowControl/>
              <w:spacing w:before="31" w:after="31"/>
              <w:rPr>
                <w:rFonts w:ascii="宋体" w:hAnsi="宋体" w:cs="宋体"/>
                <w:kern w:val="0"/>
                <w:sz w:val="18"/>
                <w:szCs w:val="18"/>
              </w:rPr>
            </w:pPr>
            <w:r>
              <w:rPr>
                <w:rFonts w:hint="eastAsia" w:ascii="宋体" w:hAnsi="宋体" w:cs="宋体"/>
                <w:kern w:val="0"/>
                <w:sz w:val="18"/>
                <w:szCs w:val="18"/>
              </w:rPr>
              <w:t>　</w:t>
            </w:r>
          </w:p>
        </w:tc>
        <w:tc>
          <w:tcPr>
            <w:tcW w:w="1046" w:type="dxa"/>
            <w:tcBorders>
              <w:top w:val="nil"/>
              <w:left w:val="nil"/>
              <w:bottom w:val="single" w:color="auto" w:sz="8" w:space="0"/>
              <w:right w:val="nil"/>
            </w:tcBorders>
            <w:vAlign w:val="center"/>
          </w:tcPr>
          <w:p>
            <w:pPr>
              <w:widowControl/>
              <w:spacing w:before="31" w:after="31"/>
              <w:rPr>
                <w:rFonts w:ascii="宋体" w:hAnsi="宋体" w:cs="宋体"/>
                <w:kern w:val="0"/>
                <w:sz w:val="18"/>
                <w:szCs w:val="18"/>
              </w:rPr>
            </w:pPr>
            <w:r>
              <w:rPr>
                <w:rFonts w:hint="eastAsia" w:ascii="宋体" w:hAnsi="宋体" w:cs="宋体"/>
                <w:kern w:val="0"/>
                <w:sz w:val="18"/>
                <w:szCs w:val="18"/>
              </w:rPr>
              <w:t>　</w:t>
            </w:r>
          </w:p>
        </w:tc>
        <w:tc>
          <w:tcPr>
            <w:tcW w:w="1045" w:type="dxa"/>
            <w:tcBorders>
              <w:top w:val="nil"/>
              <w:left w:val="nil"/>
              <w:bottom w:val="nil"/>
              <w:right w:val="nil"/>
            </w:tcBorders>
            <w:vAlign w:val="center"/>
          </w:tcPr>
          <w:p>
            <w:pPr>
              <w:widowControl/>
              <w:spacing w:before="31" w:after="31"/>
              <w:rPr>
                <w:rFonts w:ascii="宋体" w:hAnsi="宋体" w:cs="宋体"/>
                <w:b/>
                <w:bCs/>
                <w:kern w:val="0"/>
                <w:sz w:val="18"/>
                <w:szCs w:val="18"/>
              </w:rPr>
            </w:pPr>
          </w:p>
        </w:tc>
        <w:tc>
          <w:tcPr>
            <w:tcW w:w="1046" w:type="dxa"/>
            <w:tcBorders>
              <w:top w:val="nil"/>
              <w:left w:val="nil"/>
              <w:bottom w:val="nil"/>
              <w:right w:val="nil"/>
            </w:tcBorders>
            <w:vAlign w:val="center"/>
          </w:tcPr>
          <w:p>
            <w:pPr>
              <w:widowControl/>
              <w:spacing w:before="31" w:after="31"/>
              <w:rPr>
                <w:rFonts w:ascii="宋体" w:hAnsi="宋体" w:cs="宋体"/>
                <w:b/>
                <w:bCs/>
                <w:kern w:val="0"/>
                <w:sz w:val="18"/>
                <w:szCs w:val="18"/>
              </w:rPr>
            </w:pPr>
          </w:p>
        </w:tc>
      </w:tr>
      <w:tr>
        <w:trPr>
          <w:gridAfter w:val="4"/>
          <w:wAfter w:w="4183" w:type="dxa"/>
          <w:trHeight w:val="285" w:hRule="atLeast"/>
        </w:trPr>
        <w:tc>
          <w:tcPr>
            <w:tcW w:w="1045" w:type="dxa"/>
            <w:tcBorders>
              <w:top w:val="nil"/>
              <w:left w:val="nil"/>
              <w:bottom w:val="nil"/>
              <w:right w:val="nil"/>
            </w:tcBorders>
            <w:vAlign w:val="center"/>
          </w:tcPr>
          <w:tbl>
            <w:tblPr>
              <w:tblW w:w="108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1080"/>
            </w:tblGrid>
            <w:tr>
              <w:trPr>
                <w:trHeight w:val="285" w:hRule="atLeast"/>
                <w:tblCellSpacing w:w="0" w:type="dxa"/>
              </w:trPr>
              <w:tc>
                <w:tcPr>
                  <w:tcW w:w="1080" w:type="dxa"/>
                  <w:tcBorders>
                    <w:top w:val="nil"/>
                    <w:left w:val="nil"/>
                    <w:bottom w:val="single" w:color="auto" w:sz="8" w:space="0"/>
                    <w:right w:val="nil"/>
                  </w:tcBorders>
                  <w:vAlign w:val="center"/>
                </w:tcPr>
                <w:p>
                  <w:pPr>
                    <w:widowControl/>
                    <w:spacing w:before="31" w:after="31"/>
                    <w:rPr>
                      <w:rFonts w:ascii="宋体" w:hAnsi="宋体" w:cs="宋体"/>
                      <w:kern w:val="0"/>
                      <w:sz w:val="18"/>
                      <w:szCs w:val="18"/>
                    </w:rPr>
                  </w:pPr>
                  <w:r>
                    <w:rPr>
                      <w:rFonts w:hint="eastAsia" w:ascii="宋体" w:hAnsi="宋体" w:cs="宋体"/>
                      <w:kern w:val="0"/>
                      <w:sz w:val="18"/>
                      <w:szCs w:val="18"/>
                    </w:rPr>
                    <w:t>续表</w:t>
                  </w:r>
                </w:p>
              </w:tc>
            </w:tr>
          </w:tbl>
          <w:p>
            <w:pPr>
              <w:widowControl/>
              <w:spacing w:before="31" w:after="31"/>
              <w:jc w:val="left"/>
              <w:rPr>
                <w:rFonts w:ascii="宋体" w:hAnsi="宋体" w:cs="宋体"/>
                <w:kern w:val="0"/>
                <w:sz w:val="22"/>
                <w:szCs w:val="22"/>
              </w:rPr>
            </w:pPr>
          </w:p>
        </w:tc>
        <w:tc>
          <w:tcPr>
            <w:tcW w:w="1046" w:type="dxa"/>
            <w:tcBorders>
              <w:top w:val="nil"/>
              <w:left w:val="nil"/>
              <w:bottom w:val="nil"/>
              <w:right w:val="nil"/>
            </w:tcBorders>
            <w:vAlign w:val="center"/>
          </w:tcPr>
          <w:p>
            <w:pPr>
              <w:widowControl/>
              <w:spacing w:before="31" w:after="31"/>
              <w:jc w:val="left"/>
              <w:rPr>
                <w:rFonts w:ascii="宋体" w:hAnsi="宋体" w:cs="宋体"/>
                <w:kern w:val="0"/>
                <w:sz w:val="22"/>
                <w:szCs w:val="22"/>
              </w:rPr>
            </w:pPr>
          </w:p>
        </w:tc>
        <w:tc>
          <w:tcPr>
            <w:tcW w:w="1045" w:type="dxa"/>
            <w:tcBorders>
              <w:top w:val="nil"/>
              <w:left w:val="nil"/>
              <w:bottom w:val="nil"/>
              <w:right w:val="nil"/>
            </w:tcBorders>
            <w:vAlign w:val="center"/>
          </w:tcPr>
          <w:p>
            <w:pPr>
              <w:widowControl/>
              <w:spacing w:before="31" w:after="31"/>
              <w:jc w:val="left"/>
              <w:rPr>
                <w:rFonts w:ascii="宋体" w:hAnsi="宋体" w:cs="宋体"/>
                <w:kern w:val="0"/>
                <w:sz w:val="22"/>
                <w:szCs w:val="22"/>
              </w:rPr>
            </w:pPr>
          </w:p>
        </w:tc>
        <w:tc>
          <w:tcPr>
            <w:tcW w:w="1046" w:type="dxa"/>
            <w:tcBorders>
              <w:top w:val="nil"/>
              <w:left w:val="nil"/>
              <w:bottom w:val="nil"/>
              <w:right w:val="nil"/>
            </w:tcBorders>
            <w:vAlign w:val="center"/>
          </w:tcPr>
          <w:p>
            <w:pPr>
              <w:widowControl/>
              <w:spacing w:before="31" w:after="31"/>
              <w:jc w:val="left"/>
              <w:rPr>
                <w:rFonts w:ascii="宋体" w:hAnsi="宋体" w:cs="宋体"/>
                <w:kern w:val="0"/>
                <w:sz w:val="22"/>
                <w:szCs w:val="22"/>
              </w:rPr>
            </w:pPr>
          </w:p>
        </w:tc>
        <w:tc>
          <w:tcPr>
            <w:tcW w:w="1045" w:type="dxa"/>
            <w:tcBorders>
              <w:top w:val="nil"/>
              <w:left w:val="nil"/>
              <w:bottom w:val="nil"/>
              <w:right w:val="nil"/>
            </w:tcBorders>
            <w:vAlign w:val="center"/>
          </w:tcPr>
          <w:p>
            <w:pPr>
              <w:widowControl/>
              <w:spacing w:before="31" w:after="31"/>
              <w:jc w:val="left"/>
              <w:rPr>
                <w:rFonts w:ascii="宋体" w:hAnsi="宋体" w:cs="宋体"/>
                <w:kern w:val="0"/>
                <w:sz w:val="22"/>
                <w:szCs w:val="22"/>
              </w:rPr>
            </w:pPr>
          </w:p>
        </w:tc>
        <w:tc>
          <w:tcPr>
            <w:tcW w:w="1046" w:type="dxa"/>
            <w:tcBorders>
              <w:top w:val="nil"/>
              <w:left w:val="nil"/>
              <w:bottom w:val="nil"/>
              <w:right w:val="nil"/>
            </w:tcBorders>
            <w:vAlign w:val="center"/>
          </w:tcPr>
          <w:p>
            <w:pPr>
              <w:widowControl/>
              <w:spacing w:before="31" w:after="31"/>
              <w:jc w:val="left"/>
              <w:rPr>
                <w:rFonts w:ascii="宋体" w:hAnsi="宋体" w:cs="宋体"/>
                <w:kern w:val="0"/>
                <w:sz w:val="22"/>
                <w:szCs w:val="22"/>
              </w:rPr>
            </w:pPr>
          </w:p>
        </w:tc>
      </w:tr>
      <w:tr>
        <w:trPr>
          <w:gridAfter w:val="6"/>
          <w:wAfter w:w="6274" w:type="dxa"/>
          <w:trHeight w:val="271" w:hRule="atLeast"/>
        </w:trPr>
        <w:tc>
          <w:tcPr>
            <w:tcW w:w="1045" w:type="dxa"/>
            <w:vMerge w:val="restart"/>
            <w:tcBorders>
              <w:top w:val="nil"/>
              <w:left w:val="nil"/>
              <w:bottom w:val="single" w:color="000000" w:sz="8" w:space="0"/>
              <w:right w:val="single" w:color="auto" w:sz="8"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填报人电话</w:t>
            </w:r>
          </w:p>
        </w:tc>
        <w:tc>
          <w:tcPr>
            <w:tcW w:w="1046" w:type="dxa"/>
            <w:vMerge w:val="restart"/>
            <w:tcBorders>
              <w:top w:val="single" w:color="auto" w:sz="8" w:space="0"/>
              <w:left w:val="nil"/>
              <w:bottom w:val="single" w:color="000000" w:sz="8" w:space="0"/>
              <w:right w:val="single" w:color="auto" w:sz="8"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填报人手机</w:t>
            </w:r>
          </w:p>
        </w:tc>
        <w:tc>
          <w:tcPr>
            <w:tcW w:w="1045" w:type="dxa"/>
            <w:vMerge w:val="restart"/>
            <w:tcBorders>
              <w:top w:val="single" w:color="auto" w:sz="8" w:space="0"/>
              <w:left w:val="nil"/>
              <w:bottom w:val="single" w:color="000000" w:sz="8" w:space="0"/>
              <w:right w:val="single" w:color="auto" w:sz="8"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填报人传真</w:t>
            </w:r>
          </w:p>
        </w:tc>
        <w:tc>
          <w:tcPr>
            <w:tcW w:w="1046" w:type="dxa"/>
            <w:vMerge w:val="restart"/>
            <w:tcBorders>
              <w:top w:val="single" w:color="auto" w:sz="8" w:space="0"/>
              <w:left w:val="nil"/>
              <w:bottom w:val="single" w:color="000000" w:sz="8" w:space="0"/>
              <w:right w:val="single" w:color="auto" w:sz="8"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填报人电子邮件</w:t>
            </w:r>
          </w:p>
        </w:tc>
      </w:tr>
      <w:tr>
        <w:trPr>
          <w:gridAfter w:val="6"/>
          <w:wAfter w:w="6274" w:type="dxa"/>
          <w:trHeight w:val="302" w:hRule="atLeast"/>
        </w:trPr>
        <w:tc>
          <w:tcPr>
            <w:tcW w:w="1045" w:type="dxa"/>
            <w:vMerge w:val="continue"/>
            <w:tcBorders>
              <w:top w:val="nil"/>
              <w:left w:val="nil"/>
              <w:bottom w:val="single" w:color="000000" w:sz="8" w:space="0"/>
              <w:right w:val="single" w:color="auto" w:sz="8" w:space="0"/>
            </w:tcBorders>
            <w:vAlign w:val="center"/>
          </w:tcPr>
          <w:p>
            <w:pPr>
              <w:widowControl/>
              <w:spacing w:before="31" w:after="31"/>
              <w:jc w:val="left"/>
              <w:rPr>
                <w:rFonts w:ascii="宋体" w:hAnsi="宋体" w:cs="宋体"/>
                <w:kern w:val="0"/>
                <w:sz w:val="18"/>
                <w:szCs w:val="18"/>
              </w:rPr>
            </w:pPr>
          </w:p>
        </w:tc>
        <w:tc>
          <w:tcPr>
            <w:tcW w:w="1046" w:type="dxa"/>
            <w:vMerge w:val="continue"/>
            <w:tcBorders>
              <w:top w:val="single" w:color="auto" w:sz="8" w:space="0"/>
              <w:left w:val="nil"/>
              <w:bottom w:val="single" w:color="000000" w:sz="8" w:space="0"/>
              <w:right w:val="single" w:color="auto" w:sz="8" w:space="0"/>
            </w:tcBorders>
            <w:vAlign w:val="center"/>
          </w:tcPr>
          <w:p>
            <w:pPr>
              <w:widowControl/>
              <w:spacing w:before="31" w:after="31"/>
              <w:jc w:val="left"/>
              <w:rPr>
                <w:rFonts w:ascii="宋体" w:hAnsi="宋体" w:cs="宋体"/>
                <w:kern w:val="0"/>
                <w:sz w:val="18"/>
                <w:szCs w:val="18"/>
              </w:rPr>
            </w:pPr>
          </w:p>
        </w:tc>
        <w:tc>
          <w:tcPr>
            <w:tcW w:w="1045" w:type="dxa"/>
            <w:vMerge w:val="continue"/>
            <w:tcBorders>
              <w:top w:val="single" w:color="auto" w:sz="8" w:space="0"/>
              <w:left w:val="nil"/>
              <w:bottom w:val="single" w:color="000000" w:sz="8" w:space="0"/>
              <w:right w:val="single" w:color="auto" w:sz="8" w:space="0"/>
            </w:tcBorders>
            <w:vAlign w:val="center"/>
          </w:tcPr>
          <w:p>
            <w:pPr>
              <w:widowControl/>
              <w:spacing w:before="31" w:after="31"/>
              <w:jc w:val="left"/>
              <w:rPr>
                <w:rFonts w:ascii="宋体" w:hAnsi="宋体" w:cs="宋体"/>
                <w:kern w:val="0"/>
                <w:sz w:val="18"/>
                <w:szCs w:val="18"/>
              </w:rPr>
            </w:pPr>
          </w:p>
        </w:tc>
        <w:tc>
          <w:tcPr>
            <w:tcW w:w="1046" w:type="dxa"/>
            <w:vMerge w:val="continue"/>
            <w:tcBorders>
              <w:top w:val="single" w:color="auto" w:sz="8" w:space="0"/>
              <w:left w:val="nil"/>
              <w:bottom w:val="single" w:color="000000" w:sz="8" w:space="0"/>
              <w:right w:val="single" w:color="auto" w:sz="8" w:space="0"/>
            </w:tcBorders>
            <w:vAlign w:val="center"/>
          </w:tcPr>
          <w:p>
            <w:pPr>
              <w:widowControl/>
              <w:spacing w:before="31" w:after="31"/>
              <w:jc w:val="left"/>
              <w:rPr>
                <w:rFonts w:ascii="宋体" w:hAnsi="宋体" w:cs="宋体"/>
                <w:kern w:val="0"/>
                <w:sz w:val="18"/>
                <w:szCs w:val="18"/>
              </w:rPr>
            </w:pPr>
          </w:p>
        </w:tc>
      </w:tr>
      <w:tr>
        <w:trPr>
          <w:gridAfter w:val="6"/>
          <w:wAfter w:w="6274" w:type="dxa"/>
          <w:trHeight w:val="302" w:hRule="atLeast"/>
        </w:trPr>
        <w:tc>
          <w:tcPr>
            <w:tcW w:w="1045" w:type="dxa"/>
            <w:vMerge w:val="continue"/>
            <w:tcBorders>
              <w:top w:val="nil"/>
              <w:left w:val="nil"/>
              <w:bottom w:val="single" w:color="000000" w:sz="8" w:space="0"/>
              <w:right w:val="single" w:color="auto" w:sz="8" w:space="0"/>
            </w:tcBorders>
            <w:vAlign w:val="center"/>
          </w:tcPr>
          <w:p>
            <w:pPr>
              <w:widowControl/>
              <w:spacing w:before="31" w:after="31"/>
              <w:jc w:val="left"/>
              <w:rPr>
                <w:rFonts w:ascii="宋体" w:hAnsi="宋体" w:cs="宋体"/>
                <w:kern w:val="0"/>
                <w:sz w:val="18"/>
                <w:szCs w:val="18"/>
              </w:rPr>
            </w:pPr>
          </w:p>
        </w:tc>
        <w:tc>
          <w:tcPr>
            <w:tcW w:w="1046" w:type="dxa"/>
            <w:vMerge w:val="continue"/>
            <w:tcBorders>
              <w:top w:val="single" w:color="auto" w:sz="8" w:space="0"/>
              <w:left w:val="nil"/>
              <w:bottom w:val="single" w:color="000000" w:sz="8" w:space="0"/>
              <w:right w:val="single" w:color="auto" w:sz="8" w:space="0"/>
            </w:tcBorders>
            <w:vAlign w:val="center"/>
          </w:tcPr>
          <w:p>
            <w:pPr>
              <w:widowControl/>
              <w:spacing w:before="31" w:after="31"/>
              <w:jc w:val="left"/>
              <w:rPr>
                <w:rFonts w:ascii="宋体" w:hAnsi="宋体" w:cs="宋体"/>
                <w:kern w:val="0"/>
                <w:sz w:val="18"/>
                <w:szCs w:val="18"/>
              </w:rPr>
            </w:pPr>
          </w:p>
        </w:tc>
        <w:tc>
          <w:tcPr>
            <w:tcW w:w="1045" w:type="dxa"/>
            <w:vMerge w:val="continue"/>
            <w:tcBorders>
              <w:top w:val="single" w:color="auto" w:sz="8" w:space="0"/>
              <w:left w:val="nil"/>
              <w:bottom w:val="single" w:color="000000" w:sz="8" w:space="0"/>
              <w:right w:val="single" w:color="auto" w:sz="8" w:space="0"/>
            </w:tcBorders>
            <w:vAlign w:val="center"/>
          </w:tcPr>
          <w:p>
            <w:pPr>
              <w:widowControl/>
              <w:spacing w:before="31" w:after="31"/>
              <w:jc w:val="left"/>
              <w:rPr>
                <w:rFonts w:ascii="宋体" w:hAnsi="宋体" w:cs="宋体"/>
                <w:kern w:val="0"/>
                <w:sz w:val="18"/>
                <w:szCs w:val="18"/>
              </w:rPr>
            </w:pPr>
          </w:p>
        </w:tc>
        <w:tc>
          <w:tcPr>
            <w:tcW w:w="1046" w:type="dxa"/>
            <w:vMerge w:val="continue"/>
            <w:tcBorders>
              <w:top w:val="single" w:color="auto" w:sz="8" w:space="0"/>
              <w:left w:val="nil"/>
              <w:bottom w:val="single" w:color="000000" w:sz="8" w:space="0"/>
              <w:right w:val="single" w:color="auto" w:sz="8" w:space="0"/>
            </w:tcBorders>
            <w:vAlign w:val="center"/>
          </w:tcPr>
          <w:p>
            <w:pPr>
              <w:widowControl/>
              <w:spacing w:before="31" w:after="31"/>
              <w:jc w:val="left"/>
              <w:rPr>
                <w:rFonts w:ascii="宋体" w:hAnsi="宋体" w:cs="宋体"/>
                <w:kern w:val="0"/>
                <w:sz w:val="18"/>
                <w:szCs w:val="18"/>
              </w:rPr>
            </w:pPr>
          </w:p>
        </w:tc>
      </w:tr>
      <w:tr>
        <w:trPr>
          <w:gridAfter w:val="6"/>
          <w:wAfter w:w="6274" w:type="dxa"/>
          <w:trHeight w:val="285" w:hRule="atLeast"/>
        </w:trPr>
        <w:tc>
          <w:tcPr>
            <w:tcW w:w="1045" w:type="dxa"/>
            <w:tcBorders>
              <w:top w:val="nil"/>
              <w:left w:val="nil"/>
              <w:bottom w:val="single" w:color="auto" w:sz="8" w:space="0"/>
              <w:right w:val="single" w:color="auto" w:sz="8" w:space="0"/>
            </w:tcBorders>
            <w:vAlign w:val="center"/>
          </w:tcPr>
          <w:p>
            <w:pPr>
              <w:widowControl/>
              <w:spacing w:before="31" w:after="31"/>
              <w:jc w:val="center"/>
              <w:rPr>
                <w:kern w:val="0"/>
                <w:sz w:val="18"/>
                <w:szCs w:val="18"/>
              </w:rPr>
            </w:pPr>
            <w:r>
              <w:rPr>
                <w:kern w:val="0"/>
                <w:sz w:val="18"/>
                <w:szCs w:val="18"/>
              </w:rPr>
              <w:t>T011</w:t>
            </w:r>
            <w:r>
              <w:rPr>
                <w:rFonts w:hint="eastAsia"/>
                <w:kern w:val="0"/>
                <w:sz w:val="18"/>
                <w:szCs w:val="18"/>
              </w:rPr>
              <w:t>7</w:t>
            </w:r>
          </w:p>
        </w:tc>
        <w:tc>
          <w:tcPr>
            <w:tcW w:w="1046" w:type="dxa"/>
            <w:tcBorders>
              <w:top w:val="nil"/>
              <w:left w:val="nil"/>
              <w:bottom w:val="single" w:color="auto" w:sz="8" w:space="0"/>
              <w:right w:val="single" w:color="auto" w:sz="8" w:space="0"/>
            </w:tcBorders>
            <w:vAlign w:val="center"/>
          </w:tcPr>
          <w:p>
            <w:pPr>
              <w:widowControl/>
              <w:spacing w:before="31" w:after="31"/>
              <w:jc w:val="center"/>
              <w:rPr>
                <w:kern w:val="0"/>
                <w:sz w:val="18"/>
                <w:szCs w:val="18"/>
              </w:rPr>
            </w:pPr>
            <w:r>
              <w:rPr>
                <w:kern w:val="0"/>
                <w:sz w:val="18"/>
                <w:szCs w:val="18"/>
              </w:rPr>
              <w:t>T01</w:t>
            </w:r>
            <w:r>
              <w:rPr>
                <w:rFonts w:hint="eastAsia"/>
                <w:kern w:val="0"/>
                <w:sz w:val="18"/>
                <w:szCs w:val="18"/>
              </w:rPr>
              <w:t>18</w:t>
            </w:r>
          </w:p>
        </w:tc>
        <w:tc>
          <w:tcPr>
            <w:tcW w:w="1045" w:type="dxa"/>
            <w:tcBorders>
              <w:top w:val="nil"/>
              <w:left w:val="nil"/>
              <w:bottom w:val="single" w:color="auto" w:sz="8" w:space="0"/>
              <w:right w:val="single" w:color="auto" w:sz="8" w:space="0"/>
            </w:tcBorders>
            <w:vAlign w:val="center"/>
          </w:tcPr>
          <w:p>
            <w:pPr>
              <w:widowControl/>
              <w:spacing w:before="31" w:after="31"/>
              <w:jc w:val="center"/>
              <w:rPr>
                <w:kern w:val="0"/>
                <w:sz w:val="18"/>
                <w:szCs w:val="18"/>
              </w:rPr>
            </w:pPr>
            <w:r>
              <w:rPr>
                <w:kern w:val="0"/>
                <w:sz w:val="18"/>
                <w:szCs w:val="18"/>
              </w:rPr>
              <w:t>T01</w:t>
            </w:r>
            <w:r>
              <w:rPr>
                <w:rFonts w:hint="eastAsia"/>
                <w:kern w:val="0"/>
                <w:sz w:val="18"/>
                <w:szCs w:val="18"/>
              </w:rPr>
              <w:t>19</w:t>
            </w:r>
          </w:p>
        </w:tc>
        <w:tc>
          <w:tcPr>
            <w:tcW w:w="1046" w:type="dxa"/>
            <w:tcBorders>
              <w:top w:val="nil"/>
              <w:left w:val="nil"/>
              <w:bottom w:val="single" w:color="auto" w:sz="8" w:space="0"/>
              <w:right w:val="single" w:color="auto" w:sz="8" w:space="0"/>
            </w:tcBorders>
            <w:vAlign w:val="center"/>
          </w:tcPr>
          <w:p>
            <w:pPr>
              <w:widowControl/>
              <w:spacing w:before="31" w:after="31"/>
              <w:jc w:val="center"/>
              <w:rPr>
                <w:kern w:val="0"/>
                <w:sz w:val="18"/>
                <w:szCs w:val="18"/>
              </w:rPr>
            </w:pPr>
            <w:r>
              <w:rPr>
                <w:kern w:val="0"/>
                <w:sz w:val="18"/>
                <w:szCs w:val="18"/>
              </w:rPr>
              <w:t>T012</w:t>
            </w:r>
            <w:r>
              <w:rPr>
                <w:rFonts w:hint="eastAsia"/>
                <w:kern w:val="0"/>
                <w:sz w:val="18"/>
                <w:szCs w:val="18"/>
              </w:rPr>
              <w:t>0</w:t>
            </w:r>
          </w:p>
        </w:tc>
      </w:tr>
      <w:tr>
        <w:trPr>
          <w:gridAfter w:val="4"/>
          <w:wAfter w:w="4183" w:type="dxa"/>
          <w:trHeight w:val="285" w:hRule="atLeast"/>
        </w:trPr>
        <w:tc>
          <w:tcPr>
            <w:tcW w:w="1045" w:type="dxa"/>
            <w:tcBorders>
              <w:top w:val="nil"/>
              <w:left w:val="nil"/>
              <w:bottom w:val="single" w:color="auto" w:sz="8" w:space="0"/>
              <w:right w:val="single" w:color="auto" w:sz="8"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午</w:t>
            </w:r>
          </w:p>
        </w:tc>
        <w:tc>
          <w:tcPr>
            <w:tcW w:w="1046" w:type="dxa"/>
            <w:tcBorders>
              <w:top w:val="nil"/>
              <w:left w:val="nil"/>
              <w:bottom w:val="single" w:color="auto" w:sz="8" w:space="0"/>
              <w:right w:val="single" w:color="auto" w:sz="8"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未</w:t>
            </w:r>
          </w:p>
        </w:tc>
        <w:tc>
          <w:tcPr>
            <w:tcW w:w="1045" w:type="dxa"/>
            <w:tcBorders>
              <w:top w:val="nil"/>
              <w:left w:val="nil"/>
              <w:bottom w:val="single" w:color="auto" w:sz="8" w:space="0"/>
              <w:right w:val="single" w:color="auto" w:sz="8"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申</w:t>
            </w:r>
          </w:p>
        </w:tc>
        <w:tc>
          <w:tcPr>
            <w:tcW w:w="1046" w:type="dxa"/>
            <w:tcBorders>
              <w:top w:val="nil"/>
              <w:left w:val="nil"/>
              <w:bottom w:val="single" w:color="auto" w:sz="8" w:space="0"/>
              <w:right w:val="single" w:color="auto" w:sz="8"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酉</w:t>
            </w:r>
          </w:p>
        </w:tc>
        <w:tc>
          <w:tcPr>
            <w:tcW w:w="1045" w:type="dxa"/>
            <w:tcBorders>
              <w:top w:val="nil"/>
              <w:left w:val="nil"/>
              <w:bottom w:val="nil"/>
              <w:right w:val="nil"/>
            </w:tcBorders>
            <w:vAlign w:val="center"/>
          </w:tcPr>
          <w:p>
            <w:pPr>
              <w:widowControl/>
              <w:spacing w:before="31" w:after="31"/>
              <w:jc w:val="center"/>
              <w:rPr>
                <w:rFonts w:ascii="宋体" w:hAnsi="宋体" w:cs="宋体"/>
                <w:kern w:val="0"/>
                <w:sz w:val="18"/>
                <w:szCs w:val="18"/>
              </w:rPr>
            </w:pPr>
          </w:p>
        </w:tc>
        <w:tc>
          <w:tcPr>
            <w:tcW w:w="1046" w:type="dxa"/>
            <w:tcBorders>
              <w:top w:val="nil"/>
              <w:left w:val="nil"/>
              <w:bottom w:val="nil"/>
              <w:right w:val="nil"/>
            </w:tcBorders>
            <w:vAlign w:val="center"/>
          </w:tcPr>
          <w:p>
            <w:pPr>
              <w:widowControl/>
              <w:spacing w:before="31" w:after="31"/>
              <w:jc w:val="left"/>
              <w:rPr>
                <w:rFonts w:ascii="宋体" w:hAnsi="宋体" w:cs="宋体"/>
                <w:kern w:val="0"/>
                <w:sz w:val="22"/>
                <w:szCs w:val="22"/>
              </w:rPr>
            </w:pPr>
          </w:p>
        </w:tc>
      </w:tr>
    </w:tbl>
    <w:p>
      <w:pPr>
        <w:spacing w:before="31" w:after="31"/>
        <w:rPr>
          <w:rFonts w:ascii="宋体"/>
          <w:sz w:val="18"/>
        </w:rPr>
      </w:pPr>
    </w:p>
    <w:p>
      <w:pPr>
        <w:autoSpaceDE w:val="0"/>
        <w:autoSpaceDN w:val="0"/>
        <w:adjustRightInd w:val="0"/>
        <w:spacing w:before="31" w:after="31" w:line="312" w:lineRule="auto"/>
        <w:jc w:val="left"/>
        <w:rPr>
          <w:rFonts w:ascii="宋体" w:hAnsi="宋体" w:eastAsia="宋体"/>
          <w:b/>
          <w:sz w:val="18"/>
          <w:szCs w:val="18"/>
        </w:rPr>
      </w:pPr>
    </w:p>
    <w:p>
      <w:pPr>
        <w:spacing w:before="31" w:after="31"/>
        <w:jc w:val="center"/>
        <w:rPr>
          <w:rFonts w:ascii="宋体" w:hAnsi="宋体" w:eastAsia="宋体"/>
          <w:b/>
          <w:sz w:val="18"/>
          <w:szCs w:val="18"/>
        </w:rPr>
      </w:pPr>
      <w:r>
        <w:rPr>
          <w:rFonts w:ascii="宋体" w:hAnsi="宋体" w:eastAsia="宋体"/>
          <w:b/>
          <w:sz w:val="18"/>
          <w:szCs w:val="18"/>
        </w:rPr>
        <w:br w:type="page"/>
      </w:r>
    </w:p>
    <w:p>
      <w:pPr>
        <w:spacing w:before="31" w:after="31" w:line="240" w:lineRule="auto"/>
        <w:jc w:val="center"/>
        <w:rPr>
          <w:rFonts w:ascii="宋体" w:hAnsi="宋体" w:eastAsia="宋体"/>
          <w:sz w:val="32"/>
          <w:szCs w:val="32"/>
        </w:rPr>
      </w:pPr>
      <w:r>
        <w:rPr>
          <w:rFonts w:hint="eastAsia" w:ascii="宋体" w:hAnsi="宋体" w:eastAsia="宋体"/>
          <w:sz w:val="32"/>
          <w:szCs w:val="32"/>
        </w:rPr>
        <w:t>（二）出口样本企业贸易信贷申报表</w:t>
      </w:r>
    </w:p>
    <w:p>
      <w:pPr>
        <w:spacing w:before="31" w:after="31"/>
        <w:jc w:val="center"/>
        <w:rPr>
          <w:rFonts w:ascii="宋体" w:hAnsi="宋体" w:eastAsia="宋体"/>
          <w:sz w:val="32"/>
          <w:szCs w:val="32"/>
        </w:rPr>
      </w:pPr>
    </w:p>
    <w:p>
      <w:pPr>
        <w:spacing w:before="31" w:after="31"/>
        <w:ind w:right="360"/>
        <w:jc w:val="left"/>
        <w:rPr>
          <w:sz w:val="18"/>
        </w:rPr>
      </w:pPr>
      <w:r>
        <w:rPr>
          <w:rFonts w:hint="eastAsia"/>
          <w:sz w:val="18"/>
        </w:rPr>
        <w:t xml:space="preserve">                                                                  表    号：</w:t>
      </w:r>
      <w:r>
        <w:rPr>
          <w:rFonts w:hint="eastAsia" w:ascii="宋体" w:hAnsi="宋体" w:cs="宋体"/>
          <w:kern w:val="0"/>
          <w:sz w:val="18"/>
          <w:szCs w:val="18"/>
        </w:rPr>
        <w:t>T02表</w:t>
      </w:r>
    </w:p>
    <w:p>
      <w:pPr>
        <w:tabs>
          <w:tab w:val="left" w:pos="7088"/>
        </w:tabs>
        <w:spacing w:before="31" w:after="31"/>
        <w:jc w:val="left"/>
        <w:rPr>
          <w:sz w:val="18"/>
        </w:rPr>
      </w:pPr>
      <w:r>
        <w:rPr>
          <w:rFonts w:hint="eastAsia"/>
          <w:sz w:val="18"/>
        </w:rPr>
        <w:t xml:space="preserve">                                                                  制定机关：国家外汇管理局</w:t>
      </w:r>
    </w:p>
    <w:p>
      <w:pPr>
        <w:spacing w:before="31" w:after="31"/>
        <w:ind w:right="-36" w:rightChars="-17"/>
        <w:jc w:val="left"/>
        <w:rPr>
          <w:sz w:val="18"/>
        </w:rPr>
      </w:pPr>
      <w:r>
        <w:rPr>
          <w:rFonts w:hint="eastAsia"/>
          <w:sz w:val="18"/>
        </w:rPr>
        <w:t xml:space="preserve">                                                                  批准机关：国家统计局</w:t>
      </w:r>
    </w:p>
    <w:p>
      <w:pPr>
        <w:wordWrap w:val="0"/>
        <w:spacing w:before="31" w:after="31"/>
        <w:jc w:val="left"/>
        <w:rPr>
          <w:rFonts w:ascii="宋体" w:hAnsi="宋体" w:cs="宋体"/>
          <w:kern w:val="0"/>
          <w:sz w:val="18"/>
          <w:szCs w:val="18"/>
        </w:rPr>
      </w:pPr>
      <w:r>
        <w:rPr>
          <w:rFonts w:hint="eastAsia"/>
          <w:sz w:val="18"/>
        </w:rPr>
        <w:t xml:space="preserve">                                                                  批准文号：国统制[2013]80号</w:t>
      </w:r>
    </w:p>
    <w:p>
      <w:pPr>
        <w:spacing w:before="31" w:after="31"/>
        <w:jc w:val="left"/>
        <w:rPr>
          <w:sz w:val="18"/>
        </w:rPr>
      </w:pPr>
      <w:r>
        <w:rPr>
          <w:rFonts w:hint="eastAsia"/>
          <w:sz w:val="18"/>
        </w:rPr>
        <w:t xml:space="preserve">                                                                  有效期至：2017年  月</w:t>
      </w:r>
    </w:p>
    <w:p>
      <w:pPr>
        <w:spacing w:before="31" w:after="31"/>
        <w:jc w:val="left"/>
        <w:rPr>
          <w:sz w:val="18"/>
        </w:rPr>
      </w:pPr>
    </w:p>
    <w:p>
      <w:pPr>
        <w:spacing w:before="31" w:after="31"/>
        <w:jc w:val="left"/>
        <w:rPr>
          <w:sz w:val="18"/>
        </w:rPr>
      </w:pPr>
      <w:r>
        <w:rPr>
          <w:rFonts w:hint="eastAsia"/>
          <w:sz w:val="18"/>
        </w:rPr>
        <w:t xml:space="preserve">                                  20  年     月                          单位：</w:t>
      </w:r>
      <w:r>
        <w:rPr>
          <w:rFonts w:hint="eastAsia" w:ascii="宋体" w:hAnsi="宋体" w:eastAsia="宋体"/>
          <w:sz w:val="18"/>
          <w:szCs w:val="18"/>
        </w:rPr>
        <w:t>万货币单位，天</w:t>
      </w:r>
    </w:p>
    <w:tbl>
      <w:tblPr>
        <w:tblW w:w="8469" w:type="dxa"/>
        <w:tblInd w:w="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3507"/>
        <w:gridCol w:w="1134"/>
        <w:gridCol w:w="851"/>
        <w:gridCol w:w="1488"/>
        <w:gridCol w:w="1489"/>
      </w:tblGrid>
      <w:tr>
        <w:trPr>
          <w:trHeight w:val="360" w:hRule="atLeast"/>
        </w:trPr>
        <w:tc>
          <w:tcPr>
            <w:tcW w:w="3507" w:type="dxa"/>
            <w:tcBorders>
              <w:top w:val="single" w:color="auto" w:sz="8" w:space="0"/>
              <w:left w:val="nil"/>
              <w:bottom w:val="single" w:color="auto" w:sz="4" w:space="0"/>
              <w:right w:val="single" w:color="000000" w:sz="4"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指标名称</w:t>
            </w:r>
          </w:p>
        </w:tc>
        <w:tc>
          <w:tcPr>
            <w:tcW w:w="1134" w:type="dxa"/>
            <w:tcBorders>
              <w:top w:val="single" w:color="auto" w:sz="8" w:space="0"/>
              <w:left w:val="nil"/>
              <w:bottom w:val="single" w:color="auto" w:sz="4" w:space="0"/>
              <w:right w:val="single" w:color="auto" w:sz="4"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计量单位</w:t>
            </w:r>
          </w:p>
        </w:tc>
        <w:tc>
          <w:tcPr>
            <w:tcW w:w="851" w:type="dxa"/>
            <w:tcBorders>
              <w:top w:val="single" w:color="auto" w:sz="8" w:space="0"/>
              <w:left w:val="nil"/>
              <w:bottom w:val="single" w:color="auto" w:sz="4" w:space="0"/>
              <w:right w:val="single" w:color="000000" w:sz="4"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代码</w:t>
            </w:r>
          </w:p>
        </w:tc>
        <w:tc>
          <w:tcPr>
            <w:tcW w:w="1488" w:type="dxa"/>
            <w:tcBorders>
              <w:top w:val="single" w:color="auto" w:sz="8" w:space="0"/>
              <w:left w:val="nil"/>
              <w:bottom w:val="single" w:color="auto" w:sz="4" w:space="0"/>
              <w:right w:val="single" w:color="auto" w:sz="4"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上期金额</w:t>
            </w:r>
          </w:p>
        </w:tc>
        <w:tc>
          <w:tcPr>
            <w:tcW w:w="1489" w:type="dxa"/>
            <w:tcBorders>
              <w:top w:val="single" w:color="auto" w:sz="8" w:space="0"/>
              <w:left w:val="single" w:color="auto" w:sz="4" w:space="0"/>
              <w:bottom w:val="single" w:color="auto" w:sz="4" w:space="0"/>
              <w:right w:val="nil"/>
            </w:tcBorders>
            <w:vAlign w:val="center"/>
          </w:tcPr>
          <w:p>
            <w:pPr>
              <w:spacing w:before="31" w:after="31"/>
              <w:jc w:val="center"/>
              <w:rPr>
                <w:rFonts w:ascii="宋体" w:hAnsi="宋体" w:cs="宋体"/>
                <w:kern w:val="0"/>
                <w:sz w:val="18"/>
                <w:szCs w:val="18"/>
              </w:rPr>
            </w:pPr>
            <w:r>
              <w:rPr>
                <w:rFonts w:hint="eastAsia" w:ascii="宋体" w:hAnsi="宋体" w:cs="宋体"/>
                <w:kern w:val="0"/>
                <w:sz w:val="18"/>
                <w:szCs w:val="18"/>
              </w:rPr>
              <w:t>本期金额</w:t>
            </w:r>
          </w:p>
        </w:tc>
      </w:tr>
      <w:tr>
        <w:trPr>
          <w:trHeight w:val="330" w:hRule="atLeast"/>
        </w:trPr>
        <w:tc>
          <w:tcPr>
            <w:tcW w:w="3507" w:type="dxa"/>
            <w:tcBorders>
              <w:top w:val="single" w:color="auto" w:sz="4" w:space="0"/>
              <w:left w:val="nil"/>
              <w:bottom w:val="single" w:color="auto" w:sz="4" w:space="0"/>
              <w:right w:val="single" w:color="000000" w:sz="4"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甲</w:t>
            </w:r>
          </w:p>
        </w:tc>
        <w:tc>
          <w:tcPr>
            <w:tcW w:w="1134" w:type="dxa"/>
            <w:tcBorders>
              <w:top w:val="single" w:color="auto" w:sz="4" w:space="0"/>
              <w:left w:val="nil"/>
              <w:bottom w:val="single" w:color="auto" w:sz="4" w:space="0"/>
              <w:right w:val="single" w:color="auto" w:sz="4"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乙</w:t>
            </w:r>
          </w:p>
        </w:tc>
        <w:tc>
          <w:tcPr>
            <w:tcW w:w="851" w:type="dxa"/>
            <w:tcBorders>
              <w:top w:val="single" w:color="auto" w:sz="4" w:space="0"/>
              <w:left w:val="nil"/>
              <w:bottom w:val="single" w:color="auto" w:sz="4" w:space="0"/>
              <w:right w:val="single" w:color="000000" w:sz="4"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丙</w:t>
            </w:r>
          </w:p>
        </w:tc>
        <w:tc>
          <w:tcPr>
            <w:tcW w:w="1488" w:type="dxa"/>
            <w:tcBorders>
              <w:top w:val="single" w:color="auto" w:sz="4" w:space="0"/>
              <w:left w:val="nil"/>
              <w:bottom w:val="single" w:color="auto" w:sz="4" w:space="0"/>
              <w:right w:val="single" w:color="auto" w:sz="4"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1</w:t>
            </w:r>
          </w:p>
        </w:tc>
        <w:tc>
          <w:tcPr>
            <w:tcW w:w="1489" w:type="dxa"/>
            <w:tcBorders>
              <w:top w:val="single" w:color="auto" w:sz="4" w:space="0"/>
              <w:left w:val="single" w:color="auto" w:sz="4" w:space="0"/>
              <w:bottom w:val="single" w:color="auto" w:sz="4" w:space="0"/>
              <w:right w:val="nil"/>
            </w:tcBorders>
            <w:vAlign w:val="center"/>
          </w:tcPr>
          <w:p>
            <w:pPr>
              <w:spacing w:before="31" w:after="31"/>
              <w:ind w:left="402"/>
              <w:jc w:val="center"/>
              <w:rPr>
                <w:rFonts w:ascii="宋体" w:hAnsi="宋体" w:cs="宋体"/>
                <w:kern w:val="0"/>
                <w:sz w:val="18"/>
                <w:szCs w:val="18"/>
              </w:rPr>
            </w:pPr>
            <w:r>
              <w:rPr>
                <w:rFonts w:hint="eastAsia" w:ascii="宋体" w:hAnsi="宋体" w:cs="宋体"/>
                <w:kern w:val="0"/>
                <w:sz w:val="18"/>
                <w:szCs w:val="18"/>
              </w:rPr>
              <w:t>2</w:t>
            </w:r>
          </w:p>
        </w:tc>
      </w:tr>
      <w:tr>
        <w:trPr>
          <w:trHeight w:val="259" w:hRule="atLeast"/>
        </w:trPr>
        <w:tc>
          <w:tcPr>
            <w:tcW w:w="3507" w:type="dxa"/>
            <w:tcBorders>
              <w:top w:val="single" w:color="auto" w:sz="4" w:space="0"/>
              <w:left w:val="nil"/>
              <w:bottom w:val="nil"/>
              <w:right w:val="single" w:color="auto" w:sz="4" w:space="0"/>
            </w:tcBorders>
            <w:vAlign w:val="top"/>
          </w:tcPr>
          <w:p>
            <w:pPr>
              <w:widowControl/>
              <w:spacing w:before="31" w:after="31"/>
              <w:jc w:val="left"/>
              <w:rPr>
                <w:rFonts w:ascii="宋体" w:hAnsi="宋体" w:cs="宋体"/>
                <w:kern w:val="0"/>
                <w:sz w:val="18"/>
                <w:szCs w:val="18"/>
              </w:rPr>
            </w:pPr>
            <w:r>
              <w:rPr>
                <w:rFonts w:hint="eastAsia" w:ascii="宋体" w:hAnsi="宋体" w:cs="宋体"/>
                <w:kern w:val="0"/>
                <w:sz w:val="18"/>
                <w:szCs w:val="18"/>
              </w:rPr>
              <w:t>一、</w:t>
            </w:r>
            <w:r>
              <w:rPr>
                <w:rFonts w:ascii="宋体" w:hAnsi="宋体" w:cs="宋体"/>
                <w:kern w:val="0"/>
                <w:sz w:val="18"/>
                <w:szCs w:val="18"/>
              </w:rPr>
              <w:t>当期出口总额</w:t>
            </w:r>
          </w:p>
        </w:tc>
        <w:tc>
          <w:tcPr>
            <w:tcW w:w="1134" w:type="dxa"/>
            <w:tcBorders>
              <w:top w:val="nil"/>
              <w:left w:val="nil"/>
              <w:bottom w:val="nil"/>
              <w:right w:val="single" w:color="auto" w:sz="4" w:space="0"/>
            </w:tcBorders>
            <w:vAlign w:val="top"/>
          </w:tcPr>
          <w:p>
            <w:pPr>
              <w:spacing w:before="31" w:after="31"/>
              <w:jc w:val="center"/>
            </w:pPr>
            <w:r>
              <w:rPr>
                <w:rFonts w:hint="eastAsia" w:ascii="宋体" w:hAnsi="宋体" w:eastAsia="宋体"/>
                <w:sz w:val="18"/>
                <w:szCs w:val="18"/>
              </w:rPr>
              <w:t>万货币单位</w:t>
            </w:r>
          </w:p>
        </w:tc>
        <w:tc>
          <w:tcPr>
            <w:tcW w:w="851" w:type="dxa"/>
            <w:tcBorders>
              <w:top w:val="single" w:color="auto" w:sz="4" w:space="0"/>
              <w:left w:val="nil"/>
              <w:bottom w:val="nil"/>
              <w:right w:val="single" w:color="auto" w:sz="4" w:space="0"/>
            </w:tcBorders>
            <w:vAlign w:val="top"/>
          </w:tcPr>
          <w:p>
            <w:pPr>
              <w:widowControl/>
              <w:spacing w:before="31" w:after="31"/>
              <w:jc w:val="center"/>
              <w:rPr>
                <w:rFonts w:ascii="宋体" w:hAnsi="宋体" w:cs="宋体"/>
                <w:kern w:val="0"/>
                <w:sz w:val="18"/>
                <w:szCs w:val="18"/>
              </w:rPr>
            </w:pPr>
            <w:r>
              <w:rPr>
                <w:rFonts w:hint="eastAsia" w:ascii="宋体" w:hAnsi="宋体" w:cs="宋体"/>
                <w:kern w:val="0"/>
                <w:sz w:val="18"/>
                <w:szCs w:val="18"/>
              </w:rPr>
              <w:t>100</w:t>
            </w:r>
          </w:p>
        </w:tc>
        <w:tc>
          <w:tcPr>
            <w:tcW w:w="1488" w:type="dxa"/>
            <w:tcBorders>
              <w:top w:val="single" w:color="auto" w:sz="4" w:space="0"/>
              <w:left w:val="nil"/>
              <w:bottom w:val="nil"/>
              <w:right w:val="single" w:color="auto" w:sz="4" w:space="0"/>
            </w:tcBorders>
            <w:vAlign w:val="top"/>
          </w:tcPr>
          <w:p>
            <w:pPr>
              <w:widowControl/>
              <w:spacing w:before="31" w:after="31"/>
              <w:ind w:right="360"/>
              <w:jc w:val="center"/>
              <w:rPr>
                <w:kern w:val="0"/>
                <w:sz w:val="18"/>
                <w:szCs w:val="18"/>
              </w:rPr>
            </w:pPr>
          </w:p>
        </w:tc>
        <w:tc>
          <w:tcPr>
            <w:tcW w:w="1489" w:type="dxa"/>
            <w:tcBorders>
              <w:top w:val="single" w:color="auto" w:sz="4" w:space="0"/>
              <w:left w:val="single" w:color="auto" w:sz="4" w:space="0"/>
              <w:bottom w:val="nil"/>
            </w:tcBorders>
            <w:vAlign w:val="top"/>
          </w:tcPr>
          <w:p>
            <w:pPr>
              <w:widowControl/>
              <w:spacing w:before="31" w:after="31"/>
              <w:ind w:right="360"/>
              <w:jc w:val="center"/>
              <w:rPr>
                <w:kern w:val="0"/>
                <w:sz w:val="18"/>
                <w:szCs w:val="18"/>
              </w:rPr>
            </w:pPr>
          </w:p>
        </w:tc>
      </w:tr>
      <w:tr>
        <w:trPr>
          <w:trHeight w:val="259" w:hRule="atLeast"/>
        </w:trPr>
        <w:tc>
          <w:tcPr>
            <w:tcW w:w="3507" w:type="dxa"/>
            <w:tcBorders>
              <w:top w:val="nil"/>
              <w:left w:val="nil"/>
              <w:bottom w:val="nil"/>
              <w:right w:val="single" w:color="auto" w:sz="4" w:space="0"/>
            </w:tcBorders>
            <w:vAlign w:val="top"/>
          </w:tcPr>
          <w:p>
            <w:pPr>
              <w:widowControl/>
              <w:spacing w:before="31" w:after="31"/>
              <w:ind w:left="210" w:leftChars="100" w:firstLine="360"/>
              <w:jc w:val="left"/>
              <w:rPr>
                <w:rFonts w:ascii="宋体" w:hAnsi="宋体" w:cs="宋体"/>
                <w:kern w:val="0"/>
                <w:sz w:val="18"/>
                <w:szCs w:val="18"/>
              </w:rPr>
            </w:pPr>
            <w:r>
              <w:rPr>
                <w:rFonts w:hint="eastAsia" w:ascii="宋体" w:hAnsi="宋体" w:cs="宋体"/>
                <w:kern w:val="0"/>
                <w:sz w:val="18"/>
                <w:szCs w:val="18"/>
              </w:rPr>
              <w:t>其中：离岸转手买卖出口额</w:t>
            </w:r>
          </w:p>
        </w:tc>
        <w:tc>
          <w:tcPr>
            <w:tcW w:w="1134" w:type="dxa"/>
            <w:tcBorders>
              <w:top w:val="nil"/>
              <w:left w:val="nil"/>
              <w:bottom w:val="nil"/>
              <w:right w:val="single" w:color="auto" w:sz="4" w:space="0"/>
            </w:tcBorders>
            <w:vAlign w:val="top"/>
          </w:tcPr>
          <w:p>
            <w:pPr>
              <w:widowControl/>
              <w:spacing w:before="31" w:after="31"/>
              <w:jc w:val="center"/>
              <w:rPr>
                <w:rFonts w:ascii="宋体" w:hAnsi="宋体" w:cs="宋体"/>
                <w:kern w:val="0"/>
                <w:sz w:val="18"/>
                <w:szCs w:val="18"/>
              </w:rPr>
            </w:pPr>
            <w:r>
              <w:rPr>
                <w:rFonts w:hint="eastAsia" w:ascii="宋体" w:hAnsi="宋体" w:eastAsia="宋体"/>
                <w:sz w:val="18"/>
                <w:szCs w:val="18"/>
              </w:rPr>
              <w:t>万货币单位</w:t>
            </w:r>
          </w:p>
        </w:tc>
        <w:tc>
          <w:tcPr>
            <w:tcW w:w="851" w:type="dxa"/>
            <w:tcBorders>
              <w:top w:val="nil"/>
              <w:left w:val="nil"/>
              <w:bottom w:val="nil"/>
              <w:right w:val="single" w:color="auto" w:sz="4" w:space="0"/>
            </w:tcBorders>
            <w:vAlign w:val="top"/>
          </w:tcPr>
          <w:p>
            <w:pPr>
              <w:widowControl/>
              <w:spacing w:before="31" w:after="31"/>
              <w:jc w:val="center"/>
              <w:rPr>
                <w:rFonts w:ascii="宋体" w:hAnsi="宋体" w:cs="宋体"/>
                <w:kern w:val="0"/>
                <w:sz w:val="18"/>
                <w:szCs w:val="18"/>
              </w:rPr>
            </w:pPr>
            <w:r>
              <w:rPr>
                <w:rFonts w:hint="eastAsia" w:ascii="宋体" w:hAnsi="宋体" w:cs="宋体"/>
                <w:kern w:val="0"/>
                <w:sz w:val="18"/>
                <w:szCs w:val="18"/>
              </w:rPr>
              <w:t>110</w:t>
            </w:r>
          </w:p>
        </w:tc>
        <w:tc>
          <w:tcPr>
            <w:tcW w:w="1488" w:type="dxa"/>
            <w:tcBorders>
              <w:top w:val="nil"/>
              <w:left w:val="nil"/>
              <w:bottom w:val="nil"/>
              <w:right w:val="single" w:color="auto" w:sz="4" w:space="0"/>
            </w:tcBorders>
            <w:vAlign w:val="top"/>
          </w:tcPr>
          <w:p>
            <w:pPr>
              <w:widowControl/>
              <w:spacing w:before="31" w:after="31"/>
              <w:jc w:val="center"/>
              <w:rPr>
                <w:b/>
                <w:kern w:val="0"/>
                <w:sz w:val="18"/>
                <w:szCs w:val="18"/>
              </w:rPr>
            </w:pPr>
          </w:p>
        </w:tc>
        <w:tc>
          <w:tcPr>
            <w:tcW w:w="1489" w:type="dxa"/>
            <w:tcBorders>
              <w:top w:val="nil"/>
              <w:left w:val="single" w:color="auto" w:sz="4" w:space="0"/>
              <w:bottom w:val="nil"/>
            </w:tcBorders>
            <w:vAlign w:val="top"/>
          </w:tcPr>
          <w:p>
            <w:pPr>
              <w:widowControl/>
              <w:spacing w:before="31" w:after="31"/>
              <w:jc w:val="center"/>
              <w:rPr>
                <w:b/>
                <w:kern w:val="0"/>
                <w:sz w:val="18"/>
                <w:szCs w:val="18"/>
              </w:rPr>
            </w:pPr>
          </w:p>
        </w:tc>
      </w:tr>
      <w:tr>
        <w:trPr>
          <w:trHeight w:val="259" w:hRule="atLeast"/>
        </w:trPr>
        <w:tc>
          <w:tcPr>
            <w:tcW w:w="3507" w:type="dxa"/>
            <w:tcBorders>
              <w:top w:val="nil"/>
              <w:left w:val="nil"/>
              <w:bottom w:val="nil"/>
              <w:right w:val="single" w:color="auto" w:sz="4" w:space="0"/>
            </w:tcBorders>
            <w:vAlign w:val="top"/>
          </w:tcPr>
          <w:p>
            <w:pPr>
              <w:widowControl/>
              <w:spacing w:before="31" w:after="31"/>
              <w:jc w:val="left"/>
              <w:rPr>
                <w:rFonts w:ascii="宋体" w:hAnsi="宋体" w:cs="宋体"/>
                <w:kern w:val="0"/>
                <w:sz w:val="18"/>
                <w:szCs w:val="18"/>
              </w:rPr>
            </w:pPr>
            <w:r>
              <w:rPr>
                <w:rFonts w:hint="eastAsia" w:ascii="宋体" w:hAnsi="宋体" w:cs="宋体"/>
                <w:kern w:val="0"/>
                <w:sz w:val="18"/>
                <w:szCs w:val="18"/>
              </w:rPr>
              <w:t>二、当期收到的出口货款金额</w:t>
            </w:r>
          </w:p>
        </w:tc>
        <w:tc>
          <w:tcPr>
            <w:tcW w:w="1134" w:type="dxa"/>
            <w:tcBorders>
              <w:top w:val="nil"/>
              <w:left w:val="nil"/>
              <w:bottom w:val="nil"/>
              <w:right w:val="single" w:color="auto" w:sz="4" w:space="0"/>
            </w:tcBorders>
            <w:vAlign w:val="top"/>
          </w:tcPr>
          <w:p>
            <w:pPr>
              <w:widowControl/>
              <w:spacing w:before="31" w:after="31"/>
              <w:jc w:val="center"/>
              <w:rPr>
                <w:rFonts w:ascii="宋体" w:hAnsi="宋体" w:cs="宋体"/>
                <w:kern w:val="0"/>
                <w:sz w:val="18"/>
                <w:szCs w:val="18"/>
              </w:rPr>
            </w:pPr>
            <w:r>
              <w:rPr>
                <w:rFonts w:hint="eastAsia" w:ascii="宋体" w:hAnsi="宋体" w:eastAsia="宋体"/>
                <w:sz w:val="18"/>
                <w:szCs w:val="18"/>
              </w:rPr>
              <w:t>万货币单位</w:t>
            </w:r>
          </w:p>
        </w:tc>
        <w:tc>
          <w:tcPr>
            <w:tcW w:w="851" w:type="dxa"/>
            <w:tcBorders>
              <w:top w:val="nil"/>
              <w:left w:val="nil"/>
              <w:bottom w:val="nil"/>
              <w:right w:val="single" w:color="auto" w:sz="4" w:space="0"/>
            </w:tcBorders>
            <w:vAlign w:val="top"/>
          </w:tcPr>
          <w:p>
            <w:pPr>
              <w:widowControl/>
              <w:spacing w:before="31" w:after="31"/>
              <w:jc w:val="center"/>
              <w:rPr>
                <w:rFonts w:ascii="宋体" w:hAnsi="宋体" w:cs="宋体"/>
                <w:kern w:val="0"/>
                <w:sz w:val="18"/>
                <w:szCs w:val="18"/>
              </w:rPr>
            </w:pPr>
            <w:r>
              <w:rPr>
                <w:rFonts w:hint="eastAsia" w:ascii="宋体" w:hAnsi="宋体" w:cs="宋体"/>
                <w:kern w:val="0"/>
                <w:sz w:val="18"/>
                <w:szCs w:val="18"/>
              </w:rPr>
              <w:t>200</w:t>
            </w:r>
          </w:p>
        </w:tc>
        <w:tc>
          <w:tcPr>
            <w:tcW w:w="1488" w:type="dxa"/>
            <w:tcBorders>
              <w:top w:val="nil"/>
              <w:left w:val="nil"/>
              <w:bottom w:val="nil"/>
              <w:right w:val="single" w:color="auto" w:sz="4" w:space="0"/>
            </w:tcBorders>
            <w:vAlign w:val="top"/>
          </w:tcPr>
          <w:p>
            <w:pPr>
              <w:widowControl/>
              <w:spacing w:before="31" w:after="31"/>
              <w:jc w:val="center"/>
              <w:rPr>
                <w:b/>
                <w:kern w:val="0"/>
                <w:sz w:val="18"/>
                <w:szCs w:val="18"/>
              </w:rPr>
            </w:pPr>
          </w:p>
        </w:tc>
        <w:tc>
          <w:tcPr>
            <w:tcW w:w="1489" w:type="dxa"/>
            <w:tcBorders>
              <w:top w:val="nil"/>
              <w:left w:val="single" w:color="auto" w:sz="4" w:space="0"/>
              <w:bottom w:val="nil"/>
            </w:tcBorders>
            <w:vAlign w:val="top"/>
          </w:tcPr>
          <w:p>
            <w:pPr>
              <w:widowControl/>
              <w:spacing w:before="31" w:after="31"/>
              <w:jc w:val="center"/>
              <w:rPr>
                <w:b/>
                <w:kern w:val="0"/>
                <w:sz w:val="18"/>
                <w:szCs w:val="18"/>
              </w:rPr>
            </w:pPr>
          </w:p>
        </w:tc>
      </w:tr>
      <w:tr>
        <w:trPr>
          <w:trHeight w:val="259" w:hRule="atLeast"/>
        </w:trPr>
        <w:tc>
          <w:tcPr>
            <w:tcW w:w="3507" w:type="dxa"/>
            <w:tcBorders>
              <w:top w:val="nil"/>
              <w:left w:val="nil"/>
              <w:bottom w:val="nil"/>
              <w:right w:val="single" w:color="auto" w:sz="4" w:space="0"/>
            </w:tcBorders>
            <w:vAlign w:val="top"/>
          </w:tcPr>
          <w:p>
            <w:pPr>
              <w:widowControl/>
              <w:spacing w:before="31" w:after="31"/>
              <w:jc w:val="left"/>
              <w:rPr>
                <w:rFonts w:ascii="宋体" w:hAnsi="宋体" w:cs="宋体"/>
                <w:kern w:val="0"/>
                <w:sz w:val="18"/>
                <w:szCs w:val="18"/>
              </w:rPr>
            </w:pPr>
            <w:r>
              <w:rPr>
                <w:rFonts w:hint="eastAsia" w:ascii="宋体" w:hAnsi="宋体" w:cs="宋体"/>
                <w:kern w:val="0"/>
                <w:sz w:val="18"/>
                <w:szCs w:val="18"/>
              </w:rPr>
              <w:t>三、期末账面出口应收款余额</w:t>
            </w:r>
          </w:p>
        </w:tc>
        <w:tc>
          <w:tcPr>
            <w:tcW w:w="1134" w:type="dxa"/>
            <w:tcBorders>
              <w:top w:val="nil"/>
              <w:left w:val="nil"/>
              <w:bottom w:val="nil"/>
              <w:right w:val="single" w:color="auto" w:sz="4" w:space="0"/>
            </w:tcBorders>
            <w:vAlign w:val="top"/>
          </w:tcPr>
          <w:p>
            <w:pPr>
              <w:widowControl/>
              <w:spacing w:before="31" w:after="31"/>
              <w:jc w:val="center"/>
              <w:rPr>
                <w:rFonts w:ascii="宋体" w:hAnsi="宋体" w:cs="宋体"/>
                <w:kern w:val="0"/>
                <w:sz w:val="18"/>
                <w:szCs w:val="18"/>
              </w:rPr>
            </w:pPr>
            <w:r>
              <w:rPr>
                <w:rFonts w:hint="eastAsia" w:ascii="宋体" w:hAnsi="宋体" w:eastAsia="宋体"/>
                <w:sz w:val="18"/>
                <w:szCs w:val="18"/>
              </w:rPr>
              <w:t>万货币单位</w:t>
            </w:r>
          </w:p>
        </w:tc>
        <w:tc>
          <w:tcPr>
            <w:tcW w:w="851" w:type="dxa"/>
            <w:tcBorders>
              <w:top w:val="nil"/>
              <w:left w:val="nil"/>
              <w:bottom w:val="nil"/>
              <w:right w:val="single" w:color="auto" w:sz="4" w:space="0"/>
            </w:tcBorders>
            <w:vAlign w:val="top"/>
          </w:tcPr>
          <w:p>
            <w:pPr>
              <w:widowControl/>
              <w:spacing w:before="31" w:after="31"/>
              <w:jc w:val="center"/>
              <w:rPr>
                <w:rFonts w:ascii="宋体" w:hAnsi="宋体" w:cs="宋体"/>
                <w:kern w:val="0"/>
                <w:sz w:val="18"/>
                <w:szCs w:val="18"/>
              </w:rPr>
            </w:pPr>
            <w:r>
              <w:rPr>
                <w:rFonts w:hint="eastAsia" w:ascii="宋体" w:hAnsi="宋体" w:cs="宋体"/>
                <w:kern w:val="0"/>
                <w:sz w:val="18"/>
                <w:szCs w:val="18"/>
              </w:rPr>
              <w:t>300</w:t>
            </w:r>
          </w:p>
        </w:tc>
        <w:tc>
          <w:tcPr>
            <w:tcW w:w="1488" w:type="dxa"/>
            <w:tcBorders>
              <w:top w:val="nil"/>
              <w:left w:val="nil"/>
              <w:bottom w:val="nil"/>
              <w:right w:val="single" w:color="auto" w:sz="4" w:space="0"/>
            </w:tcBorders>
            <w:vAlign w:val="top"/>
          </w:tcPr>
          <w:p>
            <w:pPr>
              <w:widowControl/>
              <w:spacing w:before="31" w:after="31"/>
              <w:jc w:val="center"/>
              <w:rPr>
                <w:b/>
                <w:kern w:val="0"/>
                <w:sz w:val="18"/>
                <w:szCs w:val="18"/>
              </w:rPr>
            </w:pPr>
          </w:p>
        </w:tc>
        <w:tc>
          <w:tcPr>
            <w:tcW w:w="1489" w:type="dxa"/>
            <w:tcBorders>
              <w:top w:val="nil"/>
              <w:left w:val="single" w:color="auto" w:sz="4" w:space="0"/>
              <w:bottom w:val="nil"/>
            </w:tcBorders>
            <w:vAlign w:val="top"/>
          </w:tcPr>
          <w:p>
            <w:pPr>
              <w:widowControl/>
              <w:spacing w:before="31" w:after="31"/>
              <w:jc w:val="center"/>
              <w:rPr>
                <w:b/>
                <w:kern w:val="0"/>
                <w:sz w:val="18"/>
                <w:szCs w:val="18"/>
              </w:rPr>
            </w:pPr>
          </w:p>
        </w:tc>
      </w:tr>
      <w:tr>
        <w:trPr>
          <w:trHeight w:val="259" w:hRule="atLeast"/>
        </w:trPr>
        <w:tc>
          <w:tcPr>
            <w:tcW w:w="3507" w:type="dxa"/>
            <w:tcBorders>
              <w:top w:val="nil"/>
              <w:left w:val="nil"/>
              <w:bottom w:val="nil"/>
              <w:right w:val="single" w:color="auto" w:sz="4" w:space="0"/>
            </w:tcBorders>
            <w:vAlign w:val="top"/>
          </w:tcPr>
          <w:p>
            <w:pPr>
              <w:widowControl/>
              <w:spacing w:before="31" w:after="31"/>
              <w:ind w:left="420" w:leftChars="200"/>
              <w:jc w:val="left"/>
              <w:rPr>
                <w:rFonts w:ascii="宋体" w:hAnsi="宋体" w:cs="宋体"/>
                <w:kern w:val="0"/>
                <w:sz w:val="18"/>
                <w:szCs w:val="18"/>
              </w:rPr>
            </w:pPr>
            <w:r>
              <w:rPr>
                <w:rFonts w:ascii="宋体" w:hAnsi="宋体" w:cs="宋体"/>
                <w:kern w:val="0"/>
                <w:sz w:val="18"/>
                <w:szCs w:val="18"/>
              </w:rPr>
              <w:t>其中：一年以上</w:t>
            </w:r>
          </w:p>
        </w:tc>
        <w:tc>
          <w:tcPr>
            <w:tcW w:w="1134" w:type="dxa"/>
            <w:tcBorders>
              <w:top w:val="nil"/>
              <w:left w:val="nil"/>
              <w:bottom w:val="nil"/>
              <w:right w:val="single" w:color="auto" w:sz="4" w:space="0"/>
            </w:tcBorders>
            <w:vAlign w:val="top"/>
          </w:tcPr>
          <w:p>
            <w:pPr>
              <w:widowControl/>
              <w:spacing w:before="31" w:after="31"/>
              <w:jc w:val="center"/>
              <w:rPr>
                <w:rFonts w:ascii="宋体" w:hAnsi="宋体" w:cs="宋体"/>
                <w:kern w:val="0"/>
                <w:sz w:val="18"/>
                <w:szCs w:val="18"/>
              </w:rPr>
            </w:pPr>
            <w:r>
              <w:rPr>
                <w:rFonts w:hint="eastAsia" w:ascii="宋体" w:hAnsi="宋体" w:eastAsia="宋体"/>
                <w:sz w:val="18"/>
                <w:szCs w:val="18"/>
              </w:rPr>
              <w:t>万货币单位</w:t>
            </w:r>
          </w:p>
        </w:tc>
        <w:tc>
          <w:tcPr>
            <w:tcW w:w="851" w:type="dxa"/>
            <w:tcBorders>
              <w:top w:val="nil"/>
              <w:left w:val="nil"/>
              <w:bottom w:val="nil"/>
              <w:right w:val="single" w:color="auto" w:sz="4" w:space="0"/>
            </w:tcBorders>
            <w:vAlign w:val="top"/>
          </w:tcPr>
          <w:p>
            <w:pPr>
              <w:widowControl/>
              <w:spacing w:before="31" w:after="31"/>
              <w:jc w:val="center"/>
              <w:rPr>
                <w:rFonts w:ascii="宋体" w:hAnsi="宋体" w:cs="宋体"/>
                <w:kern w:val="0"/>
                <w:sz w:val="18"/>
                <w:szCs w:val="18"/>
              </w:rPr>
            </w:pPr>
            <w:r>
              <w:rPr>
                <w:rFonts w:hint="eastAsia" w:ascii="宋体" w:hAnsi="宋体" w:cs="宋体"/>
                <w:kern w:val="0"/>
                <w:sz w:val="18"/>
                <w:szCs w:val="18"/>
              </w:rPr>
              <w:t>301</w:t>
            </w:r>
          </w:p>
        </w:tc>
        <w:tc>
          <w:tcPr>
            <w:tcW w:w="1488" w:type="dxa"/>
            <w:tcBorders>
              <w:top w:val="nil"/>
              <w:left w:val="nil"/>
              <w:bottom w:val="nil"/>
              <w:right w:val="single" w:color="auto" w:sz="4" w:space="0"/>
            </w:tcBorders>
            <w:vAlign w:val="top"/>
          </w:tcPr>
          <w:p>
            <w:pPr>
              <w:widowControl/>
              <w:spacing w:before="31" w:after="31"/>
              <w:jc w:val="center"/>
              <w:rPr>
                <w:b/>
                <w:kern w:val="0"/>
                <w:sz w:val="18"/>
                <w:szCs w:val="18"/>
              </w:rPr>
            </w:pPr>
          </w:p>
        </w:tc>
        <w:tc>
          <w:tcPr>
            <w:tcW w:w="1489" w:type="dxa"/>
            <w:tcBorders>
              <w:top w:val="nil"/>
              <w:left w:val="single" w:color="auto" w:sz="4" w:space="0"/>
              <w:bottom w:val="nil"/>
            </w:tcBorders>
            <w:vAlign w:val="top"/>
          </w:tcPr>
          <w:p>
            <w:pPr>
              <w:widowControl/>
              <w:spacing w:before="31" w:after="31"/>
              <w:jc w:val="center"/>
              <w:rPr>
                <w:b/>
                <w:kern w:val="0"/>
                <w:sz w:val="18"/>
                <w:szCs w:val="18"/>
              </w:rPr>
            </w:pPr>
          </w:p>
        </w:tc>
      </w:tr>
      <w:tr>
        <w:trPr>
          <w:trHeight w:val="259" w:hRule="atLeast"/>
        </w:trPr>
        <w:tc>
          <w:tcPr>
            <w:tcW w:w="3507" w:type="dxa"/>
            <w:tcBorders>
              <w:top w:val="nil"/>
              <w:left w:val="nil"/>
              <w:bottom w:val="nil"/>
              <w:right w:val="single" w:color="auto" w:sz="4" w:space="0"/>
            </w:tcBorders>
            <w:vAlign w:val="top"/>
          </w:tcPr>
          <w:p>
            <w:pPr>
              <w:widowControl/>
              <w:spacing w:before="31" w:after="31"/>
              <w:ind w:left="420" w:leftChars="200"/>
              <w:jc w:val="left"/>
              <w:rPr>
                <w:rFonts w:ascii="宋体" w:hAnsi="宋体" w:cs="宋体"/>
                <w:kern w:val="0"/>
                <w:sz w:val="18"/>
                <w:szCs w:val="18"/>
              </w:rPr>
            </w:pPr>
            <w:r>
              <w:rPr>
                <w:rFonts w:hint="eastAsia" w:ascii="宋体" w:hAnsi="宋体" w:cs="宋体"/>
                <w:kern w:val="0"/>
                <w:sz w:val="18"/>
                <w:szCs w:val="18"/>
              </w:rPr>
              <w:t>其中：离岸转手买卖出口应收款余额</w:t>
            </w:r>
          </w:p>
        </w:tc>
        <w:tc>
          <w:tcPr>
            <w:tcW w:w="1134" w:type="dxa"/>
            <w:tcBorders>
              <w:top w:val="nil"/>
              <w:left w:val="nil"/>
              <w:bottom w:val="nil"/>
              <w:right w:val="single" w:color="auto" w:sz="4" w:space="0"/>
            </w:tcBorders>
            <w:vAlign w:val="top"/>
          </w:tcPr>
          <w:p>
            <w:pPr>
              <w:widowControl/>
              <w:spacing w:before="31" w:after="31"/>
              <w:jc w:val="center"/>
              <w:rPr>
                <w:rFonts w:ascii="宋体" w:hAnsi="宋体" w:cs="宋体"/>
                <w:kern w:val="0"/>
                <w:sz w:val="18"/>
                <w:szCs w:val="18"/>
              </w:rPr>
            </w:pPr>
            <w:r>
              <w:rPr>
                <w:rFonts w:hint="eastAsia" w:ascii="宋体" w:hAnsi="宋体" w:eastAsia="宋体"/>
                <w:sz w:val="18"/>
                <w:szCs w:val="18"/>
              </w:rPr>
              <w:t>万货币单位</w:t>
            </w:r>
          </w:p>
        </w:tc>
        <w:tc>
          <w:tcPr>
            <w:tcW w:w="851" w:type="dxa"/>
            <w:tcBorders>
              <w:top w:val="nil"/>
              <w:left w:val="nil"/>
              <w:bottom w:val="nil"/>
              <w:right w:val="single" w:color="auto" w:sz="4" w:space="0"/>
            </w:tcBorders>
            <w:vAlign w:val="top"/>
          </w:tcPr>
          <w:p>
            <w:pPr>
              <w:widowControl/>
              <w:spacing w:before="31" w:after="31"/>
              <w:jc w:val="center"/>
              <w:rPr>
                <w:rFonts w:ascii="宋体" w:hAnsi="宋体" w:cs="宋体"/>
                <w:kern w:val="0"/>
                <w:sz w:val="18"/>
                <w:szCs w:val="18"/>
              </w:rPr>
            </w:pPr>
            <w:r>
              <w:rPr>
                <w:rFonts w:hint="eastAsia" w:ascii="宋体" w:hAnsi="宋体" w:cs="宋体"/>
                <w:kern w:val="0"/>
                <w:sz w:val="18"/>
                <w:szCs w:val="18"/>
              </w:rPr>
              <w:t>310</w:t>
            </w:r>
          </w:p>
        </w:tc>
        <w:tc>
          <w:tcPr>
            <w:tcW w:w="1488" w:type="dxa"/>
            <w:tcBorders>
              <w:top w:val="nil"/>
              <w:left w:val="nil"/>
              <w:bottom w:val="nil"/>
              <w:right w:val="single" w:color="auto" w:sz="4" w:space="0"/>
            </w:tcBorders>
            <w:vAlign w:val="top"/>
          </w:tcPr>
          <w:p>
            <w:pPr>
              <w:widowControl/>
              <w:spacing w:before="31" w:after="31"/>
              <w:jc w:val="center"/>
              <w:rPr>
                <w:b/>
                <w:kern w:val="0"/>
                <w:sz w:val="18"/>
                <w:szCs w:val="18"/>
              </w:rPr>
            </w:pPr>
          </w:p>
        </w:tc>
        <w:tc>
          <w:tcPr>
            <w:tcW w:w="1489" w:type="dxa"/>
            <w:tcBorders>
              <w:top w:val="nil"/>
              <w:left w:val="single" w:color="auto" w:sz="4" w:space="0"/>
              <w:bottom w:val="nil"/>
            </w:tcBorders>
            <w:vAlign w:val="top"/>
          </w:tcPr>
          <w:p>
            <w:pPr>
              <w:widowControl/>
              <w:spacing w:before="31" w:after="31"/>
              <w:jc w:val="center"/>
              <w:rPr>
                <w:b/>
                <w:kern w:val="0"/>
                <w:sz w:val="18"/>
                <w:szCs w:val="18"/>
              </w:rPr>
            </w:pPr>
          </w:p>
        </w:tc>
      </w:tr>
      <w:tr>
        <w:trPr>
          <w:trHeight w:val="259" w:hRule="atLeast"/>
        </w:trPr>
        <w:tc>
          <w:tcPr>
            <w:tcW w:w="3507" w:type="dxa"/>
            <w:tcBorders>
              <w:top w:val="nil"/>
              <w:left w:val="nil"/>
              <w:bottom w:val="nil"/>
              <w:right w:val="single" w:color="auto" w:sz="4" w:space="0"/>
            </w:tcBorders>
            <w:vAlign w:val="top"/>
          </w:tcPr>
          <w:p>
            <w:pPr>
              <w:widowControl/>
              <w:spacing w:before="31" w:after="31"/>
              <w:ind w:left="420" w:leftChars="200"/>
              <w:jc w:val="left"/>
              <w:rPr>
                <w:rFonts w:ascii="宋体" w:hAnsi="宋体" w:cs="宋体"/>
                <w:kern w:val="0"/>
                <w:sz w:val="18"/>
                <w:szCs w:val="18"/>
              </w:rPr>
            </w:pPr>
            <w:r>
              <w:rPr>
                <w:rFonts w:hint="eastAsia" w:ascii="宋体" w:hAnsi="宋体" w:cs="宋体"/>
                <w:kern w:val="0"/>
                <w:sz w:val="18"/>
                <w:szCs w:val="18"/>
              </w:rPr>
              <w:t>其中：对关联企业的出口应收款余额</w:t>
            </w:r>
          </w:p>
        </w:tc>
        <w:tc>
          <w:tcPr>
            <w:tcW w:w="1134" w:type="dxa"/>
            <w:tcBorders>
              <w:top w:val="nil"/>
              <w:left w:val="nil"/>
              <w:bottom w:val="nil"/>
              <w:right w:val="single" w:color="auto" w:sz="4" w:space="0"/>
            </w:tcBorders>
            <w:vAlign w:val="top"/>
          </w:tcPr>
          <w:p>
            <w:pPr>
              <w:widowControl/>
              <w:spacing w:before="31" w:after="31"/>
              <w:jc w:val="center"/>
              <w:rPr>
                <w:rFonts w:ascii="宋体" w:hAnsi="宋体" w:cs="宋体"/>
                <w:kern w:val="0"/>
                <w:sz w:val="18"/>
                <w:szCs w:val="18"/>
              </w:rPr>
            </w:pPr>
            <w:r>
              <w:rPr>
                <w:rFonts w:hint="eastAsia" w:ascii="宋体" w:hAnsi="宋体" w:eastAsia="宋体"/>
                <w:sz w:val="18"/>
                <w:szCs w:val="18"/>
              </w:rPr>
              <w:t>万货币单位</w:t>
            </w:r>
          </w:p>
        </w:tc>
        <w:tc>
          <w:tcPr>
            <w:tcW w:w="851" w:type="dxa"/>
            <w:tcBorders>
              <w:top w:val="nil"/>
              <w:left w:val="nil"/>
              <w:bottom w:val="nil"/>
              <w:right w:val="single" w:color="auto" w:sz="4" w:space="0"/>
            </w:tcBorders>
            <w:vAlign w:val="top"/>
          </w:tcPr>
          <w:p>
            <w:pPr>
              <w:widowControl/>
              <w:spacing w:before="31" w:after="31"/>
              <w:jc w:val="center"/>
              <w:rPr>
                <w:rFonts w:ascii="宋体" w:hAnsi="宋体" w:cs="宋体"/>
                <w:kern w:val="0"/>
                <w:sz w:val="18"/>
                <w:szCs w:val="18"/>
              </w:rPr>
            </w:pPr>
            <w:r>
              <w:rPr>
                <w:rFonts w:hint="eastAsia" w:ascii="宋体" w:hAnsi="宋体" w:cs="宋体"/>
                <w:kern w:val="0"/>
                <w:sz w:val="18"/>
                <w:szCs w:val="18"/>
              </w:rPr>
              <w:t>320</w:t>
            </w:r>
          </w:p>
        </w:tc>
        <w:tc>
          <w:tcPr>
            <w:tcW w:w="1488" w:type="dxa"/>
            <w:tcBorders>
              <w:top w:val="nil"/>
              <w:left w:val="nil"/>
              <w:bottom w:val="nil"/>
              <w:right w:val="single" w:color="auto" w:sz="4" w:space="0"/>
            </w:tcBorders>
            <w:vAlign w:val="top"/>
          </w:tcPr>
          <w:p>
            <w:pPr>
              <w:widowControl/>
              <w:spacing w:before="31" w:after="31"/>
              <w:jc w:val="center"/>
              <w:rPr>
                <w:b/>
                <w:kern w:val="0"/>
                <w:sz w:val="18"/>
                <w:szCs w:val="18"/>
              </w:rPr>
            </w:pPr>
          </w:p>
        </w:tc>
        <w:tc>
          <w:tcPr>
            <w:tcW w:w="1489" w:type="dxa"/>
            <w:tcBorders>
              <w:top w:val="nil"/>
              <w:left w:val="single" w:color="auto" w:sz="4" w:space="0"/>
              <w:bottom w:val="nil"/>
            </w:tcBorders>
            <w:vAlign w:val="top"/>
          </w:tcPr>
          <w:p>
            <w:pPr>
              <w:widowControl/>
              <w:spacing w:before="31" w:after="31"/>
              <w:jc w:val="center"/>
              <w:rPr>
                <w:b/>
                <w:kern w:val="0"/>
                <w:sz w:val="18"/>
                <w:szCs w:val="18"/>
              </w:rPr>
            </w:pPr>
          </w:p>
        </w:tc>
      </w:tr>
      <w:tr>
        <w:trPr>
          <w:trHeight w:val="259" w:hRule="atLeast"/>
        </w:trPr>
        <w:tc>
          <w:tcPr>
            <w:tcW w:w="3507" w:type="dxa"/>
            <w:tcBorders>
              <w:top w:val="nil"/>
              <w:left w:val="nil"/>
              <w:bottom w:val="nil"/>
              <w:right w:val="single" w:color="auto" w:sz="4" w:space="0"/>
            </w:tcBorders>
            <w:vAlign w:val="top"/>
          </w:tcPr>
          <w:p>
            <w:pPr>
              <w:widowControl/>
              <w:spacing w:before="31" w:after="31"/>
              <w:jc w:val="left"/>
              <w:rPr>
                <w:rFonts w:ascii="宋体" w:hAnsi="宋体" w:cs="宋体"/>
                <w:kern w:val="0"/>
                <w:sz w:val="18"/>
                <w:szCs w:val="18"/>
              </w:rPr>
            </w:pPr>
            <w:r>
              <w:rPr>
                <w:rFonts w:hint="eastAsia" w:ascii="宋体" w:hAnsi="宋体" w:cs="宋体"/>
                <w:kern w:val="0"/>
                <w:sz w:val="18"/>
                <w:szCs w:val="18"/>
              </w:rPr>
              <w:t>四、</w:t>
            </w:r>
            <w:r>
              <w:rPr>
                <w:rFonts w:ascii="宋体" w:hAnsi="宋体" w:cs="宋体"/>
                <w:kern w:val="0"/>
                <w:sz w:val="18"/>
                <w:szCs w:val="18"/>
              </w:rPr>
              <w:t>期末</w:t>
            </w:r>
            <w:r>
              <w:rPr>
                <w:rFonts w:hint="eastAsia" w:ascii="宋体" w:hAnsi="宋体" w:cs="宋体"/>
                <w:kern w:val="0"/>
                <w:sz w:val="18"/>
                <w:szCs w:val="18"/>
              </w:rPr>
              <w:t>账面</w:t>
            </w:r>
            <w:r>
              <w:rPr>
                <w:rFonts w:ascii="宋体" w:hAnsi="宋体" w:cs="宋体"/>
                <w:kern w:val="0"/>
                <w:sz w:val="18"/>
                <w:szCs w:val="18"/>
              </w:rPr>
              <w:t>出口预收款余额</w:t>
            </w:r>
          </w:p>
        </w:tc>
        <w:tc>
          <w:tcPr>
            <w:tcW w:w="1134" w:type="dxa"/>
            <w:tcBorders>
              <w:top w:val="nil"/>
              <w:left w:val="nil"/>
              <w:bottom w:val="nil"/>
              <w:right w:val="single" w:color="auto" w:sz="4" w:space="0"/>
            </w:tcBorders>
            <w:vAlign w:val="top"/>
          </w:tcPr>
          <w:p>
            <w:pPr>
              <w:widowControl/>
              <w:spacing w:before="31" w:after="31"/>
              <w:jc w:val="center"/>
              <w:rPr>
                <w:rFonts w:ascii="宋体" w:hAnsi="宋体" w:cs="宋体"/>
                <w:kern w:val="0"/>
                <w:sz w:val="18"/>
                <w:szCs w:val="18"/>
              </w:rPr>
            </w:pPr>
            <w:r>
              <w:rPr>
                <w:rFonts w:hint="eastAsia" w:ascii="宋体" w:hAnsi="宋体" w:eastAsia="宋体"/>
                <w:sz w:val="18"/>
                <w:szCs w:val="18"/>
              </w:rPr>
              <w:t>万货币单位</w:t>
            </w:r>
          </w:p>
        </w:tc>
        <w:tc>
          <w:tcPr>
            <w:tcW w:w="851" w:type="dxa"/>
            <w:tcBorders>
              <w:top w:val="nil"/>
              <w:left w:val="nil"/>
              <w:bottom w:val="nil"/>
              <w:right w:val="single" w:color="auto" w:sz="4" w:space="0"/>
            </w:tcBorders>
            <w:vAlign w:val="top"/>
          </w:tcPr>
          <w:p>
            <w:pPr>
              <w:widowControl/>
              <w:spacing w:before="31" w:after="31"/>
              <w:jc w:val="center"/>
              <w:rPr>
                <w:rFonts w:ascii="宋体" w:hAnsi="宋体" w:cs="宋体"/>
                <w:kern w:val="0"/>
                <w:sz w:val="18"/>
                <w:szCs w:val="18"/>
              </w:rPr>
            </w:pPr>
            <w:r>
              <w:rPr>
                <w:rFonts w:hint="eastAsia" w:ascii="宋体" w:hAnsi="宋体" w:cs="宋体"/>
                <w:kern w:val="0"/>
                <w:sz w:val="18"/>
                <w:szCs w:val="18"/>
              </w:rPr>
              <w:t>400</w:t>
            </w:r>
          </w:p>
        </w:tc>
        <w:tc>
          <w:tcPr>
            <w:tcW w:w="1488" w:type="dxa"/>
            <w:tcBorders>
              <w:top w:val="nil"/>
              <w:left w:val="nil"/>
              <w:bottom w:val="nil"/>
              <w:right w:val="single" w:color="auto" w:sz="4" w:space="0"/>
            </w:tcBorders>
            <w:vAlign w:val="top"/>
          </w:tcPr>
          <w:p>
            <w:pPr>
              <w:widowControl/>
              <w:spacing w:before="31" w:after="31"/>
              <w:ind w:right="360"/>
              <w:jc w:val="center"/>
              <w:rPr>
                <w:b/>
                <w:kern w:val="0"/>
                <w:sz w:val="18"/>
                <w:szCs w:val="18"/>
              </w:rPr>
            </w:pPr>
          </w:p>
        </w:tc>
        <w:tc>
          <w:tcPr>
            <w:tcW w:w="1489" w:type="dxa"/>
            <w:tcBorders>
              <w:top w:val="nil"/>
              <w:left w:val="single" w:color="auto" w:sz="4" w:space="0"/>
              <w:bottom w:val="nil"/>
            </w:tcBorders>
            <w:vAlign w:val="top"/>
          </w:tcPr>
          <w:p>
            <w:pPr>
              <w:widowControl/>
              <w:spacing w:before="31" w:after="31"/>
              <w:ind w:right="360"/>
              <w:jc w:val="center"/>
              <w:rPr>
                <w:b/>
                <w:kern w:val="0"/>
                <w:sz w:val="18"/>
                <w:szCs w:val="18"/>
              </w:rPr>
            </w:pPr>
          </w:p>
        </w:tc>
      </w:tr>
      <w:tr>
        <w:trPr>
          <w:trHeight w:val="259" w:hRule="atLeast"/>
        </w:trPr>
        <w:tc>
          <w:tcPr>
            <w:tcW w:w="3507" w:type="dxa"/>
            <w:tcBorders>
              <w:top w:val="nil"/>
              <w:left w:val="nil"/>
              <w:bottom w:val="nil"/>
              <w:right w:val="single" w:color="auto" w:sz="4" w:space="0"/>
            </w:tcBorders>
            <w:vAlign w:val="top"/>
          </w:tcPr>
          <w:p>
            <w:pPr>
              <w:widowControl/>
              <w:spacing w:before="31" w:after="31"/>
              <w:ind w:left="420" w:leftChars="200"/>
              <w:jc w:val="left"/>
              <w:rPr>
                <w:rFonts w:ascii="宋体" w:hAnsi="宋体" w:cs="宋体"/>
                <w:kern w:val="0"/>
                <w:sz w:val="18"/>
                <w:szCs w:val="18"/>
              </w:rPr>
            </w:pPr>
            <w:r>
              <w:rPr>
                <w:rFonts w:ascii="宋体" w:hAnsi="宋体" w:cs="宋体"/>
                <w:kern w:val="0"/>
                <w:sz w:val="18"/>
                <w:szCs w:val="18"/>
              </w:rPr>
              <w:t>其中：一年以上</w:t>
            </w:r>
          </w:p>
        </w:tc>
        <w:tc>
          <w:tcPr>
            <w:tcW w:w="1134" w:type="dxa"/>
            <w:tcBorders>
              <w:top w:val="nil"/>
              <w:left w:val="nil"/>
              <w:bottom w:val="nil"/>
              <w:right w:val="single" w:color="auto" w:sz="4" w:space="0"/>
            </w:tcBorders>
            <w:vAlign w:val="top"/>
          </w:tcPr>
          <w:p>
            <w:pPr>
              <w:widowControl/>
              <w:spacing w:before="31" w:after="31"/>
              <w:jc w:val="center"/>
              <w:rPr>
                <w:rFonts w:ascii="宋体" w:hAnsi="宋体" w:cs="宋体"/>
                <w:kern w:val="0"/>
                <w:sz w:val="18"/>
                <w:szCs w:val="18"/>
              </w:rPr>
            </w:pPr>
            <w:r>
              <w:rPr>
                <w:rFonts w:hint="eastAsia" w:ascii="宋体" w:hAnsi="宋体" w:eastAsia="宋体"/>
                <w:sz w:val="18"/>
                <w:szCs w:val="18"/>
              </w:rPr>
              <w:t>万货币单位</w:t>
            </w:r>
          </w:p>
        </w:tc>
        <w:tc>
          <w:tcPr>
            <w:tcW w:w="851" w:type="dxa"/>
            <w:tcBorders>
              <w:top w:val="nil"/>
              <w:left w:val="nil"/>
              <w:bottom w:val="nil"/>
              <w:right w:val="single" w:color="auto" w:sz="4" w:space="0"/>
            </w:tcBorders>
            <w:vAlign w:val="top"/>
          </w:tcPr>
          <w:p>
            <w:pPr>
              <w:widowControl/>
              <w:spacing w:before="31" w:after="31"/>
              <w:jc w:val="center"/>
              <w:rPr>
                <w:rFonts w:ascii="宋体" w:hAnsi="宋体" w:cs="宋体"/>
                <w:kern w:val="0"/>
                <w:sz w:val="18"/>
                <w:szCs w:val="18"/>
              </w:rPr>
            </w:pPr>
            <w:r>
              <w:rPr>
                <w:rFonts w:hint="eastAsia" w:ascii="宋体" w:hAnsi="宋体" w:cs="宋体"/>
                <w:kern w:val="0"/>
                <w:sz w:val="18"/>
                <w:szCs w:val="18"/>
              </w:rPr>
              <w:t>401</w:t>
            </w:r>
          </w:p>
        </w:tc>
        <w:tc>
          <w:tcPr>
            <w:tcW w:w="1488" w:type="dxa"/>
            <w:tcBorders>
              <w:top w:val="nil"/>
              <w:left w:val="nil"/>
              <w:bottom w:val="nil"/>
              <w:right w:val="single" w:color="auto" w:sz="4" w:space="0"/>
            </w:tcBorders>
            <w:vAlign w:val="top"/>
          </w:tcPr>
          <w:p>
            <w:pPr>
              <w:widowControl/>
              <w:spacing w:before="31" w:after="31"/>
              <w:ind w:right="360"/>
              <w:jc w:val="center"/>
              <w:rPr>
                <w:b/>
                <w:kern w:val="0"/>
                <w:sz w:val="18"/>
                <w:szCs w:val="18"/>
              </w:rPr>
            </w:pPr>
          </w:p>
        </w:tc>
        <w:tc>
          <w:tcPr>
            <w:tcW w:w="1489" w:type="dxa"/>
            <w:tcBorders>
              <w:top w:val="nil"/>
              <w:left w:val="single" w:color="auto" w:sz="4" w:space="0"/>
              <w:bottom w:val="nil"/>
            </w:tcBorders>
            <w:vAlign w:val="top"/>
          </w:tcPr>
          <w:p>
            <w:pPr>
              <w:widowControl/>
              <w:spacing w:before="31" w:after="31"/>
              <w:ind w:right="360"/>
              <w:jc w:val="center"/>
              <w:rPr>
                <w:b/>
                <w:kern w:val="0"/>
                <w:sz w:val="18"/>
                <w:szCs w:val="18"/>
              </w:rPr>
            </w:pPr>
          </w:p>
        </w:tc>
      </w:tr>
      <w:tr>
        <w:trPr>
          <w:trHeight w:val="259" w:hRule="atLeast"/>
        </w:trPr>
        <w:tc>
          <w:tcPr>
            <w:tcW w:w="3507" w:type="dxa"/>
            <w:tcBorders>
              <w:top w:val="nil"/>
              <w:left w:val="nil"/>
              <w:bottom w:val="nil"/>
              <w:right w:val="single" w:color="auto" w:sz="4" w:space="0"/>
            </w:tcBorders>
            <w:vAlign w:val="top"/>
          </w:tcPr>
          <w:p>
            <w:pPr>
              <w:widowControl/>
              <w:spacing w:before="31" w:after="31"/>
              <w:ind w:left="420" w:leftChars="200"/>
              <w:jc w:val="left"/>
              <w:rPr>
                <w:rFonts w:ascii="宋体" w:hAnsi="宋体" w:cs="宋体"/>
                <w:kern w:val="0"/>
                <w:sz w:val="18"/>
                <w:szCs w:val="18"/>
              </w:rPr>
            </w:pPr>
            <w:r>
              <w:rPr>
                <w:rFonts w:hint="eastAsia" w:ascii="宋体" w:hAnsi="宋体" w:cs="宋体"/>
                <w:kern w:val="0"/>
                <w:sz w:val="18"/>
                <w:szCs w:val="18"/>
              </w:rPr>
              <w:t>其中：离岸转手买卖出口预收款余额</w:t>
            </w:r>
          </w:p>
        </w:tc>
        <w:tc>
          <w:tcPr>
            <w:tcW w:w="1134" w:type="dxa"/>
            <w:tcBorders>
              <w:top w:val="nil"/>
              <w:left w:val="nil"/>
              <w:bottom w:val="nil"/>
              <w:right w:val="single" w:color="auto" w:sz="4" w:space="0"/>
            </w:tcBorders>
            <w:vAlign w:val="top"/>
          </w:tcPr>
          <w:p>
            <w:pPr>
              <w:widowControl/>
              <w:spacing w:before="31" w:after="31"/>
              <w:jc w:val="center"/>
              <w:rPr>
                <w:rFonts w:ascii="宋体" w:hAnsi="宋体" w:cs="宋体"/>
                <w:kern w:val="0"/>
                <w:sz w:val="18"/>
                <w:szCs w:val="18"/>
              </w:rPr>
            </w:pPr>
            <w:r>
              <w:rPr>
                <w:rFonts w:hint="eastAsia" w:ascii="宋体" w:hAnsi="宋体" w:eastAsia="宋体"/>
                <w:sz w:val="18"/>
                <w:szCs w:val="18"/>
              </w:rPr>
              <w:t>万货币单位</w:t>
            </w:r>
          </w:p>
        </w:tc>
        <w:tc>
          <w:tcPr>
            <w:tcW w:w="851" w:type="dxa"/>
            <w:tcBorders>
              <w:top w:val="nil"/>
              <w:left w:val="nil"/>
              <w:bottom w:val="nil"/>
              <w:right w:val="single" w:color="auto" w:sz="4" w:space="0"/>
            </w:tcBorders>
            <w:vAlign w:val="top"/>
          </w:tcPr>
          <w:p>
            <w:pPr>
              <w:widowControl/>
              <w:spacing w:before="31" w:after="31"/>
              <w:jc w:val="center"/>
              <w:rPr>
                <w:rFonts w:ascii="宋体" w:hAnsi="宋体" w:cs="宋体"/>
                <w:kern w:val="0"/>
                <w:sz w:val="18"/>
                <w:szCs w:val="18"/>
              </w:rPr>
            </w:pPr>
            <w:r>
              <w:rPr>
                <w:rFonts w:hint="eastAsia" w:ascii="宋体" w:hAnsi="宋体" w:cs="宋体"/>
                <w:kern w:val="0"/>
                <w:sz w:val="18"/>
                <w:szCs w:val="18"/>
              </w:rPr>
              <w:t>410</w:t>
            </w:r>
          </w:p>
        </w:tc>
        <w:tc>
          <w:tcPr>
            <w:tcW w:w="1488" w:type="dxa"/>
            <w:tcBorders>
              <w:top w:val="nil"/>
              <w:left w:val="nil"/>
              <w:bottom w:val="nil"/>
              <w:right w:val="single" w:color="auto" w:sz="4" w:space="0"/>
            </w:tcBorders>
            <w:vAlign w:val="top"/>
          </w:tcPr>
          <w:p>
            <w:pPr>
              <w:widowControl/>
              <w:spacing w:before="31" w:after="31"/>
              <w:ind w:right="360"/>
              <w:jc w:val="center"/>
              <w:rPr>
                <w:b/>
                <w:kern w:val="0"/>
                <w:sz w:val="18"/>
                <w:szCs w:val="18"/>
              </w:rPr>
            </w:pPr>
          </w:p>
        </w:tc>
        <w:tc>
          <w:tcPr>
            <w:tcW w:w="1489" w:type="dxa"/>
            <w:tcBorders>
              <w:top w:val="nil"/>
              <w:left w:val="single" w:color="auto" w:sz="4" w:space="0"/>
              <w:bottom w:val="nil"/>
            </w:tcBorders>
            <w:vAlign w:val="top"/>
          </w:tcPr>
          <w:p>
            <w:pPr>
              <w:widowControl/>
              <w:spacing w:before="31" w:after="31"/>
              <w:ind w:right="360"/>
              <w:jc w:val="center"/>
              <w:rPr>
                <w:b/>
                <w:kern w:val="0"/>
                <w:sz w:val="18"/>
                <w:szCs w:val="18"/>
              </w:rPr>
            </w:pPr>
          </w:p>
        </w:tc>
      </w:tr>
      <w:tr>
        <w:trPr>
          <w:trHeight w:val="259" w:hRule="atLeast"/>
        </w:trPr>
        <w:tc>
          <w:tcPr>
            <w:tcW w:w="3507" w:type="dxa"/>
            <w:tcBorders>
              <w:top w:val="nil"/>
              <w:left w:val="nil"/>
              <w:bottom w:val="nil"/>
              <w:right w:val="single" w:color="auto" w:sz="4" w:space="0"/>
            </w:tcBorders>
            <w:vAlign w:val="top"/>
          </w:tcPr>
          <w:p>
            <w:pPr>
              <w:widowControl/>
              <w:spacing w:before="31" w:after="31"/>
              <w:ind w:left="420" w:leftChars="200"/>
              <w:jc w:val="left"/>
              <w:rPr>
                <w:rFonts w:ascii="宋体" w:hAnsi="宋体" w:cs="宋体"/>
                <w:kern w:val="0"/>
                <w:sz w:val="18"/>
                <w:szCs w:val="18"/>
              </w:rPr>
            </w:pPr>
            <w:r>
              <w:rPr>
                <w:rFonts w:hint="eastAsia" w:ascii="宋体" w:hAnsi="宋体" w:cs="宋体"/>
                <w:kern w:val="0"/>
                <w:sz w:val="18"/>
                <w:szCs w:val="18"/>
              </w:rPr>
              <w:t>其中：对关联企业的出口预收款余额</w:t>
            </w:r>
          </w:p>
        </w:tc>
        <w:tc>
          <w:tcPr>
            <w:tcW w:w="1134" w:type="dxa"/>
            <w:tcBorders>
              <w:top w:val="nil"/>
              <w:left w:val="nil"/>
              <w:bottom w:val="nil"/>
              <w:right w:val="single" w:color="auto" w:sz="4" w:space="0"/>
            </w:tcBorders>
            <w:vAlign w:val="top"/>
          </w:tcPr>
          <w:p>
            <w:pPr>
              <w:widowControl/>
              <w:spacing w:before="31" w:after="31"/>
              <w:jc w:val="center"/>
              <w:rPr>
                <w:rFonts w:ascii="宋体" w:hAnsi="宋体" w:cs="宋体"/>
                <w:kern w:val="0"/>
                <w:sz w:val="18"/>
                <w:szCs w:val="18"/>
              </w:rPr>
            </w:pPr>
            <w:r>
              <w:rPr>
                <w:rFonts w:hint="eastAsia" w:ascii="宋体" w:hAnsi="宋体" w:eastAsia="宋体"/>
                <w:sz w:val="18"/>
                <w:szCs w:val="18"/>
              </w:rPr>
              <w:t>万货币单位</w:t>
            </w:r>
          </w:p>
        </w:tc>
        <w:tc>
          <w:tcPr>
            <w:tcW w:w="851" w:type="dxa"/>
            <w:tcBorders>
              <w:top w:val="nil"/>
              <w:left w:val="nil"/>
              <w:bottom w:val="nil"/>
              <w:right w:val="single" w:color="auto" w:sz="4" w:space="0"/>
            </w:tcBorders>
            <w:vAlign w:val="top"/>
          </w:tcPr>
          <w:p>
            <w:pPr>
              <w:widowControl/>
              <w:spacing w:before="31" w:after="31"/>
              <w:jc w:val="center"/>
              <w:rPr>
                <w:rFonts w:ascii="宋体" w:hAnsi="宋体" w:cs="宋体"/>
                <w:kern w:val="0"/>
                <w:sz w:val="18"/>
                <w:szCs w:val="18"/>
              </w:rPr>
            </w:pPr>
            <w:r>
              <w:rPr>
                <w:rFonts w:hint="eastAsia" w:ascii="宋体" w:hAnsi="宋体" w:cs="宋体"/>
                <w:kern w:val="0"/>
                <w:sz w:val="18"/>
                <w:szCs w:val="18"/>
              </w:rPr>
              <w:t>420</w:t>
            </w:r>
          </w:p>
        </w:tc>
        <w:tc>
          <w:tcPr>
            <w:tcW w:w="1488" w:type="dxa"/>
            <w:tcBorders>
              <w:top w:val="nil"/>
              <w:left w:val="nil"/>
              <w:bottom w:val="nil"/>
              <w:right w:val="single" w:color="auto" w:sz="4" w:space="0"/>
            </w:tcBorders>
            <w:vAlign w:val="top"/>
          </w:tcPr>
          <w:p>
            <w:pPr>
              <w:widowControl/>
              <w:spacing w:before="31" w:after="31"/>
              <w:ind w:right="360"/>
              <w:jc w:val="center"/>
              <w:rPr>
                <w:b/>
                <w:kern w:val="0"/>
                <w:sz w:val="18"/>
                <w:szCs w:val="18"/>
              </w:rPr>
            </w:pPr>
          </w:p>
        </w:tc>
        <w:tc>
          <w:tcPr>
            <w:tcW w:w="1489" w:type="dxa"/>
            <w:tcBorders>
              <w:top w:val="nil"/>
              <w:left w:val="single" w:color="auto" w:sz="4" w:space="0"/>
              <w:bottom w:val="nil"/>
            </w:tcBorders>
            <w:vAlign w:val="top"/>
          </w:tcPr>
          <w:p>
            <w:pPr>
              <w:widowControl/>
              <w:spacing w:before="31" w:after="31"/>
              <w:ind w:right="360"/>
              <w:jc w:val="center"/>
              <w:rPr>
                <w:b/>
                <w:kern w:val="0"/>
                <w:sz w:val="18"/>
                <w:szCs w:val="18"/>
              </w:rPr>
            </w:pPr>
          </w:p>
        </w:tc>
      </w:tr>
      <w:tr>
        <w:trPr>
          <w:trHeight w:val="259" w:hRule="atLeast"/>
        </w:trPr>
        <w:tc>
          <w:tcPr>
            <w:tcW w:w="3507" w:type="dxa"/>
            <w:tcBorders>
              <w:top w:val="nil"/>
              <w:left w:val="nil"/>
              <w:bottom w:val="nil"/>
              <w:right w:val="single" w:color="auto" w:sz="4" w:space="0"/>
            </w:tcBorders>
            <w:vAlign w:val="top"/>
          </w:tcPr>
          <w:p>
            <w:pPr>
              <w:widowControl/>
              <w:spacing w:before="31" w:after="31"/>
              <w:jc w:val="left"/>
              <w:rPr>
                <w:rFonts w:ascii="宋体" w:hAnsi="宋体" w:cs="宋体"/>
                <w:kern w:val="0"/>
                <w:sz w:val="18"/>
                <w:szCs w:val="18"/>
              </w:rPr>
            </w:pPr>
            <w:r>
              <w:rPr>
                <w:rFonts w:hint="eastAsia" w:ascii="宋体" w:hAnsi="宋体" w:cs="宋体"/>
                <w:kern w:val="0"/>
                <w:sz w:val="18"/>
                <w:szCs w:val="18"/>
              </w:rPr>
              <w:t>五、其他因素导致的当期偏差</w:t>
            </w:r>
          </w:p>
        </w:tc>
        <w:tc>
          <w:tcPr>
            <w:tcW w:w="1134" w:type="dxa"/>
            <w:tcBorders>
              <w:top w:val="nil"/>
              <w:left w:val="nil"/>
              <w:bottom w:val="nil"/>
              <w:right w:val="single" w:color="auto" w:sz="4" w:space="0"/>
            </w:tcBorders>
            <w:vAlign w:val="top"/>
          </w:tcPr>
          <w:p>
            <w:pPr>
              <w:widowControl/>
              <w:spacing w:before="31" w:after="31"/>
              <w:jc w:val="center"/>
              <w:rPr>
                <w:rFonts w:ascii="宋体" w:hAnsi="宋体" w:cs="宋体"/>
                <w:kern w:val="0"/>
                <w:sz w:val="18"/>
                <w:szCs w:val="18"/>
              </w:rPr>
            </w:pPr>
            <w:r>
              <w:rPr>
                <w:rFonts w:hint="eastAsia" w:ascii="宋体" w:hAnsi="宋体" w:eastAsia="宋体"/>
                <w:sz w:val="18"/>
                <w:szCs w:val="18"/>
              </w:rPr>
              <w:t>万货币单位</w:t>
            </w:r>
          </w:p>
        </w:tc>
        <w:tc>
          <w:tcPr>
            <w:tcW w:w="851" w:type="dxa"/>
            <w:tcBorders>
              <w:top w:val="nil"/>
              <w:left w:val="nil"/>
              <w:bottom w:val="nil"/>
              <w:right w:val="single" w:color="auto" w:sz="4" w:space="0"/>
            </w:tcBorders>
            <w:vAlign w:val="top"/>
          </w:tcPr>
          <w:p>
            <w:pPr>
              <w:widowControl/>
              <w:spacing w:before="31" w:after="31"/>
              <w:jc w:val="center"/>
              <w:rPr>
                <w:rFonts w:ascii="宋体" w:hAnsi="宋体" w:cs="宋体"/>
                <w:kern w:val="0"/>
                <w:sz w:val="18"/>
                <w:szCs w:val="18"/>
              </w:rPr>
            </w:pPr>
            <w:r>
              <w:rPr>
                <w:rFonts w:hint="eastAsia" w:ascii="宋体" w:hAnsi="宋体" w:cs="宋体"/>
                <w:kern w:val="0"/>
                <w:sz w:val="18"/>
                <w:szCs w:val="18"/>
              </w:rPr>
              <w:t>500</w:t>
            </w:r>
          </w:p>
        </w:tc>
        <w:tc>
          <w:tcPr>
            <w:tcW w:w="1488" w:type="dxa"/>
            <w:tcBorders>
              <w:top w:val="nil"/>
              <w:left w:val="nil"/>
              <w:bottom w:val="nil"/>
              <w:right w:val="single" w:color="auto" w:sz="4" w:space="0"/>
            </w:tcBorders>
            <w:vAlign w:val="top"/>
          </w:tcPr>
          <w:p>
            <w:pPr>
              <w:widowControl/>
              <w:spacing w:before="31" w:after="31"/>
              <w:ind w:right="360"/>
              <w:jc w:val="center"/>
              <w:rPr>
                <w:kern w:val="0"/>
                <w:sz w:val="18"/>
                <w:szCs w:val="18"/>
              </w:rPr>
            </w:pPr>
          </w:p>
        </w:tc>
        <w:tc>
          <w:tcPr>
            <w:tcW w:w="1489" w:type="dxa"/>
            <w:tcBorders>
              <w:top w:val="nil"/>
              <w:left w:val="single" w:color="auto" w:sz="4" w:space="0"/>
              <w:bottom w:val="nil"/>
            </w:tcBorders>
            <w:vAlign w:val="top"/>
          </w:tcPr>
          <w:p>
            <w:pPr>
              <w:widowControl/>
              <w:spacing w:before="31" w:after="31"/>
              <w:ind w:right="360"/>
              <w:jc w:val="center"/>
              <w:rPr>
                <w:kern w:val="0"/>
                <w:sz w:val="18"/>
                <w:szCs w:val="18"/>
              </w:rPr>
            </w:pPr>
          </w:p>
        </w:tc>
      </w:tr>
      <w:tr>
        <w:trPr>
          <w:trHeight w:val="259" w:hRule="atLeast"/>
        </w:trPr>
        <w:tc>
          <w:tcPr>
            <w:tcW w:w="3507" w:type="dxa"/>
            <w:tcBorders>
              <w:top w:val="nil"/>
              <w:left w:val="nil"/>
              <w:bottom w:val="single" w:color="auto" w:sz="4" w:space="0"/>
              <w:right w:val="single" w:color="auto" w:sz="4" w:space="0"/>
            </w:tcBorders>
            <w:vAlign w:val="top"/>
          </w:tcPr>
          <w:p>
            <w:pPr>
              <w:widowControl/>
              <w:spacing w:before="31" w:after="31"/>
              <w:jc w:val="left"/>
              <w:rPr>
                <w:rFonts w:ascii="宋体" w:hAnsi="宋体" w:cs="宋体"/>
                <w:kern w:val="0"/>
                <w:sz w:val="18"/>
                <w:szCs w:val="18"/>
              </w:rPr>
            </w:pPr>
            <w:r>
              <w:rPr>
                <w:rFonts w:hint="eastAsia" w:ascii="宋体" w:hAnsi="宋体" w:cs="宋体"/>
                <w:kern w:val="0"/>
                <w:sz w:val="18"/>
                <w:szCs w:val="18"/>
              </w:rPr>
              <w:t>六、出口应收款平均周期</w:t>
            </w:r>
          </w:p>
        </w:tc>
        <w:tc>
          <w:tcPr>
            <w:tcW w:w="1134" w:type="dxa"/>
            <w:tcBorders>
              <w:top w:val="nil"/>
              <w:left w:val="nil"/>
              <w:bottom w:val="single" w:color="auto" w:sz="4" w:space="0"/>
              <w:right w:val="single" w:color="auto" w:sz="4" w:space="0"/>
            </w:tcBorders>
            <w:vAlign w:val="top"/>
          </w:tcPr>
          <w:p>
            <w:pPr>
              <w:widowControl/>
              <w:spacing w:before="31" w:after="31"/>
              <w:jc w:val="center"/>
              <w:rPr>
                <w:rFonts w:ascii="宋体" w:hAnsi="宋体" w:cs="宋体"/>
                <w:kern w:val="0"/>
                <w:sz w:val="18"/>
                <w:szCs w:val="18"/>
              </w:rPr>
            </w:pPr>
            <w:r>
              <w:rPr>
                <w:rFonts w:hint="eastAsia" w:ascii="宋体" w:hAnsi="宋体" w:cs="宋体"/>
                <w:kern w:val="0"/>
                <w:sz w:val="18"/>
                <w:szCs w:val="18"/>
              </w:rPr>
              <w:t>天</w:t>
            </w:r>
          </w:p>
        </w:tc>
        <w:tc>
          <w:tcPr>
            <w:tcW w:w="851" w:type="dxa"/>
            <w:tcBorders>
              <w:top w:val="nil"/>
              <w:left w:val="nil"/>
              <w:bottom w:val="single" w:color="auto" w:sz="4" w:space="0"/>
              <w:right w:val="single" w:color="auto" w:sz="4" w:space="0"/>
            </w:tcBorders>
            <w:vAlign w:val="top"/>
          </w:tcPr>
          <w:p>
            <w:pPr>
              <w:widowControl/>
              <w:spacing w:before="31" w:after="31"/>
              <w:jc w:val="center"/>
              <w:rPr>
                <w:rFonts w:ascii="宋体" w:hAnsi="宋体" w:cs="宋体"/>
                <w:kern w:val="0"/>
                <w:sz w:val="18"/>
                <w:szCs w:val="18"/>
              </w:rPr>
            </w:pPr>
            <w:r>
              <w:rPr>
                <w:rFonts w:hint="eastAsia" w:ascii="宋体" w:hAnsi="宋体" w:cs="宋体"/>
                <w:kern w:val="0"/>
                <w:sz w:val="18"/>
                <w:szCs w:val="18"/>
              </w:rPr>
              <w:t>600</w:t>
            </w:r>
          </w:p>
        </w:tc>
        <w:tc>
          <w:tcPr>
            <w:tcW w:w="1488" w:type="dxa"/>
            <w:tcBorders>
              <w:top w:val="nil"/>
              <w:left w:val="nil"/>
              <w:bottom w:val="single" w:color="auto" w:sz="4" w:space="0"/>
              <w:right w:val="single" w:color="auto" w:sz="4" w:space="0"/>
            </w:tcBorders>
            <w:vAlign w:val="top"/>
          </w:tcPr>
          <w:p>
            <w:pPr>
              <w:widowControl/>
              <w:spacing w:before="31" w:after="31"/>
              <w:ind w:right="360"/>
              <w:jc w:val="center"/>
              <w:rPr>
                <w:kern w:val="0"/>
                <w:sz w:val="18"/>
                <w:szCs w:val="18"/>
              </w:rPr>
            </w:pPr>
          </w:p>
        </w:tc>
        <w:tc>
          <w:tcPr>
            <w:tcW w:w="1489" w:type="dxa"/>
            <w:tcBorders>
              <w:top w:val="nil"/>
              <w:left w:val="single" w:color="auto" w:sz="4" w:space="0"/>
              <w:bottom w:val="single" w:color="auto" w:sz="4" w:space="0"/>
            </w:tcBorders>
            <w:vAlign w:val="top"/>
          </w:tcPr>
          <w:p>
            <w:pPr>
              <w:widowControl/>
              <w:spacing w:before="31" w:after="31"/>
              <w:ind w:right="360"/>
              <w:jc w:val="center"/>
              <w:rPr>
                <w:kern w:val="0"/>
                <w:sz w:val="18"/>
                <w:szCs w:val="18"/>
              </w:rPr>
            </w:pPr>
          </w:p>
        </w:tc>
      </w:tr>
    </w:tbl>
    <w:p>
      <w:pPr>
        <w:pStyle w:val="18"/>
        <w:spacing w:before="31" w:after="31"/>
        <w:rPr>
          <w:rFonts w:hAnsi="宋体" w:cs="宋体"/>
          <w:color w:val="auto"/>
          <w:kern w:val="0"/>
          <w:sz w:val="18"/>
          <w:szCs w:val="18"/>
        </w:rPr>
      </w:pPr>
      <w:r>
        <w:rPr>
          <w:rFonts w:hint="eastAsia" w:hAnsi="宋体" w:cs="宋体"/>
          <w:color w:val="auto"/>
          <w:kern w:val="0"/>
          <w:sz w:val="18"/>
          <w:szCs w:val="18"/>
        </w:rPr>
        <w:t>企业填表人及联系电话</w:t>
      </w:r>
      <w:r>
        <w:rPr>
          <w:rFonts w:hint="eastAsia" w:hAnsi="宋体" w:cs="宋体"/>
          <w:color w:val="auto"/>
          <w:kern w:val="0"/>
        </w:rPr>
        <w:t xml:space="preserve">：             </w:t>
      </w:r>
      <w:r>
        <w:rPr>
          <w:rFonts w:hint="eastAsia" w:hAnsi="宋体" w:cs="宋体"/>
          <w:color w:val="auto"/>
          <w:kern w:val="0"/>
          <w:sz w:val="18"/>
          <w:szCs w:val="18"/>
        </w:rPr>
        <w:t>审核人及联系电话：             填报日期：20 年 月  日</w:t>
      </w:r>
    </w:p>
    <w:p>
      <w:pPr>
        <w:pStyle w:val="18"/>
        <w:spacing w:before="31" w:after="31"/>
        <w:rPr>
          <w:rFonts w:ascii="宋体" w:hAnsi="宋体" w:eastAsia="宋体"/>
          <w:color w:val="auto"/>
          <w:sz w:val="18"/>
          <w:szCs w:val="18"/>
        </w:rPr>
      </w:pPr>
    </w:p>
    <w:p>
      <w:pPr>
        <w:pStyle w:val="18"/>
        <w:spacing w:before="31" w:after="31"/>
        <w:rPr>
          <w:rFonts w:ascii="宋体" w:hAnsi="宋体" w:eastAsia="宋体"/>
          <w:color w:val="auto"/>
          <w:sz w:val="18"/>
          <w:szCs w:val="18"/>
        </w:rPr>
      </w:pPr>
      <w:r>
        <w:rPr>
          <w:rFonts w:hint="eastAsia" w:ascii="宋体" w:hAnsi="宋体" w:eastAsia="宋体"/>
          <w:color w:val="auto"/>
          <w:sz w:val="18"/>
          <w:szCs w:val="18"/>
        </w:rPr>
        <w:t>注：</w:t>
      </w:r>
    </w:p>
    <w:p>
      <w:pPr>
        <w:pStyle w:val="18"/>
        <w:spacing w:before="31" w:after="31"/>
        <w:ind w:firstLine="360" w:firstLineChars="200"/>
        <w:rPr>
          <w:rFonts w:ascii="宋体" w:hAnsi="宋体" w:eastAsia="宋体"/>
          <w:color w:val="auto"/>
          <w:sz w:val="18"/>
          <w:szCs w:val="18"/>
        </w:rPr>
      </w:pPr>
      <w:r>
        <w:rPr>
          <w:rFonts w:hint="eastAsia" w:ascii="宋体" w:hAnsi="宋体" w:eastAsia="宋体"/>
          <w:color w:val="auto"/>
          <w:sz w:val="18"/>
          <w:szCs w:val="18"/>
        </w:rPr>
        <w:t>1.当期出口总额、当期收到的出口货款金额，及其子项为当期发生额；期末账面出口应收款余额、期末账面出口预收款余额，及其子项为期末余额。</w:t>
      </w:r>
    </w:p>
    <w:p>
      <w:pPr>
        <w:pStyle w:val="18"/>
        <w:spacing w:before="31" w:after="31"/>
        <w:ind w:firstLine="360" w:firstLineChars="200"/>
        <w:rPr>
          <w:rFonts w:ascii="宋体" w:hAnsi="宋体" w:eastAsia="宋体"/>
          <w:color w:val="auto"/>
          <w:sz w:val="18"/>
          <w:szCs w:val="18"/>
        </w:rPr>
      </w:pPr>
      <w:r>
        <w:rPr>
          <w:rFonts w:hint="eastAsia" w:ascii="宋体" w:hAnsi="宋体" w:eastAsia="宋体"/>
          <w:color w:val="auto"/>
          <w:sz w:val="18"/>
          <w:szCs w:val="18"/>
        </w:rPr>
        <w:t>2.本报表可根据企业自身会计账务情况选择美元或人民币作为填报币种。</w:t>
      </w:r>
    </w:p>
    <w:p>
      <w:pPr>
        <w:pStyle w:val="18"/>
        <w:spacing w:before="31" w:after="31"/>
        <w:ind w:firstLine="360" w:firstLineChars="200"/>
        <w:rPr>
          <w:rFonts w:ascii="宋体" w:hAnsi="宋体" w:eastAsia="宋体"/>
          <w:color w:val="auto"/>
          <w:sz w:val="18"/>
          <w:szCs w:val="18"/>
        </w:rPr>
      </w:pPr>
      <w:r>
        <w:rPr>
          <w:rFonts w:hint="eastAsia" w:ascii="宋体" w:hAnsi="宋体" w:eastAsia="宋体"/>
          <w:color w:val="auto"/>
          <w:sz w:val="18"/>
          <w:szCs w:val="18"/>
        </w:rPr>
        <w:t>3.请保留两位小数。</w:t>
      </w:r>
    </w:p>
    <w:p>
      <w:pPr>
        <w:spacing w:before="31" w:after="31"/>
        <w:rPr>
          <w:rFonts w:ascii="宋体" w:hAnsi="宋体" w:eastAsia="宋体"/>
          <w:b/>
          <w:sz w:val="18"/>
          <w:szCs w:val="18"/>
          <w:u w:val="single"/>
        </w:rPr>
      </w:pPr>
    </w:p>
    <w:p>
      <w:pPr>
        <w:spacing w:before="31" w:after="31"/>
        <w:jc w:val="center"/>
        <w:rPr>
          <w:rFonts w:ascii="宋体" w:hAnsi="宋体" w:eastAsia="宋体"/>
          <w:b/>
          <w:sz w:val="18"/>
          <w:szCs w:val="18"/>
          <w:u w:val="single"/>
        </w:rPr>
      </w:pPr>
    </w:p>
    <w:p>
      <w:pPr>
        <w:spacing w:before="31" w:after="31" w:line="240" w:lineRule="auto"/>
        <w:jc w:val="center"/>
        <w:rPr>
          <w:rFonts w:ascii="宋体" w:hAnsi="宋体" w:eastAsia="宋体"/>
          <w:sz w:val="32"/>
          <w:szCs w:val="32"/>
        </w:rPr>
      </w:pPr>
      <w:r>
        <w:rPr>
          <w:rFonts w:ascii="宋体" w:hAnsi="宋体" w:eastAsia="宋体"/>
          <w:b/>
          <w:sz w:val="18"/>
          <w:szCs w:val="18"/>
        </w:rPr>
        <w:br w:type="page"/>
      </w:r>
      <w:r>
        <w:rPr>
          <w:rFonts w:hint="eastAsia" w:ascii="宋体" w:hAnsi="宋体" w:eastAsia="宋体"/>
          <w:sz w:val="32"/>
          <w:szCs w:val="32"/>
        </w:rPr>
        <w:t>（三）进口样本企业贸易信贷申报表</w:t>
      </w:r>
    </w:p>
    <w:p>
      <w:pPr>
        <w:spacing w:before="31" w:after="31"/>
        <w:jc w:val="center"/>
        <w:rPr>
          <w:rFonts w:ascii="宋体" w:hAnsi="宋体" w:eastAsia="宋体"/>
          <w:sz w:val="32"/>
          <w:szCs w:val="32"/>
        </w:rPr>
      </w:pPr>
    </w:p>
    <w:p>
      <w:pPr>
        <w:spacing w:before="31" w:after="31"/>
        <w:ind w:right="360"/>
        <w:jc w:val="left"/>
        <w:rPr>
          <w:sz w:val="18"/>
        </w:rPr>
      </w:pPr>
      <w:r>
        <w:rPr>
          <w:rFonts w:hint="eastAsia"/>
          <w:sz w:val="18"/>
        </w:rPr>
        <w:t xml:space="preserve">                                                                  表    号：</w:t>
      </w:r>
      <w:r>
        <w:rPr>
          <w:rFonts w:hint="eastAsia" w:ascii="宋体" w:hAnsi="宋体" w:cs="宋体"/>
          <w:kern w:val="0"/>
          <w:sz w:val="18"/>
          <w:szCs w:val="18"/>
        </w:rPr>
        <w:t>T03表</w:t>
      </w:r>
    </w:p>
    <w:p>
      <w:pPr>
        <w:tabs>
          <w:tab w:val="left" w:pos="7088"/>
        </w:tabs>
        <w:spacing w:before="31" w:after="31"/>
        <w:jc w:val="left"/>
        <w:rPr>
          <w:sz w:val="18"/>
        </w:rPr>
      </w:pPr>
      <w:r>
        <w:rPr>
          <w:rFonts w:hint="eastAsia"/>
          <w:sz w:val="18"/>
        </w:rPr>
        <w:t xml:space="preserve">                                                                  制定机关：国家外汇管理局</w:t>
      </w:r>
    </w:p>
    <w:p>
      <w:pPr>
        <w:spacing w:before="31" w:after="31"/>
        <w:ind w:right="-36" w:rightChars="-17"/>
        <w:jc w:val="left"/>
        <w:rPr>
          <w:sz w:val="18"/>
        </w:rPr>
      </w:pPr>
      <w:r>
        <w:rPr>
          <w:rFonts w:hint="eastAsia"/>
          <w:sz w:val="18"/>
        </w:rPr>
        <w:t xml:space="preserve">                                                                  批准机关：国家统计局</w:t>
      </w:r>
    </w:p>
    <w:p>
      <w:pPr>
        <w:wordWrap w:val="0"/>
        <w:spacing w:before="31" w:after="31"/>
        <w:jc w:val="left"/>
        <w:rPr>
          <w:rFonts w:ascii="宋体" w:hAnsi="宋体" w:cs="宋体"/>
          <w:kern w:val="0"/>
          <w:sz w:val="18"/>
          <w:szCs w:val="18"/>
        </w:rPr>
      </w:pPr>
      <w:r>
        <w:rPr>
          <w:rFonts w:hint="eastAsia"/>
          <w:sz w:val="18"/>
        </w:rPr>
        <w:t xml:space="preserve">                                                                  批准文号：国统制[2013]80号</w:t>
      </w:r>
    </w:p>
    <w:p>
      <w:pPr>
        <w:spacing w:before="31" w:after="31"/>
        <w:jc w:val="left"/>
        <w:rPr>
          <w:sz w:val="18"/>
        </w:rPr>
      </w:pPr>
      <w:r>
        <w:rPr>
          <w:rFonts w:hint="eastAsia"/>
          <w:sz w:val="18"/>
        </w:rPr>
        <w:t xml:space="preserve">                                                                  有效期至：2017年  月</w:t>
      </w:r>
    </w:p>
    <w:p>
      <w:pPr>
        <w:spacing w:before="31" w:after="31"/>
        <w:jc w:val="left"/>
        <w:rPr>
          <w:rFonts w:ascii="宋体" w:hAnsi="宋体" w:cs="宋体"/>
          <w:kern w:val="0"/>
          <w:sz w:val="18"/>
          <w:szCs w:val="18"/>
        </w:rPr>
      </w:pPr>
    </w:p>
    <w:p>
      <w:pPr>
        <w:spacing w:before="31" w:after="31"/>
        <w:rPr>
          <w:sz w:val="18"/>
        </w:rPr>
      </w:pPr>
      <w:r>
        <w:rPr>
          <w:rFonts w:hint="eastAsia"/>
          <w:sz w:val="18"/>
        </w:rPr>
        <w:t xml:space="preserve">                                     20  年         月                  单位：</w:t>
      </w:r>
      <w:r>
        <w:rPr>
          <w:rFonts w:hint="eastAsia" w:ascii="宋体" w:hAnsi="宋体" w:eastAsia="宋体"/>
          <w:sz w:val="18"/>
          <w:szCs w:val="18"/>
        </w:rPr>
        <w:t>万货币单位，天</w:t>
      </w:r>
    </w:p>
    <w:tbl>
      <w:tblPr>
        <w:tblW w:w="8469" w:type="dxa"/>
        <w:tblInd w:w="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3507"/>
        <w:gridCol w:w="1276"/>
        <w:gridCol w:w="851"/>
        <w:gridCol w:w="1417"/>
        <w:gridCol w:w="1418"/>
      </w:tblGrid>
      <w:tr>
        <w:trPr>
          <w:trHeight w:val="259" w:hRule="atLeast"/>
        </w:trPr>
        <w:tc>
          <w:tcPr>
            <w:tcW w:w="3507" w:type="dxa"/>
            <w:tcBorders>
              <w:top w:val="single" w:color="auto" w:sz="4" w:space="0"/>
              <w:bottom w:val="single" w:color="auto" w:sz="4" w:space="0"/>
              <w:right w:val="single" w:color="auto" w:sz="4" w:space="0"/>
            </w:tcBorders>
            <w:vAlign w:val="top"/>
          </w:tcPr>
          <w:p>
            <w:pPr>
              <w:widowControl/>
              <w:spacing w:before="31" w:after="31"/>
              <w:jc w:val="center"/>
              <w:rPr>
                <w:rFonts w:ascii="宋体" w:hAnsi="宋体" w:cs="宋体"/>
                <w:kern w:val="0"/>
                <w:sz w:val="18"/>
                <w:szCs w:val="18"/>
              </w:rPr>
            </w:pPr>
            <w:r>
              <w:rPr>
                <w:rFonts w:hint="eastAsia" w:ascii="宋体" w:hAnsi="宋体" w:cs="宋体"/>
                <w:kern w:val="0"/>
                <w:sz w:val="18"/>
                <w:szCs w:val="18"/>
              </w:rPr>
              <w:t>指标名称</w:t>
            </w:r>
          </w:p>
        </w:tc>
        <w:tc>
          <w:tcPr>
            <w:tcW w:w="1276" w:type="dxa"/>
            <w:tcBorders>
              <w:top w:val="single" w:color="auto" w:sz="4" w:space="0"/>
              <w:left w:val="single" w:color="auto" w:sz="4" w:space="0"/>
              <w:bottom w:val="single" w:color="auto" w:sz="4" w:space="0"/>
              <w:right w:val="single" w:color="auto" w:sz="4" w:space="0"/>
            </w:tcBorders>
            <w:vAlign w:val="top"/>
          </w:tcPr>
          <w:p>
            <w:pPr>
              <w:widowControl/>
              <w:spacing w:before="31" w:after="31"/>
              <w:jc w:val="center"/>
              <w:rPr>
                <w:rFonts w:ascii="宋体" w:hAnsi="宋体" w:cs="宋体"/>
                <w:kern w:val="0"/>
                <w:sz w:val="18"/>
                <w:szCs w:val="18"/>
              </w:rPr>
            </w:pPr>
            <w:r>
              <w:rPr>
                <w:rFonts w:hint="eastAsia" w:ascii="宋体" w:hAnsi="宋体" w:cs="宋体"/>
                <w:kern w:val="0"/>
                <w:sz w:val="18"/>
                <w:szCs w:val="18"/>
              </w:rPr>
              <w:t>计量单位</w:t>
            </w:r>
          </w:p>
        </w:tc>
        <w:tc>
          <w:tcPr>
            <w:tcW w:w="851" w:type="dxa"/>
            <w:tcBorders>
              <w:top w:val="single" w:color="auto" w:sz="4" w:space="0"/>
              <w:left w:val="single" w:color="auto" w:sz="4" w:space="0"/>
              <w:bottom w:val="single" w:color="auto" w:sz="4" w:space="0"/>
              <w:right w:val="single" w:color="auto" w:sz="4" w:space="0"/>
            </w:tcBorders>
            <w:vAlign w:val="top"/>
          </w:tcPr>
          <w:p>
            <w:pPr>
              <w:widowControl/>
              <w:spacing w:before="31" w:after="31"/>
              <w:jc w:val="center"/>
              <w:rPr>
                <w:rFonts w:ascii="宋体" w:hAnsi="宋体" w:cs="宋体"/>
                <w:kern w:val="0"/>
                <w:sz w:val="18"/>
                <w:szCs w:val="18"/>
              </w:rPr>
            </w:pPr>
            <w:r>
              <w:rPr>
                <w:rFonts w:hint="eastAsia" w:ascii="宋体" w:hAnsi="宋体" w:cs="宋体"/>
                <w:kern w:val="0"/>
                <w:sz w:val="18"/>
                <w:szCs w:val="18"/>
              </w:rPr>
              <w:t>代码</w:t>
            </w:r>
          </w:p>
        </w:tc>
        <w:tc>
          <w:tcPr>
            <w:tcW w:w="1417" w:type="dxa"/>
            <w:tcBorders>
              <w:top w:val="single" w:color="auto" w:sz="4" w:space="0"/>
              <w:left w:val="single" w:color="auto" w:sz="4" w:space="0"/>
              <w:bottom w:val="single" w:color="auto" w:sz="4" w:space="0"/>
              <w:right w:val="single" w:color="auto" w:sz="4" w:space="0"/>
            </w:tcBorders>
            <w:vAlign w:val="top"/>
          </w:tcPr>
          <w:p>
            <w:pPr>
              <w:widowControl/>
              <w:spacing w:before="31" w:after="31"/>
              <w:jc w:val="center"/>
              <w:rPr>
                <w:rFonts w:ascii="宋体" w:hAnsi="宋体" w:cs="宋体"/>
                <w:kern w:val="0"/>
                <w:sz w:val="18"/>
                <w:szCs w:val="18"/>
              </w:rPr>
            </w:pPr>
            <w:r>
              <w:rPr>
                <w:rFonts w:hint="eastAsia" w:ascii="宋体" w:hAnsi="宋体" w:cs="宋体"/>
                <w:kern w:val="0"/>
                <w:sz w:val="18"/>
                <w:szCs w:val="18"/>
              </w:rPr>
              <w:t>上期金额</w:t>
            </w:r>
          </w:p>
        </w:tc>
        <w:tc>
          <w:tcPr>
            <w:tcW w:w="1418" w:type="dxa"/>
            <w:tcBorders>
              <w:top w:val="single" w:color="auto" w:sz="4" w:space="0"/>
              <w:left w:val="single" w:color="auto" w:sz="4" w:space="0"/>
              <w:bottom w:val="single" w:color="auto" w:sz="4" w:space="0"/>
            </w:tcBorders>
            <w:vAlign w:val="top"/>
          </w:tcPr>
          <w:p>
            <w:pPr>
              <w:spacing w:before="31" w:after="31"/>
              <w:jc w:val="center"/>
              <w:rPr>
                <w:kern w:val="0"/>
                <w:sz w:val="18"/>
                <w:szCs w:val="18"/>
              </w:rPr>
            </w:pPr>
            <w:r>
              <w:rPr>
                <w:rFonts w:hint="eastAsia"/>
                <w:kern w:val="0"/>
                <w:sz w:val="18"/>
                <w:szCs w:val="18"/>
              </w:rPr>
              <w:t>本期金额</w:t>
            </w:r>
          </w:p>
        </w:tc>
      </w:tr>
      <w:tr>
        <w:trPr>
          <w:trHeight w:val="259" w:hRule="atLeast"/>
        </w:trPr>
        <w:tc>
          <w:tcPr>
            <w:tcW w:w="3507" w:type="dxa"/>
            <w:tcBorders>
              <w:top w:val="single" w:color="auto" w:sz="4" w:space="0"/>
              <w:bottom w:val="single" w:color="auto" w:sz="4" w:space="0"/>
              <w:right w:val="single" w:color="auto" w:sz="4" w:space="0"/>
            </w:tcBorders>
            <w:vAlign w:val="top"/>
          </w:tcPr>
          <w:p>
            <w:pPr>
              <w:widowControl/>
              <w:spacing w:before="31" w:after="31"/>
              <w:jc w:val="center"/>
              <w:rPr>
                <w:rFonts w:ascii="宋体" w:hAnsi="宋体" w:cs="宋体"/>
                <w:kern w:val="0"/>
                <w:sz w:val="18"/>
                <w:szCs w:val="18"/>
              </w:rPr>
            </w:pPr>
            <w:r>
              <w:rPr>
                <w:rFonts w:hint="eastAsia" w:ascii="宋体" w:hAnsi="宋体" w:cs="宋体"/>
                <w:kern w:val="0"/>
                <w:sz w:val="18"/>
                <w:szCs w:val="18"/>
              </w:rPr>
              <w:t>甲</w:t>
            </w:r>
          </w:p>
        </w:tc>
        <w:tc>
          <w:tcPr>
            <w:tcW w:w="1276" w:type="dxa"/>
            <w:tcBorders>
              <w:top w:val="single" w:color="auto" w:sz="4" w:space="0"/>
              <w:left w:val="single" w:color="auto" w:sz="4" w:space="0"/>
              <w:bottom w:val="single" w:color="auto" w:sz="4" w:space="0"/>
              <w:right w:val="single" w:color="auto" w:sz="4" w:space="0"/>
            </w:tcBorders>
            <w:vAlign w:val="top"/>
          </w:tcPr>
          <w:p>
            <w:pPr>
              <w:widowControl/>
              <w:spacing w:before="31" w:after="31"/>
              <w:jc w:val="center"/>
              <w:rPr>
                <w:rFonts w:ascii="宋体" w:hAnsi="宋体" w:cs="宋体"/>
                <w:kern w:val="0"/>
                <w:sz w:val="18"/>
                <w:szCs w:val="18"/>
              </w:rPr>
            </w:pPr>
            <w:r>
              <w:rPr>
                <w:rFonts w:hint="eastAsia" w:ascii="宋体" w:hAnsi="宋体" w:cs="宋体"/>
                <w:kern w:val="0"/>
                <w:sz w:val="18"/>
                <w:szCs w:val="18"/>
              </w:rPr>
              <w:t>乙</w:t>
            </w:r>
          </w:p>
        </w:tc>
        <w:tc>
          <w:tcPr>
            <w:tcW w:w="851" w:type="dxa"/>
            <w:tcBorders>
              <w:top w:val="single" w:color="auto" w:sz="4" w:space="0"/>
              <w:left w:val="single" w:color="auto" w:sz="4" w:space="0"/>
              <w:bottom w:val="single" w:color="auto" w:sz="4" w:space="0"/>
              <w:right w:val="single" w:color="auto" w:sz="4" w:space="0"/>
            </w:tcBorders>
            <w:vAlign w:val="top"/>
          </w:tcPr>
          <w:p>
            <w:pPr>
              <w:widowControl/>
              <w:spacing w:before="31" w:after="31"/>
              <w:jc w:val="center"/>
              <w:rPr>
                <w:rFonts w:ascii="宋体" w:hAnsi="宋体" w:cs="宋体"/>
                <w:kern w:val="0"/>
                <w:sz w:val="18"/>
                <w:szCs w:val="18"/>
              </w:rPr>
            </w:pPr>
            <w:r>
              <w:rPr>
                <w:rFonts w:hint="eastAsia" w:ascii="宋体" w:hAnsi="宋体" w:cs="宋体"/>
                <w:kern w:val="0"/>
                <w:sz w:val="18"/>
                <w:szCs w:val="18"/>
              </w:rPr>
              <w:t>丙</w:t>
            </w:r>
          </w:p>
        </w:tc>
        <w:tc>
          <w:tcPr>
            <w:tcW w:w="1417" w:type="dxa"/>
            <w:tcBorders>
              <w:top w:val="single" w:color="auto" w:sz="4" w:space="0"/>
              <w:left w:val="single" w:color="auto" w:sz="4" w:space="0"/>
              <w:bottom w:val="single" w:color="auto" w:sz="4" w:space="0"/>
              <w:right w:val="single" w:color="auto" w:sz="4" w:space="0"/>
            </w:tcBorders>
            <w:vAlign w:val="top"/>
          </w:tcPr>
          <w:p>
            <w:pPr>
              <w:widowControl/>
              <w:spacing w:before="31" w:after="31"/>
              <w:jc w:val="center"/>
              <w:rPr>
                <w:rFonts w:ascii="宋体" w:hAnsi="宋体" w:cs="宋体"/>
                <w:kern w:val="0"/>
                <w:sz w:val="18"/>
                <w:szCs w:val="18"/>
              </w:rPr>
            </w:pPr>
            <w:r>
              <w:rPr>
                <w:rFonts w:hint="eastAsia" w:ascii="宋体" w:hAnsi="宋体" w:cs="宋体"/>
                <w:kern w:val="0"/>
                <w:sz w:val="18"/>
                <w:szCs w:val="18"/>
              </w:rPr>
              <w:t>1</w:t>
            </w:r>
          </w:p>
        </w:tc>
        <w:tc>
          <w:tcPr>
            <w:tcW w:w="1418" w:type="dxa"/>
            <w:tcBorders>
              <w:top w:val="single" w:color="auto" w:sz="4" w:space="0"/>
              <w:left w:val="single" w:color="auto" w:sz="4" w:space="0"/>
              <w:bottom w:val="single" w:color="auto" w:sz="4" w:space="0"/>
            </w:tcBorders>
            <w:vAlign w:val="top"/>
          </w:tcPr>
          <w:p>
            <w:pPr>
              <w:spacing w:before="31" w:after="31"/>
              <w:jc w:val="center"/>
              <w:rPr>
                <w:kern w:val="0"/>
                <w:sz w:val="18"/>
                <w:szCs w:val="18"/>
              </w:rPr>
            </w:pPr>
            <w:r>
              <w:rPr>
                <w:rFonts w:hint="eastAsia"/>
                <w:kern w:val="0"/>
                <w:sz w:val="18"/>
                <w:szCs w:val="18"/>
              </w:rPr>
              <w:t>2</w:t>
            </w:r>
          </w:p>
        </w:tc>
      </w:tr>
      <w:tr>
        <w:trPr>
          <w:trHeight w:val="259" w:hRule="atLeast"/>
        </w:trPr>
        <w:tc>
          <w:tcPr>
            <w:tcW w:w="3507" w:type="dxa"/>
            <w:tcBorders>
              <w:top w:val="single" w:color="auto" w:sz="4" w:space="0"/>
              <w:right w:val="single" w:color="auto" w:sz="4" w:space="0"/>
            </w:tcBorders>
            <w:vAlign w:val="top"/>
          </w:tcPr>
          <w:p>
            <w:pPr>
              <w:spacing w:before="31" w:after="31"/>
              <w:rPr>
                <w:rFonts w:ascii="宋体" w:hAnsi="宋体" w:cs="宋体"/>
                <w:kern w:val="0"/>
                <w:sz w:val="18"/>
                <w:szCs w:val="18"/>
              </w:rPr>
            </w:pPr>
            <w:r>
              <w:rPr>
                <w:rFonts w:hint="eastAsia" w:ascii="宋体" w:hAnsi="宋体" w:cs="宋体"/>
                <w:kern w:val="0"/>
                <w:sz w:val="18"/>
                <w:szCs w:val="18"/>
              </w:rPr>
              <w:t>一、</w:t>
            </w:r>
            <w:r>
              <w:rPr>
                <w:rFonts w:ascii="宋体" w:hAnsi="宋体" w:cs="宋体"/>
                <w:kern w:val="0"/>
                <w:sz w:val="18"/>
                <w:szCs w:val="18"/>
              </w:rPr>
              <w:t>当期进口总额</w:t>
            </w:r>
          </w:p>
        </w:tc>
        <w:tc>
          <w:tcPr>
            <w:tcW w:w="1276" w:type="dxa"/>
            <w:tcBorders>
              <w:top w:val="single" w:color="auto" w:sz="4" w:space="0"/>
              <w:left w:val="single" w:color="auto" w:sz="4" w:space="0"/>
              <w:right w:val="single" w:color="auto" w:sz="4" w:space="0"/>
            </w:tcBorders>
            <w:vAlign w:val="top"/>
          </w:tcPr>
          <w:p>
            <w:pPr>
              <w:spacing w:before="31" w:after="31"/>
              <w:jc w:val="center"/>
              <w:rPr>
                <w:rFonts w:ascii="宋体" w:hAnsi="宋体" w:cs="宋体"/>
                <w:kern w:val="0"/>
                <w:sz w:val="18"/>
                <w:szCs w:val="18"/>
              </w:rPr>
            </w:pPr>
            <w:r>
              <w:rPr>
                <w:rFonts w:hint="eastAsia" w:ascii="宋体" w:hAnsi="宋体" w:eastAsia="宋体"/>
                <w:sz w:val="18"/>
                <w:szCs w:val="18"/>
              </w:rPr>
              <w:t>万货币单位</w:t>
            </w:r>
          </w:p>
        </w:tc>
        <w:tc>
          <w:tcPr>
            <w:tcW w:w="851" w:type="dxa"/>
            <w:tcBorders>
              <w:top w:val="single" w:color="auto" w:sz="4" w:space="0"/>
              <w:left w:val="single" w:color="auto" w:sz="4" w:space="0"/>
              <w:right w:val="single" w:color="auto" w:sz="4" w:space="0"/>
            </w:tcBorders>
            <w:vAlign w:val="top"/>
          </w:tcPr>
          <w:p>
            <w:pPr>
              <w:spacing w:before="31" w:after="31"/>
              <w:jc w:val="center"/>
              <w:rPr>
                <w:rFonts w:ascii="宋体" w:hAnsi="宋体" w:cs="宋体"/>
                <w:kern w:val="0"/>
                <w:sz w:val="18"/>
                <w:szCs w:val="18"/>
              </w:rPr>
            </w:pPr>
            <w:r>
              <w:rPr>
                <w:rFonts w:hint="eastAsia" w:ascii="宋体" w:hAnsi="宋体" w:cs="宋体"/>
                <w:kern w:val="0"/>
                <w:sz w:val="18"/>
                <w:szCs w:val="18"/>
              </w:rPr>
              <w:t>100</w:t>
            </w:r>
          </w:p>
        </w:tc>
        <w:tc>
          <w:tcPr>
            <w:tcW w:w="1417" w:type="dxa"/>
            <w:tcBorders>
              <w:top w:val="single" w:color="auto" w:sz="4" w:space="0"/>
              <w:left w:val="single" w:color="auto" w:sz="4" w:space="0"/>
              <w:right w:val="single" w:color="auto" w:sz="4" w:space="0"/>
            </w:tcBorders>
            <w:vAlign w:val="top"/>
          </w:tcPr>
          <w:p>
            <w:pPr>
              <w:spacing w:before="31" w:after="31"/>
              <w:jc w:val="center"/>
              <w:rPr>
                <w:b/>
                <w:kern w:val="0"/>
                <w:sz w:val="18"/>
                <w:szCs w:val="18"/>
              </w:rPr>
            </w:pPr>
          </w:p>
        </w:tc>
        <w:tc>
          <w:tcPr>
            <w:tcW w:w="1418" w:type="dxa"/>
            <w:tcBorders>
              <w:top w:val="single" w:color="auto" w:sz="4" w:space="0"/>
              <w:left w:val="single" w:color="auto" w:sz="4" w:space="0"/>
            </w:tcBorders>
            <w:vAlign w:val="top"/>
          </w:tcPr>
          <w:p>
            <w:pPr>
              <w:spacing w:before="31" w:after="31"/>
              <w:jc w:val="center"/>
              <w:rPr>
                <w:b/>
                <w:kern w:val="0"/>
                <w:sz w:val="18"/>
                <w:szCs w:val="18"/>
              </w:rPr>
            </w:pPr>
          </w:p>
        </w:tc>
      </w:tr>
      <w:tr>
        <w:trPr>
          <w:trHeight w:val="259" w:hRule="atLeast"/>
        </w:trPr>
        <w:tc>
          <w:tcPr>
            <w:tcW w:w="3507" w:type="dxa"/>
            <w:tcBorders>
              <w:right w:val="single" w:color="auto" w:sz="4" w:space="0"/>
            </w:tcBorders>
            <w:vAlign w:val="top"/>
          </w:tcPr>
          <w:p>
            <w:pPr>
              <w:spacing w:before="31" w:after="31"/>
              <w:ind w:left="420" w:leftChars="200"/>
              <w:rPr>
                <w:rFonts w:ascii="宋体" w:hAnsi="宋体" w:cs="宋体"/>
                <w:kern w:val="0"/>
                <w:sz w:val="18"/>
                <w:szCs w:val="18"/>
              </w:rPr>
            </w:pPr>
            <w:r>
              <w:rPr>
                <w:rFonts w:hint="eastAsia" w:ascii="宋体" w:hAnsi="宋体" w:cs="宋体"/>
                <w:kern w:val="0"/>
                <w:sz w:val="18"/>
                <w:szCs w:val="18"/>
              </w:rPr>
              <w:t>其中：离岸转手买卖进口额</w:t>
            </w:r>
          </w:p>
        </w:tc>
        <w:tc>
          <w:tcPr>
            <w:tcW w:w="1276" w:type="dxa"/>
            <w:tcBorders>
              <w:left w:val="single" w:color="auto" w:sz="4" w:space="0"/>
              <w:right w:val="single" w:color="auto" w:sz="4" w:space="0"/>
            </w:tcBorders>
            <w:vAlign w:val="top"/>
          </w:tcPr>
          <w:p>
            <w:pPr>
              <w:spacing w:before="31" w:after="31"/>
              <w:jc w:val="center"/>
              <w:rPr>
                <w:rFonts w:ascii="宋体" w:hAnsi="宋体" w:cs="宋体"/>
                <w:kern w:val="0"/>
                <w:sz w:val="18"/>
                <w:szCs w:val="18"/>
              </w:rPr>
            </w:pPr>
            <w:r>
              <w:rPr>
                <w:rFonts w:hint="eastAsia" w:ascii="宋体" w:hAnsi="宋体" w:eastAsia="宋体"/>
                <w:sz w:val="18"/>
                <w:szCs w:val="18"/>
              </w:rPr>
              <w:t>万货币单位</w:t>
            </w:r>
          </w:p>
        </w:tc>
        <w:tc>
          <w:tcPr>
            <w:tcW w:w="851" w:type="dxa"/>
            <w:tcBorders>
              <w:left w:val="single" w:color="auto" w:sz="4" w:space="0"/>
              <w:right w:val="single" w:color="auto" w:sz="4" w:space="0"/>
            </w:tcBorders>
            <w:vAlign w:val="top"/>
          </w:tcPr>
          <w:p>
            <w:pPr>
              <w:spacing w:before="31" w:after="31"/>
              <w:jc w:val="center"/>
              <w:rPr>
                <w:rFonts w:ascii="宋体" w:hAnsi="宋体" w:cs="宋体"/>
                <w:kern w:val="0"/>
                <w:sz w:val="18"/>
                <w:szCs w:val="18"/>
              </w:rPr>
            </w:pPr>
            <w:r>
              <w:rPr>
                <w:rFonts w:hint="eastAsia" w:ascii="宋体" w:hAnsi="宋体" w:cs="宋体"/>
                <w:kern w:val="0"/>
                <w:sz w:val="18"/>
                <w:szCs w:val="18"/>
              </w:rPr>
              <w:t>110</w:t>
            </w:r>
          </w:p>
        </w:tc>
        <w:tc>
          <w:tcPr>
            <w:tcW w:w="1417" w:type="dxa"/>
            <w:tcBorders>
              <w:left w:val="single" w:color="auto" w:sz="4" w:space="0"/>
              <w:right w:val="single" w:color="auto" w:sz="4" w:space="0"/>
            </w:tcBorders>
            <w:vAlign w:val="top"/>
          </w:tcPr>
          <w:p>
            <w:pPr>
              <w:spacing w:before="31" w:after="31"/>
              <w:jc w:val="center"/>
              <w:rPr>
                <w:b/>
                <w:kern w:val="0"/>
                <w:sz w:val="18"/>
                <w:szCs w:val="18"/>
              </w:rPr>
            </w:pPr>
          </w:p>
        </w:tc>
        <w:tc>
          <w:tcPr>
            <w:tcW w:w="1418" w:type="dxa"/>
            <w:tcBorders>
              <w:left w:val="single" w:color="auto" w:sz="4" w:space="0"/>
            </w:tcBorders>
            <w:vAlign w:val="top"/>
          </w:tcPr>
          <w:p>
            <w:pPr>
              <w:spacing w:before="31" w:after="31"/>
              <w:jc w:val="center"/>
              <w:rPr>
                <w:b/>
                <w:kern w:val="0"/>
                <w:sz w:val="18"/>
                <w:szCs w:val="18"/>
              </w:rPr>
            </w:pPr>
          </w:p>
        </w:tc>
      </w:tr>
      <w:tr>
        <w:trPr>
          <w:trHeight w:val="259" w:hRule="atLeast"/>
        </w:trPr>
        <w:tc>
          <w:tcPr>
            <w:tcW w:w="3507" w:type="dxa"/>
            <w:tcBorders>
              <w:right w:val="single" w:color="auto" w:sz="4" w:space="0"/>
            </w:tcBorders>
            <w:vAlign w:val="top"/>
          </w:tcPr>
          <w:p>
            <w:pPr>
              <w:spacing w:before="31" w:after="31"/>
              <w:rPr>
                <w:rFonts w:ascii="宋体" w:hAnsi="宋体" w:cs="宋体"/>
                <w:kern w:val="0"/>
                <w:sz w:val="18"/>
                <w:szCs w:val="18"/>
              </w:rPr>
            </w:pPr>
            <w:r>
              <w:rPr>
                <w:rFonts w:hint="eastAsia" w:ascii="宋体" w:hAnsi="宋体" w:cs="宋体"/>
                <w:kern w:val="0"/>
                <w:sz w:val="18"/>
                <w:szCs w:val="18"/>
              </w:rPr>
              <w:t>二、当期支付的进口货款金额</w:t>
            </w:r>
          </w:p>
        </w:tc>
        <w:tc>
          <w:tcPr>
            <w:tcW w:w="1276" w:type="dxa"/>
            <w:tcBorders>
              <w:left w:val="single" w:color="auto" w:sz="4" w:space="0"/>
              <w:right w:val="single" w:color="auto" w:sz="4" w:space="0"/>
            </w:tcBorders>
            <w:vAlign w:val="top"/>
          </w:tcPr>
          <w:p>
            <w:pPr>
              <w:spacing w:before="31" w:after="31"/>
              <w:jc w:val="center"/>
              <w:rPr>
                <w:rFonts w:ascii="宋体" w:hAnsi="宋体" w:cs="宋体"/>
                <w:kern w:val="0"/>
                <w:sz w:val="18"/>
                <w:szCs w:val="18"/>
              </w:rPr>
            </w:pPr>
            <w:r>
              <w:rPr>
                <w:rFonts w:hint="eastAsia" w:ascii="宋体" w:hAnsi="宋体" w:eastAsia="宋体"/>
                <w:sz w:val="18"/>
                <w:szCs w:val="18"/>
              </w:rPr>
              <w:t>万货币单位</w:t>
            </w:r>
          </w:p>
        </w:tc>
        <w:tc>
          <w:tcPr>
            <w:tcW w:w="851" w:type="dxa"/>
            <w:tcBorders>
              <w:left w:val="single" w:color="auto" w:sz="4" w:space="0"/>
              <w:right w:val="single" w:color="auto" w:sz="4" w:space="0"/>
            </w:tcBorders>
            <w:vAlign w:val="top"/>
          </w:tcPr>
          <w:p>
            <w:pPr>
              <w:spacing w:before="31" w:after="31"/>
              <w:jc w:val="center"/>
              <w:rPr>
                <w:rFonts w:ascii="宋体" w:hAnsi="宋体" w:cs="宋体"/>
                <w:kern w:val="0"/>
                <w:sz w:val="18"/>
                <w:szCs w:val="18"/>
              </w:rPr>
            </w:pPr>
            <w:r>
              <w:rPr>
                <w:rFonts w:hint="eastAsia" w:ascii="宋体" w:hAnsi="宋体" w:cs="宋体"/>
                <w:kern w:val="0"/>
                <w:sz w:val="18"/>
                <w:szCs w:val="18"/>
              </w:rPr>
              <w:t>200</w:t>
            </w:r>
          </w:p>
        </w:tc>
        <w:tc>
          <w:tcPr>
            <w:tcW w:w="1417" w:type="dxa"/>
            <w:tcBorders>
              <w:left w:val="single" w:color="auto" w:sz="4" w:space="0"/>
              <w:right w:val="single" w:color="auto" w:sz="4" w:space="0"/>
            </w:tcBorders>
            <w:vAlign w:val="top"/>
          </w:tcPr>
          <w:p>
            <w:pPr>
              <w:spacing w:before="31" w:after="31"/>
              <w:jc w:val="center"/>
              <w:rPr>
                <w:b/>
                <w:kern w:val="0"/>
                <w:sz w:val="18"/>
                <w:szCs w:val="18"/>
              </w:rPr>
            </w:pPr>
          </w:p>
        </w:tc>
        <w:tc>
          <w:tcPr>
            <w:tcW w:w="1418" w:type="dxa"/>
            <w:tcBorders>
              <w:left w:val="single" w:color="auto" w:sz="4" w:space="0"/>
            </w:tcBorders>
            <w:vAlign w:val="top"/>
          </w:tcPr>
          <w:p>
            <w:pPr>
              <w:spacing w:before="31" w:after="31"/>
              <w:jc w:val="center"/>
              <w:rPr>
                <w:b/>
                <w:kern w:val="0"/>
                <w:sz w:val="18"/>
                <w:szCs w:val="18"/>
              </w:rPr>
            </w:pPr>
          </w:p>
        </w:tc>
      </w:tr>
      <w:tr>
        <w:trPr>
          <w:trHeight w:val="259" w:hRule="atLeast"/>
        </w:trPr>
        <w:tc>
          <w:tcPr>
            <w:tcW w:w="3507" w:type="dxa"/>
            <w:tcBorders>
              <w:right w:val="single" w:color="auto" w:sz="4" w:space="0"/>
            </w:tcBorders>
            <w:vAlign w:val="top"/>
          </w:tcPr>
          <w:p>
            <w:pPr>
              <w:spacing w:before="31" w:after="31"/>
              <w:rPr>
                <w:rFonts w:ascii="宋体" w:hAnsi="宋体" w:cs="宋体"/>
                <w:kern w:val="0"/>
                <w:sz w:val="18"/>
                <w:szCs w:val="18"/>
              </w:rPr>
            </w:pPr>
            <w:r>
              <w:rPr>
                <w:rFonts w:hint="eastAsia" w:ascii="宋体" w:hAnsi="宋体" w:cs="宋体"/>
                <w:kern w:val="0"/>
                <w:sz w:val="18"/>
                <w:szCs w:val="18"/>
              </w:rPr>
              <w:t>三、期末账面进口应付款余额</w:t>
            </w:r>
          </w:p>
        </w:tc>
        <w:tc>
          <w:tcPr>
            <w:tcW w:w="1276" w:type="dxa"/>
            <w:tcBorders>
              <w:left w:val="single" w:color="auto" w:sz="4" w:space="0"/>
              <w:right w:val="single" w:color="auto" w:sz="4" w:space="0"/>
            </w:tcBorders>
            <w:vAlign w:val="top"/>
          </w:tcPr>
          <w:p>
            <w:pPr>
              <w:spacing w:before="31" w:after="31"/>
              <w:jc w:val="center"/>
              <w:rPr>
                <w:rFonts w:ascii="宋体" w:hAnsi="宋体" w:cs="宋体"/>
                <w:kern w:val="0"/>
                <w:sz w:val="18"/>
                <w:szCs w:val="18"/>
              </w:rPr>
            </w:pPr>
            <w:r>
              <w:rPr>
                <w:rFonts w:hint="eastAsia" w:ascii="宋体" w:hAnsi="宋体" w:eastAsia="宋体"/>
                <w:sz w:val="18"/>
                <w:szCs w:val="18"/>
              </w:rPr>
              <w:t>万货币单位</w:t>
            </w:r>
          </w:p>
        </w:tc>
        <w:tc>
          <w:tcPr>
            <w:tcW w:w="851" w:type="dxa"/>
            <w:tcBorders>
              <w:left w:val="single" w:color="auto" w:sz="4" w:space="0"/>
              <w:right w:val="single" w:color="auto" w:sz="4" w:space="0"/>
            </w:tcBorders>
            <w:vAlign w:val="top"/>
          </w:tcPr>
          <w:p>
            <w:pPr>
              <w:spacing w:before="31" w:after="31"/>
              <w:jc w:val="center"/>
              <w:rPr>
                <w:rFonts w:ascii="宋体" w:hAnsi="宋体" w:cs="宋体"/>
                <w:kern w:val="0"/>
                <w:sz w:val="18"/>
                <w:szCs w:val="18"/>
              </w:rPr>
            </w:pPr>
            <w:r>
              <w:rPr>
                <w:rFonts w:hint="eastAsia" w:ascii="宋体" w:hAnsi="宋体" w:cs="宋体"/>
                <w:kern w:val="0"/>
                <w:sz w:val="18"/>
                <w:szCs w:val="18"/>
              </w:rPr>
              <w:t>300</w:t>
            </w:r>
          </w:p>
        </w:tc>
        <w:tc>
          <w:tcPr>
            <w:tcW w:w="1417" w:type="dxa"/>
            <w:tcBorders>
              <w:left w:val="single" w:color="auto" w:sz="4" w:space="0"/>
              <w:right w:val="single" w:color="auto" w:sz="4" w:space="0"/>
            </w:tcBorders>
            <w:vAlign w:val="top"/>
          </w:tcPr>
          <w:p>
            <w:pPr>
              <w:spacing w:before="31" w:after="31"/>
              <w:jc w:val="center"/>
              <w:rPr>
                <w:b/>
                <w:kern w:val="0"/>
                <w:sz w:val="18"/>
                <w:szCs w:val="18"/>
              </w:rPr>
            </w:pPr>
          </w:p>
        </w:tc>
        <w:tc>
          <w:tcPr>
            <w:tcW w:w="1418" w:type="dxa"/>
            <w:tcBorders>
              <w:left w:val="single" w:color="auto" w:sz="4" w:space="0"/>
            </w:tcBorders>
            <w:vAlign w:val="top"/>
          </w:tcPr>
          <w:p>
            <w:pPr>
              <w:spacing w:before="31" w:after="31"/>
              <w:jc w:val="center"/>
              <w:rPr>
                <w:b/>
                <w:kern w:val="0"/>
                <w:sz w:val="18"/>
                <w:szCs w:val="18"/>
              </w:rPr>
            </w:pPr>
          </w:p>
        </w:tc>
      </w:tr>
      <w:tr>
        <w:trPr>
          <w:trHeight w:val="259" w:hRule="atLeast"/>
        </w:trPr>
        <w:tc>
          <w:tcPr>
            <w:tcW w:w="3507" w:type="dxa"/>
            <w:tcBorders>
              <w:right w:val="single" w:color="auto" w:sz="4" w:space="0"/>
            </w:tcBorders>
            <w:vAlign w:val="top"/>
          </w:tcPr>
          <w:p>
            <w:pPr>
              <w:spacing w:before="31" w:after="31"/>
              <w:ind w:left="420" w:leftChars="200"/>
              <w:rPr>
                <w:rFonts w:ascii="宋体" w:hAnsi="宋体" w:cs="宋体"/>
                <w:kern w:val="0"/>
                <w:sz w:val="18"/>
                <w:szCs w:val="18"/>
              </w:rPr>
            </w:pPr>
            <w:r>
              <w:rPr>
                <w:rFonts w:ascii="宋体" w:hAnsi="宋体" w:cs="宋体"/>
                <w:kern w:val="0"/>
                <w:sz w:val="18"/>
                <w:szCs w:val="18"/>
              </w:rPr>
              <w:t>其中：一年以上</w:t>
            </w:r>
          </w:p>
        </w:tc>
        <w:tc>
          <w:tcPr>
            <w:tcW w:w="1276" w:type="dxa"/>
            <w:tcBorders>
              <w:left w:val="single" w:color="auto" w:sz="4" w:space="0"/>
              <w:right w:val="single" w:color="auto" w:sz="4" w:space="0"/>
            </w:tcBorders>
            <w:vAlign w:val="top"/>
          </w:tcPr>
          <w:p>
            <w:pPr>
              <w:spacing w:before="31" w:after="31"/>
              <w:jc w:val="center"/>
              <w:rPr>
                <w:rFonts w:ascii="宋体" w:hAnsi="宋体" w:cs="宋体"/>
                <w:kern w:val="0"/>
                <w:sz w:val="18"/>
                <w:szCs w:val="18"/>
              </w:rPr>
            </w:pPr>
            <w:r>
              <w:rPr>
                <w:rFonts w:hint="eastAsia" w:ascii="宋体" w:hAnsi="宋体" w:eastAsia="宋体"/>
                <w:sz w:val="18"/>
                <w:szCs w:val="18"/>
              </w:rPr>
              <w:t>万货币单位</w:t>
            </w:r>
          </w:p>
        </w:tc>
        <w:tc>
          <w:tcPr>
            <w:tcW w:w="851" w:type="dxa"/>
            <w:tcBorders>
              <w:left w:val="single" w:color="auto" w:sz="4" w:space="0"/>
              <w:right w:val="single" w:color="auto" w:sz="4" w:space="0"/>
            </w:tcBorders>
            <w:vAlign w:val="top"/>
          </w:tcPr>
          <w:p>
            <w:pPr>
              <w:spacing w:before="31" w:after="31"/>
              <w:jc w:val="center"/>
              <w:rPr>
                <w:rFonts w:ascii="宋体" w:hAnsi="宋体" w:cs="宋体"/>
                <w:kern w:val="0"/>
                <w:sz w:val="18"/>
                <w:szCs w:val="18"/>
              </w:rPr>
            </w:pPr>
            <w:r>
              <w:rPr>
                <w:rFonts w:hint="eastAsia" w:ascii="宋体" w:hAnsi="宋体" w:cs="宋体"/>
                <w:kern w:val="0"/>
                <w:sz w:val="18"/>
                <w:szCs w:val="18"/>
              </w:rPr>
              <w:t>301</w:t>
            </w:r>
          </w:p>
        </w:tc>
        <w:tc>
          <w:tcPr>
            <w:tcW w:w="1417" w:type="dxa"/>
            <w:tcBorders>
              <w:left w:val="single" w:color="auto" w:sz="4" w:space="0"/>
              <w:right w:val="single" w:color="auto" w:sz="4" w:space="0"/>
            </w:tcBorders>
            <w:vAlign w:val="top"/>
          </w:tcPr>
          <w:p>
            <w:pPr>
              <w:spacing w:before="31" w:after="31"/>
              <w:jc w:val="center"/>
              <w:rPr>
                <w:b/>
                <w:kern w:val="0"/>
                <w:sz w:val="18"/>
                <w:szCs w:val="18"/>
              </w:rPr>
            </w:pPr>
          </w:p>
        </w:tc>
        <w:tc>
          <w:tcPr>
            <w:tcW w:w="1418" w:type="dxa"/>
            <w:tcBorders>
              <w:left w:val="single" w:color="auto" w:sz="4" w:space="0"/>
            </w:tcBorders>
            <w:vAlign w:val="top"/>
          </w:tcPr>
          <w:p>
            <w:pPr>
              <w:spacing w:before="31" w:after="31"/>
              <w:jc w:val="center"/>
              <w:rPr>
                <w:b/>
                <w:kern w:val="0"/>
                <w:sz w:val="18"/>
                <w:szCs w:val="18"/>
              </w:rPr>
            </w:pPr>
          </w:p>
        </w:tc>
      </w:tr>
      <w:tr>
        <w:trPr>
          <w:trHeight w:val="259" w:hRule="atLeast"/>
        </w:trPr>
        <w:tc>
          <w:tcPr>
            <w:tcW w:w="3507" w:type="dxa"/>
            <w:tcBorders>
              <w:right w:val="single" w:color="auto" w:sz="4" w:space="0"/>
            </w:tcBorders>
            <w:vAlign w:val="top"/>
          </w:tcPr>
          <w:p>
            <w:pPr>
              <w:spacing w:before="31" w:after="31"/>
              <w:ind w:left="420" w:leftChars="200"/>
              <w:rPr>
                <w:rFonts w:ascii="宋体" w:hAnsi="宋体" w:cs="宋体"/>
                <w:kern w:val="0"/>
                <w:sz w:val="18"/>
                <w:szCs w:val="18"/>
              </w:rPr>
            </w:pPr>
            <w:r>
              <w:rPr>
                <w:rFonts w:hint="eastAsia" w:ascii="宋体" w:hAnsi="宋体" w:cs="宋体"/>
                <w:kern w:val="0"/>
                <w:sz w:val="18"/>
                <w:szCs w:val="18"/>
              </w:rPr>
              <w:t>其中：离岸转手买卖进口应付款余额</w:t>
            </w:r>
          </w:p>
        </w:tc>
        <w:tc>
          <w:tcPr>
            <w:tcW w:w="1276" w:type="dxa"/>
            <w:tcBorders>
              <w:left w:val="single" w:color="auto" w:sz="4" w:space="0"/>
              <w:right w:val="single" w:color="auto" w:sz="4" w:space="0"/>
            </w:tcBorders>
            <w:vAlign w:val="top"/>
          </w:tcPr>
          <w:p>
            <w:pPr>
              <w:spacing w:before="31" w:after="31"/>
              <w:jc w:val="center"/>
              <w:rPr>
                <w:rFonts w:ascii="宋体" w:hAnsi="宋体" w:cs="宋体"/>
                <w:kern w:val="0"/>
                <w:sz w:val="18"/>
                <w:szCs w:val="18"/>
              </w:rPr>
            </w:pPr>
            <w:r>
              <w:rPr>
                <w:rFonts w:hint="eastAsia" w:ascii="宋体" w:hAnsi="宋体" w:eastAsia="宋体"/>
                <w:sz w:val="18"/>
                <w:szCs w:val="18"/>
              </w:rPr>
              <w:t>万货币单位</w:t>
            </w:r>
          </w:p>
        </w:tc>
        <w:tc>
          <w:tcPr>
            <w:tcW w:w="851" w:type="dxa"/>
            <w:tcBorders>
              <w:left w:val="single" w:color="auto" w:sz="4" w:space="0"/>
              <w:right w:val="single" w:color="auto" w:sz="4" w:space="0"/>
            </w:tcBorders>
            <w:vAlign w:val="top"/>
          </w:tcPr>
          <w:p>
            <w:pPr>
              <w:spacing w:before="31" w:after="31"/>
              <w:jc w:val="center"/>
              <w:rPr>
                <w:rFonts w:ascii="宋体" w:hAnsi="宋体" w:cs="宋体"/>
                <w:kern w:val="0"/>
                <w:sz w:val="18"/>
                <w:szCs w:val="18"/>
              </w:rPr>
            </w:pPr>
            <w:r>
              <w:rPr>
                <w:rFonts w:hint="eastAsia" w:ascii="宋体" w:hAnsi="宋体" w:cs="宋体"/>
                <w:kern w:val="0"/>
                <w:sz w:val="18"/>
                <w:szCs w:val="18"/>
              </w:rPr>
              <w:t>310</w:t>
            </w:r>
          </w:p>
        </w:tc>
        <w:tc>
          <w:tcPr>
            <w:tcW w:w="1417" w:type="dxa"/>
            <w:tcBorders>
              <w:left w:val="single" w:color="auto" w:sz="4" w:space="0"/>
              <w:right w:val="single" w:color="auto" w:sz="4" w:space="0"/>
            </w:tcBorders>
            <w:vAlign w:val="top"/>
          </w:tcPr>
          <w:p>
            <w:pPr>
              <w:spacing w:before="31" w:after="31"/>
              <w:jc w:val="center"/>
              <w:rPr>
                <w:b/>
                <w:kern w:val="0"/>
                <w:sz w:val="18"/>
                <w:szCs w:val="18"/>
              </w:rPr>
            </w:pPr>
          </w:p>
        </w:tc>
        <w:tc>
          <w:tcPr>
            <w:tcW w:w="1418" w:type="dxa"/>
            <w:tcBorders>
              <w:left w:val="single" w:color="auto" w:sz="4" w:space="0"/>
            </w:tcBorders>
            <w:vAlign w:val="top"/>
          </w:tcPr>
          <w:p>
            <w:pPr>
              <w:spacing w:before="31" w:after="31"/>
              <w:jc w:val="center"/>
              <w:rPr>
                <w:b/>
                <w:kern w:val="0"/>
                <w:sz w:val="18"/>
                <w:szCs w:val="18"/>
              </w:rPr>
            </w:pPr>
          </w:p>
        </w:tc>
      </w:tr>
      <w:tr>
        <w:trPr>
          <w:trHeight w:val="259" w:hRule="atLeast"/>
        </w:trPr>
        <w:tc>
          <w:tcPr>
            <w:tcW w:w="3507" w:type="dxa"/>
            <w:tcBorders>
              <w:right w:val="single" w:color="auto" w:sz="4" w:space="0"/>
            </w:tcBorders>
            <w:vAlign w:val="top"/>
          </w:tcPr>
          <w:p>
            <w:pPr>
              <w:spacing w:before="31" w:after="31"/>
              <w:ind w:left="420" w:leftChars="200"/>
              <w:rPr>
                <w:rFonts w:ascii="宋体" w:hAnsi="宋体" w:cs="宋体"/>
                <w:kern w:val="0"/>
                <w:sz w:val="18"/>
                <w:szCs w:val="18"/>
              </w:rPr>
            </w:pPr>
            <w:r>
              <w:rPr>
                <w:rFonts w:hint="eastAsia" w:ascii="宋体" w:hAnsi="宋体" w:cs="宋体"/>
                <w:kern w:val="0"/>
                <w:sz w:val="18"/>
                <w:szCs w:val="18"/>
              </w:rPr>
              <w:t>其中：对关联企业的进口应付款余额</w:t>
            </w:r>
          </w:p>
        </w:tc>
        <w:tc>
          <w:tcPr>
            <w:tcW w:w="1276" w:type="dxa"/>
            <w:tcBorders>
              <w:left w:val="single" w:color="auto" w:sz="4" w:space="0"/>
              <w:right w:val="single" w:color="auto" w:sz="4" w:space="0"/>
            </w:tcBorders>
            <w:vAlign w:val="top"/>
          </w:tcPr>
          <w:p>
            <w:pPr>
              <w:spacing w:before="31" w:after="31"/>
              <w:jc w:val="center"/>
              <w:rPr>
                <w:rFonts w:ascii="宋体" w:hAnsi="宋体" w:cs="宋体"/>
                <w:kern w:val="0"/>
                <w:sz w:val="18"/>
                <w:szCs w:val="18"/>
              </w:rPr>
            </w:pPr>
            <w:r>
              <w:rPr>
                <w:rFonts w:hint="eastAsia" w:ascii="宋体" w:hAnsi="宋体" w:eastAsia="宋体"/>
                <w:sz w:val="18"/>
                <w:szCs w:val="18"/>
              </w:rPr>
              <w:t>万货币单位</w:t>
            </w:r>
          </w:p>
        </w:tc>
        <w:tc>
          <w:tcPr>
            <w:tcW w:w="851" w:type="dxa"/>
            <w:tcBorders>
              <w:left w:val="single" w:color="auto" w:sz="4" w:space="0"/>
              <w:right w:val="single" w:color="auto" w:sz="4" w:space="0"/>
            </w:tcBorders>
            <w:vAlign w:val="top"/>
          </w:tcPr>
          <w:p>
            <w:pPr>
              <w:spacing w:before="31" w:after="31"/>
              <w:jc w:val="center"/>
              <w:rPr>
                <w:rFonts w:ascii="宋体" w:hAnsi="宋体" w:cs="宋体"/>
                <w:kern w:val="0"/>
                <w:sz w:val="18"/>
                <w:szCs w:val="18"/>
              </w:rPr>
            </w:pPr>
            <w:r>
              <w:rPr>
                <w:rFonts w:hint="eastAsia" w:ascii="宋体" w:hAnsi="宋体" w:cs="宋体"/>
                <w:kern w:val="0"/>
                <w:sz w:val="18"/>
                <w:szCs w:val="18"/>
              </w:rPr>
              <w:t>320</w:t>
            </w:r>
          </w:p>
        </w:tc>
        <w:tc>
          <w:tcPr>
            <w:tcW w:w="1417" w:type="dxa"/>
            <w:tcBorders>
              <w:left w:val="single" w:color="auto" w:sz="4" w:space="0"/>
              <w:right w:val="single" w:color="auto" w:sz="4" w:space="0"/>
            </w:tcBorders>
            <w:vAlign w:val="top"/>
          </w:tcPr>
          <w:p>
            <w:pPr>
              <w:spacing w:before="31" w:after="31"/>
              <w:jc w:val="center"/>
              <w:rPr>
                <w:b/>
                <w:kern w:val="0"/>
                <w:sz w:val="18"/>
                <w:szCs w:val="18"/>
              </w:rPr>
            </w:pPr>
          </w:p>
        </w:tc>
        <w:tc>
          <w:tcPr>
            <w:tcW w:w="1418" w:type="dxa"/>
            <w:tcBorders>
              <w:left w:val="single" w:color="auto" w:sz="4" w:space="0"/>
            </w:tcBorders>
            <w:vAlign w:val="top"/>
          </w:tcPr>
          <w:p>
            <w:pPr>
              <w:spacing w:before="31" w:after="31"/>
              <w:jc w:val="center"/>
              <w:rPr>
                <w:b/>
                <w:kern w:val="0"/>
                <w:sz w:val="18"/>
                <w:szCs w:val="18"/>
              </w:rPr>
            </w:pPr>
          </w:p>
        </w:tc>
      </w:tr>
      <w:tr>
        <w:trPr>
          <w:trHeight w:val="259" w:hRule="atLeast"/>
        </w:trPr>
        <w:tc>
          <w:tcPr>
            <w:tcW w:w="3507" w:type="dxa"/>
            <w:tcBorders>
              <w:right w:val="single" w:color="auto" w:sz="4" w:space="0"/>
            </w:tcBorders>
            <w:vAlign w:val="top"/>
          </w:tcPr>
          <w:p>
            <w:pPr>
              <w:spacing w:before="31" w:after="31"/>
              <w:rPr>
                <w:rFonts w:ascii="宋体" w:hAnsi="宋体" w:cs="宋体"/>
                <w:kern w:val="0"/>
                <w:sz w:val="18"/>
                <w:szCs w:val="18"/>
              </w:rPr>
            </w:pPr>
            <w:r>
              <w:rPr>
                <w:rFonts w:hint="eastAsia" w:ascii="宋体" w:hAnsi="宋体" w:cs="宋体"/>
                <w:kern w:val="0"/>
                <w:sz w:val="18"/>
                <w:szCs w:val="18"/>
              </w:rPr>
              <w:t>四、</w:t>
            </w:r>
            <w:r>
              <w:rPr>
                <w:rFonts w:ascii="宋体" w:hAnsi="宋体" w:cs="宋体"/>
                <w:kern w:val="0"/>
                <w:sz w:val="18"/>
                <w:szCs w:val="18"/>
              </w:rPr>
              <w:t>期末</w:t>
            </w:r>
            <w:r>
              <w:rPr>
                <w:rFonts w:hint="eastAsia" w:ascii="宋体" w:hAnsi="宋体" w:cs="宋体"/>
                <w:kern w:val="0"/>
                <w:sz w:val="18"/>
                <w:szCs w:val="18"/>
              </w:rPr>
              <w:t>账面</w:t>
            </w:r>
            <w:r>
              <w:rPr>
                <w:rFonts w:ascii="宋体" w:hAnsi="宋体" w:cs="宋体"/>
                <w:kern w:val="0"/>
                <w:sz w:val="18"/>
                <w:szCs w:val="18"/>
              </w:rPr>
              <w:t>进口</w:t>
            </w:r>
            <w:r>
              <w:rPr>
                <w:rFonts w:hint="eastAsia" w:ascii="宋体" w:hAnsi="宋体" w:cs="宋体"/>
                <w:kern w:val="0"/>
                <w:sz w:val="18"/>
                <w:szCs w:val="18"/>
              </w:rPr>
              <w:t>预付</w:t>
            </w:r>
            <w:r>
              <w:rPr>
                <w:rFonts w:ascii="宋体" w:hAnsi="宋体" w:cs="宋体"/>
                <w:kern w:val="0"/>
                <w:sz w:val="18"/>
                <w:szCs w:val="18"/>
              </w:rPr>
              <w:t>款余额</w:t>
            </w:r>
          </w:p>
        </w:tc>
        <w:tc>
          <w:tcPr>
            <w:tcW w:w="1276" w:type="dxa"/>
            <w:tcBorders>
              <w:left w:val="single" w:color="auto" w:sz="4" w:space="0"/>
              <w:right w:val="single" w:color="auto" w:sz="4" w:space="0"/>
            </w:tcBorders>
            <w:vAlign w:val="top"/>
          </w:tcPr>
          <w:p>
            <w:pPr>
              <w:spacing w:before="31" w:after="31"/>
              <w:jc w:val="center"/>
              <w:rPr>
                <w:rFonts w:ascii="宋体" w:hAnsi="宋体" w:cs="宋体"/>
                <w:kern w:val="0"/>
                <w:sz w:val="18"/>
                <w:szCs w:val="18"/>
              </w:rPr>
            </w:pPr>
            <w:r>
              <w:rPr>
                <w:rFonts w:hint="eastAsia" w:ascii="宋体" w:hAnsi="宋体" w:eastAsia="宋体"/>
                <w:sz w:val="18"/>
                <w:szCs w:val="18"/>
              </w:rPr>
              <w:t>万货币单位</w:t>
            </w:r>
          </w:p>
        </w:tc>
        <w:tc>
          <w:tcPr>
            <w:tcW w:w="851" w:type="dxa"/>
            <w:tcBorders>
              <w:left w:val="single" w:color="auto" w:sz="4" w:space="0"/>
              <w:right w:val="single" w:color="auto" w:sz="4" w:space="0"/>
            </w:tcBorders>
            <w:vAlign w:val="top"/>
          </w:tcPr>
          <w:p>
            <w:pPr>
              <w:spacing w:before="31" w:after="31"/>
              <w:jc w:val="center"/>
              <w:rPr>
                <w:rFonts w:ascii="宋体" w:hAnsi="宋体" w:cs="宋体"/>
                <w:kern w:val="0"/>
                <w:sz w:val="18"/>
                <w:szCs w:val="18"/>
              </w:rPr>
            </w:pPr>
            <w:r>
              <w:rPr>
                <w:rFonts w:hint="eastAsia" w:ascii="宋体" w:hAnsi="宋体" w:cs="宋体"/>
                <w:kern w:val="0"/>
                <w:sz w:val="18"/>
                <w:szCs w:val="18"/>
              </w:rPr>
              <w:t>400</w:t>
            </w:r>
          </w:p>
        </w:tc>
        <w:tc>
          <w:tcPr>
            <w:tcW w:w="1417" w:type="dxa"/>
            <w:tcBorders>
              <w:left w:val="single" w:color="auto" w:sz="4" w:space="0"/>
              <w:right w:val="single" w:color="auto" w:sz="4" w:space="0"/>
            </w:tcBorders>
            <w:vAlign w:val="top"/>
          </w:tcPr>
          <w:p>
            <w:pPr>
              <w:spacing w:before="31" w:after="31"/>
              <w:jc w:val="center"/>
              <w:rPr>
                <w:b/>
                <w:kern w:val="0"/>
                <w:sz w:val="18"/>
                <w:szCs w:val="18"/>
              </w:rPr>
            </w:pPr>
          </w:p>
        </w:tc>
        <w:tc>
          <w:tcPr>
            <w:tcW w:w="1418" w:type="dxa"/>
            <w:tcBorders>
              <w:left w:val="single" w:color="auto" w:sz="4" w:space="0"/>
            </w:tcBorders>
            <w:vAlign w:val="top"/>
          </w:tcPr>
          <w:p>
            <w:pPr>
              <w:spacing w:before="31" w:after="31"/>
              <w:jc w:val="center"/>
              <w:rPr>
                <w:b/>
                <w:kern w:val="0"/>
                <w:sz w:val="18"/>
                <w:szCs w:val="18"/>
              </w:rPr>
            </w:pPr>
          </w:p>
        </w:tc>
      </w:tr>
      <w:tr>
        <w:trPr>
          <w:trHeight w:val="259" w:hRule="atLeast"/>
        </w:trPr>
        <w:tc>
          <w:tcPr>
            <w:tcW w:w="3507" w:type="dxa"/>
            <w:tcBorders>
              <w:right w:val="single" w:color="auto" w:sz="4" w:space="0"/>
            </w:tcBorders>
            <w:vAlign w:val="top"/>
          </w:tcPr>
          <w:p>
            <w:pPr>
              <w:spacing w:before="31" w:after="31"/>
              <w:ind w:left="420" w:leftChars="200"/>
              <w:rPr>
                <w:rFonts w:ascii="宋体" w:hAnsi="宋体" w:cs="宋体"/>
                <w:kern w:val="0"/>
                <w:sz w:val="18"/>
                <w:szCs w:val="18"/>
              </w:rPr>
            </w:pPr>
            <w:r>
              <w:rPr>
                <w:rFonts w:ascii="宋体" w:hAnsi="宋体" w:cs="宋体"/>
                <w:kern w:val="0"/>
                <w:sz w:val="18"/>
                <w:szCs w:val="18"/>
              </w:rPr>
              <w:t>其中：一年以上</w:t>
            </w:r>
          </w:p>
        </w:tc>
        <w:tc>
          <w:tcPr>
            <w:tcW w:w="1276" w:type="dxa"/>
            <w:tcBorders>
              <w:left w:val="single" w:color="auto" w:sz="4" w:space="0"/>
              <w:right w:val="single" w:color="auto" w:sz="4" w:space="0"/>
            </w:tcBorders>
            <w:vAlign w:val="top"/>
          </w:tcPr>
          <w:p>
            <w:pPr>
              <w:spacing w:before="31" w:after="31"/>
              <w:jc w:val="center"/>
              <w:rPr>
                <w:rFonts w:ascii="宋体" w:hAnsi="宋体" w:cs="宋体"/>
                <w:kern w:val="0"/>
                <w:sz w:val="18"/>
                <w:szCs w:val="18"/>
              </w:rPr>
            </w:pPr>
            <w:r>
              <w:rPr>
                <w:rFonts w:hint="eastAsia" w:ascii="宋体" w:hAnsi="宋体" w:eastAsia="宋体"/>
                <w:sz w:val="18"/>
                <w:szCs w:val="18"/>
              </w:rPr>
              <w:t>万货币单位</w:t>
            </w:r>
          </w:p>
        </w:tc>
        <w:tc>
          <w:tcPr>
            <w:tcW w:w="851" w:type="dxa"/>
            <w:tcBorders>
              <w:left w:val="single" w:color="auto" w:sz="4" w:space="0"/>
              <w:right w:val="single" w:color="auto" w:sz="4" w:space="0"/>
            </w:tcBorders>
            <w:vAlign w:val="top"/>
          </w:tcPr>
          <w:p>
            <w:pPr>
              <w:spacing w:before="31" w:after="31"/>
              <w:jc w:val="center"/>
              <w:rPr>
                <w:rFonts w:ascii="宋体" w:hAnsi="宋体" w:cs="宋体"/>
                <w:kern w:val="0"/>
                <w:sz w:val="18"/>
                <w:szCs w:val="18"/>
              </w:rPr>
            </w:pPr>
            <w:r>
              <w:rPr>
                <w:rFonts w:hint="eastAsia" w:ascii="宋体" w:hAnsi="宋体" w:cs="宋体"/>
                <w:kern w:val="0"/>
                <w:sz w:val="18"/>
                <w:szCs w:val="18"/>
              </w:rPr>
              <w:t>401</w:t>
            </w:r>
          </w:p>
        </w:tc>
        <w:tc>
          <w:tcPr>
            <w:tcW w:w="1417" w:type="dxa"/>
            <w:tcBorders>
              <w:left w:val="single" w:color="auto" w:sz="4" w:space="0"/>
              <w:right w:val="single" w:color="auto" w:sz="4" w:space="0"/>
            </w:tcBorders>
            <w:vAlign w:val="top"/>
          </w:tcPr>
          <w:p>
            <w:pPr>
              <w:spacing w:before="31" w:after="31"/>
              <w:jc w:val="center"/>
              <w:rPr>
                <w:b/>
                <w:kern w:val="0"/>
                <w:sz w:val="18"/>
                <w:szCs w:val="18"/>
              </w:rPr>
            </w:pPr>
          </w:p>
        </w:tc>
        <w:tc>
          <w:tcPr>
            <w:tcW w:w="1418" w:type="dxa"/>
            <w:tcBorders>
              <w:left w:val="single" w:color="auto" w:sz="4" w:space="0"/>
            </w:tcBorders>
            <w:vAlign w:val="top"/>
          </w:tcPr>
          <w:p>
            <w:pPr>
              <w:spacing w:before="31" w:after="31"/>
              <w:jc w:val="center"/>
              <w:rPr>
                <w:b/>
                <w:kern w:val="0"/>
                <w:sz w:val="18"/>
                <w:szCs w:val="18"/>
              </w:rPr>
            </w:pPr>
          </w:p>
        </w:tc>
      </w:tr>
      <w:tr>
        <w:trPr>
          <w:trHeight w:val="259" w:hRule="atLeast"/>
        </w:trPr>
        <w:tc>
          <w:tcPr>
            <w:tcW w:w="3507" w:type="dxa"/>
            <w:tcBorders>
              <w:right w:val="single" w:color="auto" w:sz="4" w:space="0"/>
            </w:tcBorders>
            <w:vAlign w:val="top"/>
          </w:tcPr>
          <w:p>
            <w:pPr>
              <w:spacing w:before="31" w:after="31"/>
              <w:ind w:left="420" w:leftChars="200"/>
              <w:rPr>
                <w:rFonts w:ascii="宋体" w:hAnsi="宋体" w:cs="宋体"/>
                <w:kern w:val="0"/>
                <w:sz w:val="18"/>
                <w:szCs w:val="18"/>
              </w:rPr>
            </w:pPr>
            <w:r>
              <w:rPr>
                <w:rFonts w:hint="eastAsia" w:ascii="宋体" w:hAnsi="宋体" w:cs="宋体"/>
                <w:kern w:val="0"/>
                <w:sz w:val="18"/>
                <w:szCs w:val="18"/>
              </w:rPr>
              <w:t>其中：离岸转手买卖进口预付款余额</w:t>
            </w:r>
          </w:p>
        </w:tc>
        <w:tc>
          <w:tcPr>
            <w:tcW w:w="1276" w:type="dxa"/>
            <w:tcBorders>
              <w:left w:val="single" w:color="auto" w:sz="4" w:space="0"/>
              <w:right w:val="single" w:color="auto" w:sz="4" w:space="0"/>
            </w:tcBorders>
            <w:vAlign w:val="top"/>
          </w:tcPr>
          <w:p>
            <w:pPr>
              <w:spacing w:before="31" w:after="31"/>
              <w:jc w:val="center"/>
              <w:rPr>
                <w:rFonts w:ascii="宋体" w:hAnsi="宋体" w:cs="宋体"/>
                <w:kern w:val="0"/>
                <w:sz w:val="18"/>
                <w:szCs w:val="18"/>
              </w:rPr>
            </w:pPr>
            <w:r>
              <w:rPr>
                <w:rFonts w:hint="eastAsia" w:ascii="宋体" w:hAnsi="宋体" w:eastAsia="宋体"/>
                <w:sz w:val="18"/>
                <w:szCs w:val="18"/>
              </w:rPr>
              <w:t>万货币单位</w:t>
            </w:r>
          </w:p>
        </w:tc>
        <w:tc>
          <w:tcPr>
            <w:tcW w:w="851" w:type="dxa"/>
            <w:tcBorders>
              <w:left w:val="single" w:color="auto" w:sz="4" w:space="0"/>
              <w:right w:val="single" w:color="auto" w:sz="4" w:space="0"/>
            </w:tcBorders>
            <w:vAlign w:val="top"/>
          </w:tcPr>
          <w:p>
            <w:pPr>
              <w:spacing w:before="31" w:after="31"/>
              <w:jc w:val="center"/>
              <w:rPr>
                <w:rFonts w:ascii="宋体" w:hAnsi="宋体" w:cs="宋体"/>
                <w:kern w:val="0"/>
                <w:sz w:val="18"/>
                <w:szCs w:val="18"/>
              </w:rPr>
            </w:pPr>
            <w:r>
              <w:rPr>
                <w:rFonts w:hint="eastAsia" w:ascii="宋体" w:hAnsi="宋体" w:cs="宋体"/>
                <w:kern w:val="0"/>
                <w:sz w:val="18"/>
                <w:szCs w:val="18"/>
              </w:rPr>
              <w:t>410</w:t>
            </w:r>
          </w:p>
        </w:tc>
        <w:tc>
          <w:tcPr>
            <w:tcW w:w="1417" w:type="dxa"/>
            <w:tcBorders>
              <w:left w:val="single" w:color="auto" w:sz="4" w:space="0"/>
              <w:right w:val="single" w:color="auto" w:sz="4" w:space="0"/>
            </w:tcBorders>
            <w:vAlign w:val="top"/>
          </w:tcPr>
          <w:p>
            <w:pPr>
              <w:spacing w:before="31" w:after="31"/>
              <w:jc w:val="center"/>
              <w:rPr>
                <w:b/>
                <w:kern w:val="0"/>
                <w:sz w:val="18"/>
                <w:szCs w:val="18"/>
              </w:rPr>
            </w:pPr>
          </w:p>
        </w:tc>
        <w:tc>
          <w:tcPr>
            <w:tcW w:w="1418" w:type="dxa"/>
            <w:tcBorders>
              <w:left w:val="single" w:color="auto" w:sz="4" w:space="0"/>
            </w:tcBorders>
            <w:vAlign w:val="top"/>
          </w:tcPr>
          <w:p>
            <w:pPr>
              <w:spacing w:before="31" w:after="31"/>
              <w:jc w:val="center"/>
              <w:rPr>
                <w:b/>
                <w:kern w:val="0"/>
                <w:sz w:val="18"/>
                <w:szCs w:val="18"/>
              </w:rPr>
            </w:pPr>
          </w:p>
        </w:tc>
      </w:tr>
      <w:tr>
        <w:trPr>
          <w:trHeight w:val="259" w:hRule="atLeast"/>
        </w:trPr>
        <w:tc>
          <w:tcPr>
            <w:tcW w:w="3507" w:type="dxa"/>
            <w:tcBorders>
              <w:right w:val="single" w:color="auto" w:sz="4" w:space="0"/>
            </w:tcBorders>
            <w:vAlign w:val="top"/>
          </w:tcPr>
          <w:p>
            <w:pPr>
              <w:spacing w:before="31" w:after="31"/>
              <w:ind w:left="420" w:leftChars="200"/>
              <w:rPr>
                <w:rFonts w:ascii="宋体" w:hAnsi="宋体" w:cs="宋体"/>
                <w:kern w:val="0"/>
                <w:sz w:val="18"/>
                <w:szCs w:val="18"/>
              </w:rPr>
            </w:pPr>
            <w:r>
              <w:rPr>
                <w:rFonts w:hint="eastAsia" w:ascii="宋体" w:hAnsi="宋体" w:cs="宋体"/>
                <w:kern w:val="0"/>
                <w:sz w:val="18"/>
                <w:szCs w:val="18"/>
              </w:rPr>
              <w:t>其中：对关联企业的进口预付款余额</w:t>
            </w:r>
          </w:p>
        </w:tc>
        <w:tc>
          <w:tcPr>
            <w:tcW w:w="1276" w:type="dxa"/>
            <w:tcBorders>
              <w:left w:val="single" w:color="auto" w:sz="4" w:space="0"/>
              <w:right w:val="single" w:color="auto" w:sz="4" w:space="0"/>
            </w:tcBorders>
            <w:vAlign w:val="top"/>
          </w:tcPr>
          <w:p>
            <w:pPr>
              <w:spacing w:before="31" w:after="31"/>
              <w:jc w:val="center"/>
              <w:rPr>
                <w:rFonts w:ascii="宋体" w:hAnsi="宋体" w:cs="宋体"/>
                <w:kern w:val="0"/>
                <w:sz w:val="18"/>
                <w:szCs w:val="18"/>
              </w:rPr>
            </w:pPr>
            <w:r>
              <w:rPr>
                <w:rFonts w:hint="eastAsia" w:ascii="宋体" w:hAnsi="宋体" w:eastAsia="宋体"/>
                <w:sz w:val="18"/>
                <w:szCs w:val="18"/>
              </w:rPr>
              <w:t>万货币单位</w:t>
            </w:r>
          </w:p>
        </w:tc>
        <w:tc>
          <w:tcPr>
            <w:tcW w:w="851" w:type="dxa"/>
            <w:tcBorders>
              <w:left w:val="single" w:color="auto" w:sz="4" w:space="0"/>
              <w:right w:val="single" w:color="auto" w:sz="4" w:space="0"/>
            </w:tcBorders>
            <w:vAlign w:val="top"/>
          </w:tcPr>
          <w:p>
            <w:pPr>
              <w:spacing w:before="31" w:after="31"/>
              <w:jc w:val="center"/>
              <w:rPr>
                <w:rFonts w:ascii="宋体" w:hAnsi="宋体" w:cs="宋体"/>
                <w:kern w:val="0"/>
                <w:sz w:val="18"/>
                <w:szCs w:val="18"/>
              </w:rPr>
            </w:pPr>
            <w:r>
              <w:rPr>
                <w:rFonts w:hint="eastAsia" w:ascii="宋体" w:hAnsi="宋体" w:cs="宋体"/>
                <w:kern w:val="0"/>
                <w:sz w:val="18"/>
                <w:szCs w:val="18"/>
              </w:rPr>
              <w:t>420</w:t>
            </w:r>
          </w:p>
        </w:tc>
        <w:tc>
          <w:tcPr>
            <w:tcW w:w="1417" w:type="dxa"/>
            <w:tcBorders>
              <w:left w:val="single" w:color="auto" w:sz="4" w:space="0"/>
              <w:right w:val="single" w:color="auto" w:sz="4" w:space="0"/>
            </w:tcBorders>
            <w:vAlign w:val="top"/>
          </w:tcPr>
          <w:p>
            <w:pPr>
              <w:spacing w:before="31" w:after="31"/>
              <w:jc w:val="center"/>
              <w:rPr>
                <w:b/>
                <w:kern w:val="0"/>
                <w:sz w:val="18"/>
                <w:szCs w:val="18"/>
              </w:rPr>
            </w:pPr>
          </w:p>
        </w:tc>
        <w:tc>
          <w:tcPr>
            <w:tcW w:w="1418" w:type="dxa"/>
            <w:tcBorders>
              <w:left w:val="single" w:color="auto" w:sz="4" w:space="0"/>
            </w:tcBorders>
            <w:vAlign w:val="top"/>
          </w:tcPr>
          <w:p>
            <w:pPr>
              <w:spacing w:before="31" w:after="31"/>
              <w:jc w:val="center"/>
              <w:rPr>
                <w:b/>
                <w:kern w:val="0"/>
                <w:sz w:val="18"/>
                <w:szCs w:val="18"/>
              </w:rPr>
            </w:pPr>
          </w:p>
        </w:tc>
      </w:tr>
      <w:tr>
        <w:trPr>
          <w:trHeight w:val="259" w:hRule="atLeast"/>
        </w:trPr>
        <w:tc>
          <w:tcPr>
            <w:tcW w:w="3507" w:type="dxa"/>
            <w:tcBorders>
              <w:right w:val="single" w:color="auto" w:sz="4" w:space="0"/>
            </w:tcBorders>
            <w:vAlign w:val="top"/>
          </w:tcPr>
          <w:p>
            <w:pPr>
              <w:spacing w:before="31" w:after="31"/>
              <w:rPr>
                <w:rFonts w:ascii="宋体" w:hAnsi="宋体" w:cs="宋体"/>
                <w:kern w:val="0"/>
                <w:sz w:val="18"/>
                <w:szCs w:val="18"/>
              </w:rPr>
            </w:pPr>
            <w:r>
              <w:rPr>
                <w:rFonts w:hint="eastAsia" w:ascii="宋体" w:hAnsi="宋体" w:cs="宋体"/>
                <w:kern w:val="0"/>
                <w:sz w:val="18"/>
                <w:szCs w:val="18"/>
              </w:rPr>
              <w:t>五、其他因素导致的当期偏差</w:t>
            </w:r>
          </w:p>
        </w:tc>
        <w:tc>
          <w:tcPr>
            <w:tcW w:w="1276" w:type="dxa"/>
            <w:tcBorders>
              <w:left w:val="single" w:color="auto" w:sz="4" w:space="0"/>
              <w:right w:val="single" w:color="auto" w:sz="4" w:space="0"/>
            </w:tcBorders>
            <w:vAlign w:val="top"/>
          </w:tcPr>
          <w:p>
            <w:pPr>
              <w:spacing w:before="31" w:after="31"/>
              <w:jc w:val="center"/>
              <w:rPr>
                <w:rFonts w:ascii="宋体" w:hAnsi="宋体" w:cs="宋体"/>
                <w:kern w:val="0"/>
                <w:sz w:val="18"/>
                <w:szCs w:val="18"/>
              </w:rPr>
            </w:pPr>
            <w:r>
              <w:rPr>
                <w:rFonts w:hint="eastAsia" w:ascii="宋体" w:hAnsi="宋体" w:eastAsia="宋体"/>
                <w:sz w:val="18"/>
                <w:szCs w:val="18"/>
              </w:rPr>
              <w:t>万货币单位</w:t>
            </w:r>
          </w:p>
        </w:tc>
        <w:tc>
          <w:tcPr>
            <w:tcW w:w="851" w:type="dxa"/>
            <w:tcBorders>
              <w:left w:val="single" w:color="auto" w:sz="4" w:space="0"/>
              <w:right w:val="single" w:color="auto" w:sz="4" w:space="0"/>
            </w:tcBorders>
            <w:vAlign w:val="top"/>
          </w:tcPr>
          <w:p>
            <w:pPr>
              <w:spacing w:before="31" w:after="31"/>
              <w:jc w:val="center"/>
              <w:rPr>
                <w:rFonts w:ascii="宋体" w:hAnsi="宋体" w:cs="宋体"/>
                <w:kern w:val="0"/>
                <w:sz w:val="18"/>
                <w:szCs w:val="18"/>
              </w:rPr>
            </w:pPr>
            <w:r>
              <w:rPr>
                <w:rFonts w:hint="eastAsia" w:ascii="宋体" w:hAnsi="宋体" w:cs="宋体"/>
                <w:kern w:val="0"/>
                <w:sz w:val="18"/>
                <w:szCs w:val="18"/>
              </w:rPr>
              <w:t>500</w:t>
            </w:r>
          </w:p>
        </w:tc>
        <w:tc>
          <w:tcPr>
            <w:tcW w:w="1417" w:type="dxa"/>
            <w:tcBorders>
              <w:left w:val="single" w:color="auto" w:sz="4" w:space="0"/>
              <w:right w:val="single" w:color="auto" w:sz="4" w:space="0"/>
            </w:tcBorders>
            <w:vAlign w:val="top"/>
          </w:tcPr>
          <w:p>
            <w:pPr>
              <w:spacing w:before="31" w:after="31"/>
              <w:jc w:val="center"/>
              <w:rPr>
                <w:b/>
                <w:kern w:val="0"/>
                <w:sz w:val="18"/>
                <w:szCs w:val="18"/>
              </w:rPr>
            </w:pPr>
          </w:p>
        </w:tc>
        <w:tc>
          <w:tcPr>
            <w:tcW w:w="1418" w:type="dxa"/>
            <w:tcBorders>
              <w:left w:val="single" w:color="auto" w:sz="4" w:space="0"/>
            </w:tcBorders>
            <w:vAlign w:val="top"/>
          </w:tcPr>
          <w:p>
            <w:pPr>
              <w:spacing w:before="31" w:after="31"/>
              <w:jc w:val="center"/>
              <w:rPr>
                <w:b/>
                <w:kern w:val="0"/>
                <w:sz w:val="18"/>
                <w:szCs w:val="18"/>
              </w:rPr>
            </w:pPr>
          </w:p>
        </w:tc>
      </w:tr>
      <w:tr>
        <w:trPr>
          <w:trHeight w:val="259" w:hRule="atLeast"/>
        </w:trPr>
        <w:tc>
          <w:tcPr>
            <w:tcW w:w="3507" w:type="dxa"/>
            <w:tcBorders>
              <w:bottom w:val="single" w:color="auto" w:sz="4" w:space="0"/>
              <w:right w:val="single" w:color="auto" w:sz="4" w:space="0"/>
            </w:tcBorders>
            <w:vAlign w:val="top"/>
          </w:tcPr>
          <w:p>
            <w:pPr>
              <w:spacing w:before="31" w:after="31"/>
              <w:rPr>
                <w:rFonts w:ascii="宋体" w:hAnsi="宋体" w:cs="宋体"/>
                <w:kern w:val="0"/>
                <w:sz w:val="18"/>
                <w:szCs w:val="18"/>
              </w:rPr>
            </w:pPr>
            <w:r>
              <w:rPr>
                <w:rFonts w:hint="eastAsia" w:ascii="宋体" w:hAnsi="宋体" w:cs="宋体"/>
                <w:kern w:val="0"/>
                <w:sz w:val="18"/>
                <w:szCs w:val="18"/>
              </w:rPr>
              <w:t>六、进口应付款平均周期</w:t>
            </w:r>
          </w:p>
        </w:tc>
        <w:tc>
          <w:tcPr>
            <w:tcW w:w="1276" w:type="dxa"/>
            <w:tcBorders>
              <w:left w:val="single" w:color="auto" w:sz="4" w:space="0"/>
              <w:bottom w:val="single" w:color="auto" w:sz="4" w:space="0"/>
              <w:right w:val="single" w:color="auto" w:sz="4" w:space="0"/>
            </w:tcBorders>
            <w:vAlign w:val="top"/>
          </w:tcPr>
          <w:p>
            <w:pPr>
              <w:spacing w:before="31" w:after="31"/>
              <w:jc w:val="center"/>
              <w:rPr>
                <w:rFonts w:ascii="宋体" w:hAnsi="宋体" w:cs="宋体"/>
                <w:kern w:val="0"/>
                <w:sz w:val="18"/>
                <w:szCs w:val="18"/>
              </w:rPr>
            </w:pPr>
            <w:r>
              <w:rPr>
                <w:rFonts w:hint="eastAsia" w:ascii="宋体" w:hAnsi="宋体" w:cs="宋体"/>
                <w:kern w:val="0"/>
                <w:sz w:val="18"/>
                <w:szCs w:val="18"/>
              </w:rPr>
              <w:t>天</w:t>
            </w:r>
          </w:p>
        </w:tc>
        <w:tc>
          <w:tcPr>
            <w:tcW w:w="851" w:type="dxa"/>
            <w:tcBorders>
              <w:left w:val="single" w:color="auto" w:sz="4" w:space="0"/>
              <w:bottom w:val="single" w:color="auto" w:sz="4" w:space="0"/>
              <w:right w:val="single" w:color="auto" w:sz="4" w:space="0"/>
            </w:tcBorders>
            <w:vAlign w:val="top"/>
          </w:tcPr>
          <w:p>
            <w:pPr>
              <w:spacing w:before="31" w:after="31"/>
              <w:jc w:val="center"/>
              <w:rPr>
                <w:rFonts w:ascii="宋体" w:hAnsi="宋体" w:cs="宋体"/>
                <w:kern w:val="0"/>
                <w:sz w:val="18"/>
                <w:szCs w:val="18"/>
              </w:rPr>
            </w:pPr>
            <w:r>
              <w:rPr>
                <w:rFonts w:hint="eastAsia" w:ascii="宋体" w:hAnsi="宋体" w:cs="宋体"/>
                <w:kern w:val="0"/>
                <w:sz w:val="18"/>
                <w:szCs w:val="18"/>
              </w:rPr>
              <w:t>600</w:t>
            </w:r>
          </w:p>
        </w:tc>
        <w:tc>
          <w:tcPr>
            <w:tcW w:w="1417" w:type="dxa"/>
            <w:tcBorders>
              <w:left w:val="single" w:color="auto" w:sz="4" w:space="0"/>
              <w:bottom w:val="single" w:color="auto" w:sz="4" w:space="0"/>
              <w:right w:val="single" w:color="auto" w:sz="4" w:space="0"/>
            </w:tcBorders>
            <w:vAlign w:val="top"/>
          </w:tcPr>
          <w:p>
            <w:pPr>
              <w:spacing w:before="31" w:after="31"/>
              <w:jc w:val="center"/>
              <w:rPr>
                <w:b/>
                <w:kern w:val="0"/>
                <w:sz w:val="18"/>
                <w:szCs w:val="18"/>
              </w:rPr>
            </w:pPr>
          </w:p>
        </w:tc>
        <w:tc>
          <w:tcPr>
            <w:tcW w:w="1418" w:type="dxa"/>
            <w:tcBorders>
              <w:left w:val="single" w:color="auto" w:sz="4" w:space="0"/>
              <w:bottom w:val="single" w:color="auto" w:sz="4" w:space="0"/>
            </w:tcBorders>
            <w:vAlign w:val="top"/>
          </w:tcPr>
          <w:p>
            <w:pPr>
              <w:spacing w:before="31" w:after="31"/>
              <w:jc w:val="center"/>
              <w:rPr>
                <w:b/>
                <w:kern w:val="0"/>
                <w:sz w:val="18"/>
                <w:szCs w:val="18"/>
              </w:rPr>
            </w:pPr>
          </w:p>
        </w:tc>
      </w:tr>
    </w:tbl>
    <w:p>
      <w:pPr>
        <w:pStyle w:val="18"/>
        <w:spacing w:before="31" w:after="31"/>
        <w:rPr>
          <w:rFonts w:hAnsi="宋体" w:cs="宋体"/>
          <w:color w:val="auto"/>
          <w:kern w:val="0"/>
          <w:sz w:val="18"/>
          <w:szCs w:val="18"/>
        </w:rPr>
      </w:pPr>
      <w:r>
        <w:rPr>
          <w:rFonts w:hint="eastAsia" w:hAnsi="宋体" w:cs="宋体"/>
          <w:color w:val="auto"/>
          <w:kern w:val="0"/>
          <w:sz w:val="18"/>
          <w:szCs w:val="18"/>
        </w:rPr>
        <w:t>企业填表人及联系电话</w:t>
      </w:r>
      <w:r>
        <w:rPr>
          <w:rFonts w:hint="eastAsia" w:hAnsi="宋体" w:cs="宋体"/>
          <w:color w:val="auto"/>
          <w:kern w:val="0"/>
        </w:rPr>
        <w:t xml:space="preserve">：             </w:t>
      </w:r>
      <w:r>
        <w:rPr>
          <w:rFonts w:hint="eastAsia" w:hAnsi="宋体" w:cs="宋体"/>
          <w:color w:val="auto"/>
          <w:kern w:val="0"/>
          <w:sz w:val="18"/>
          <w:szCs w:val="18"/>
        </w:rPr>
        <w:t>审核人及联系电话：             填报日期：20 年 月  日</w:t>
      </w:r>
    </w:p>
    <w:p>
      <w:pPr>
        <w:pStyle w:val="18"/>
        <w:spacing w:before="31" w:after="31"/>
        <w:rPr>
          <w:rFonts w:ascii="宋体" w:hAnsi="宋体" w:eastAsia="宋体"/>
          <w:color w:val="auto"/>
          <w:sz w:val="18"/>
          <w:szCs w:val="18"/>
        </w:rPr>
      </w:pPr>
    </w:p>
    <w:p>
      <w:pPr>
        <w:pStyle w:val="18"/>
        <w:spacing w:before="31" w:after="31"/>
        <w:rPr>
          <w:rFonts w:ascii="宋体" w:hAnsi="宋体" w:eastAsia="宋体"/>
          <w:color w:val="auto"/>
          <w:sz w:val="18"/>
          <w:szCs w:val="18"/>
        </w:rPr>
      </w:pPr>
      <w:r>
        <w:rPr>
          <w:rFonts w:hint="eastAsia" w:ascii="宋体" w:hAnsi="宋体" w:eastAsia="宋体"/>
          <w:color w:val="auto"/>
          <w:sz w:val="18"/>
          <w:szCs w:val="18"/>
        </w:rPr>
        <w:t>注：</w:t>
      </w:r>
    </w:p>
    <w:p>
      <w:pPr>
        <w:pStyle w:val="18"/>
        <w:spacing w:before="31" w:after="31"/>
        <w:ind w:firstLine="360" w:firstLineChars="200"/>
        <w:rPr>
          <w:rFonts w:ascii="宋体" w:hAnsi="宋体" w:eastAsia="宋体"/>
          <w:color w:val="auto"/>
          <w:sz w:val="18"/>
          <w:szCs w:val="18"/>
        </w:rPr>
      </w:pPr>
      <w:r>
        <w:rPr>
          <w:rFonts w:hint="eastAsia" w:ascii="宋体" w:hAnsi="宋体" w:eastAsia="宋体"/>
          <w:color w:val="auto"/>
          <w:sz w:val="18"/>
          <w:szCs w:val="18"/>
        </w:rPr>
        <w:t>1.当期进口总额、当期支付的进口货款金额，及其子项为当期发生额；期末账面进口应付款余额、期末账面进口预付款余额，及其子项为期末余额。</w:t>
      </w:r>
    </w:p>
    <w:p>
      <w:pPr>
        <w:pStyle w:val="18"/>
        <w:spacing w:before="31" w:after="31"/>
        <w:ind w:firstLine="360" w:firstLineChars="200"/>
        <w:rPr>
          <w:rFonts w:ascii="宋体" w:hAnsi="宋体" w:eastAsia="宋体"/>
          <w:color w:val="auto"/>
          <w:sz w:val="18"/>
          <w:szCs w:val="18"/>
        </w:rPr>
      </w:pPr>
      <w:r>
        <w:rPr>
          <w:rFonts w:hint="eastAsia" w:ascii="宋体" w:hAnsi="宋体" w:eastAsia="宋体"/>
          <w:color w:val="auto"/>
          <w:sz w:val="18"/>
          <w:szCs w:val="18"/>
        </w:rPr>
        <w:t>2. 本报表可根据企业自身会计账务情况选择美元或人民币作为填报币种。</w:t>
      </w:r>
    </w:p>
    <w:p>
      <w:pPr>
        <w:pStyle w:val="18"/>
        <w:spacing w:before="31" w:after="31"/>
        <w:ind w:firstLine="360" w:firstLineChars="200"/>
        <w:rPr>
          <w:rFonts w:ascii="宋体" w:hAnsi="宋体" w:eastAsia="宋体"/>
          <w:color w:val="auto"/>
          <w:sz w:val="18"/>
          <w:szCs w:val="18"/>
        </w:rPr>
      </w:pPr>
      <w:r>
        <w:rPr>
          <w:rFonts w:hint="eastAsia" w:ascii="宋体" w:hAnsi="宋体" w:eastAsia="宋体"/>
          <w:color w:val="auto"/>
          <w:sz w:val="18"/>
          <w:szCs w:val="18"/>
        </w:rPr>
        <w:t>3.请保留两位小数。</w:t>
      </w:r>
    </w:p>
    <w:p>
      <w:pPr>
        <w:spacing w:before="31" w:after="31"/>
        <w:rPr>
          <w:rFonts w:ascii="宋体" w:hAnsi="宋体" w:eastAsia="宋体"/>
          <w:b/>
          <w:sz w:val="18"/>
          <w:szCs w:val="18"/>
        </w:rPr>
      </w:pPr>
    </w:p>
    <w:p>
      <w:pPr>
        <w:spacing w:before="31" w:after="31" w:line="720" w:lineRule="auto"/>
        <w:jc w:val="center"/>
        <w:rPr>
          <w:rFonts w:ascii="黑体" w:hAnsi="宋体" w:eastAsia="黑体"/>
          <w:sz w:val="32"/>
          <w:szCs w:val="32"/>
        </w:rPr>
      </w:pPr>
      <w:r>
        <w:rPr>
          <w:rFonts w:ascii="宋体" w:hAnsi="宋体" w:eastAsia="宋体"/>
          <w:sz w:val="18"/>
          <w:szCs w:val="18"/>
        </w:rPr>
        <w:br w:type="page"/>
      </w:r>
      <w:r>
        <w:rPr>
          <w:rFonts w:hint="eastAsia" w:ascii="黑体" w:hAnsi="宋体" w:eastAsia="黑体"/>
          <w:sz w:val="32"/>
          <w:szCs w:val="32"/>
        </w:rPr>
        <w:t>四、主要指标解释</w:t>
      </w:r>
    </w:p>
    <w:p>
      <w:pPr>
        <w:adjustRightInd w:val="0"/>
        <w:snapToGrid w:val="0"/>
        <w:spacing w:before="31" w:after="31" w:line="360" w:lineRule="auto"/>
        <w:ind w:firstLine="422" w:firstLineChars="200"/>
        <w:rPr>
          <w:rFonts w:ascii="宋体" w:hAnsi="宋体" w:eastAsia="宋体"/>
          <w:b/>
          <w:szCs w:val="21"/>
        </w:rPr>
      </w:pPr>
      <w:r>
        <w:rPr>
          <w:rFonts w:hint="eastAsia" w:ascii="宋体" w:hAnsi="宋体" w:eastAsia="宋体"/>
          <w:b/>
          <w:szCs w:val="21"/>
        </w:rPr>
        <w:t>一、调查对象单位基本信息情况表指标说明</w:t>
      </w:r>
    </w:p>
    <w:p>
      <w:pPr>
        <w:adjustRightInd w:val="0"/>
        <w:snapToGrid w:val="0"/>
        <w:spacing w:before="31" w:after="31" w:line="360" w:lineRule="auto"/>
        <w:ind w:firstLine="420" w:firstLineChars="200"/>
        <w:rPr>
          <w:rFonts w:ascii="宋体" w:hAnsi="宋体" w:eastAsia="宋体"/>
          <w:szCs w:val="21"/>
        </w:rPr>
      </w:pPr>
      <w:r>
        <w:rPr>
          <w:rFonts w:hint="eastAsia" w:ascii="黑体" w:eastAsia="黑体"/>
          <w:kern w:val="0"/>
          <w:szCs w:val="21"/>
        </w:rPr>
        <w:t>T0101-T0102</w:t>
      </w:r>
      <w:r>
        <w:rPr>
          <w:rFonts w:hint="eastAsia" w:ascii="黑体" w:hAnsi="宋体" w:eastAsia="黑体"/>
          <w:szCs w:val="21"/>
        </w:rPr>
        <w:t>.调查对象单位名称和组织机构代码：</w:t>
      </w:r>
      <w:r>
        <w:rPr>
          <w:rFonts w:hint="eastAsia" w:ascii="宋体" w:hAnsi="宋体" w:eastAsia="宋体"/>
          <w:szCs w:val="21"/>
        </w:rPr>
        <w:t>指国家质量监督检验检疫总局全国组织机构代码管理中心颁发的《组织机构代码证》上的名称和组织机构代码。</w:t>
      </w:r>
    </w:p>
    <w:p>
      <w:pPr>
        <w:adjustRightInd w:val="0"/>
        <w:snapToGrid w:val="0"/>
        <w:spacing w:before="31" w:after="31" w:line="360" w:lineRule="auto"/>
        <w:ind w:firstLine="420" w:firstLineChars="200"/>
        <w:rPr>
          <w:rFonts w:ascii="宋体" w:hAnsi="宋体" w:eastAsia="宋体"/>
          <w:szCs w:val="21"/>
        </w:rPr>
      </w:pPr>
      <w:r>
        <w:rPr>
          <w:rFonts w:hint="eastAsia" w:ascii="黑体" w:eastAsia="黑体"/>
          <w:kern w:val="0"/>
          <w:szCs w:val="21"/>
        </w:rPr>
        <w:t>T0103</w:t>
      </w:r>
      <w:r>
        <w:rPr>
          <w:rFonts w:hint="eastAsia" w:ascii="黑体" w:hAnsi="宋体" w:eastAsia="黑体"/>
          <w:szCs w:val="21"/>
        </w:rPr>
        <w:t>.所属外汇局代码及名称：</w:t>
      </w:r>
      <w:r>
        <w:rPr>
          <w:rFonts w:hint="eastAsia" w:ascii="宋体" w:hAnsi="宋体" w:eastAsia="宋体"/>
          <w:szCs w:val="21"/>
        </w:rPr>
        <w:t>指调查对象所在地外汇分支局的6位代码及名称。</w:t>
      </w:r>
    </w:p>
    <w:p>
      <w:pPr>
        <w:adjustRightInd w:val="0"/>
        <w:snapToGrid w:val="0"/>
        <w:spacing w:before="31" w:after="31" w:line="360" w:lineRule="auto"/>
        <w:ind w:firstLine="420" w:firstLineChars="200"/>
        <w:rPr>
          <w:rFonts w:ascii="宋体" w:hAnsi="宋体" w:eastAsia="宋体"/>
          <w:szCs w:val="21"/>
        </w:rPr>
      </w:pPr>
      <w:r>
        <w:rPr>
          <w:rFonts w:hint="eastAsia" w:ascii="黑体" w:eastAsia="黑体"/>
          <w:kern w:val="0"/>
          <w:szCs w:val="21"/>
        </w:rPr>
        <w:t>T0104</w:t>
      </w:r>
      <w:r>
        <w:rPr>
          <w:rFonts w:hint="eastAsia" w:ascii="黑体" w:hAnsi="宋体" w:eastAsia="黑体"/>
          <w:szCs w:val="21"/>
        </w:rPr>
        <w:t>.企业海关代码：</w:t>
      </w:r>
      <w:r>
        <w:rPr>
          <w:rFonts w:hint="eastAsia" w:ascii="宋体" w:hAnsi="宋体" w:eastAsia="宋体"/>
          <w:szCs w:val="21"/>
        </w:rPr>
        <w:t>指调查对象在海关办理进出口业务采用10位海关注册编码。</w:t>
      </w:r>
    </w:p>
    <w:p>
      <w:pPr>
        <w:adjustRightInd w:val="0"/>
        <w:snapToGrid w:val="0"/>
        <w:spacing w:before="31" w:after="31" w:line="360" w:lineRule="auto"/>
        <w:ind w:firstLine="420" w:firstLineChars="200"/>
        <w:rPr>
          <w:rFonts w:ascii="宋体" w:hAnsi="宋体" w:eastAsia="宋体"/>
          <w:szCs w:val="21"/>
        </w:rPr>
      </w:pPr>
      <w:r>
        <w:rPr>
          <w:rFonts w:hint="eastAsia" w:ascii="黑体" w:eastAsia="黑体"/>
          <w:kern w:val="0"/>
          <w:szCs w:val="21"/>
        </w:rPr>
        <w:t>T0105-T0106</w:t>
      </w:r>
      <w:r>
        <w:rPr>
          <w:rFonts w:hint="eastAsia" w:ascii="黑体" w:hAnsi="宋体" w:eastAsia="黑体"/>
          <w:szCs w:val="21"/>
        </w:rPr>
        <w:t>.单位地址和邮政编码：</w:t>
      </w:r>
      <w:r>
        <w:rPr>
          <w:rFonts w:hint="eastAsia" w:ascii="宋体" w:hAnsi="宋体" w:eastAsia="宋体"/>
          <w:szCs w:val="21"/>
        </w:rPr>
        <w:t>指调查对象的注册地址和邮政编码。</w:t>
      </w:r>
    </w:p>
    <w:p>
      <w:pPr>
        <w:adjustRightInd w:val="0"/>
        <w:snapToGrid w:val="0"/>
        <w:spacing w:before="31" w:after="31" w:line="360" w:lineRule="auto"/>
        <w:ind w:firstLine="420" w:firstLineChars="200"/>
        <w:rPr>
          <w:rFonts w:ascii="宋体" w:hAnsi="宋体" w:eastAsia="宋体"/>
          <w:szCs w:val="21"/>
        </w:rPr>
      </w:pPr>
      <w:r>
        <w:rPr>
          <w:rFonts w:hint="eastAsia" w:ascii="黑体" w:eastAsia="黑体"/>
          <w:kern w:val="0"/>
          <w:szCs w:val="21"/>
        </w:rPr>
        <w:t>T0107</w:t>
      </w:r>
      <w:r>
        <w:rPr>
          <w:rFonts w:hint="eastAsia" w:ascii="黑体" w:hAnsi="宋体" w:eastAsia="黑体"/>
          <w:szCs w:val="21"/>
        </w:rPr>
        <w:t>.经济类型及代码：</w:t>
      </w:r>
      <w:r>
        <w:rPr>
          <w:rFonts w:hint="eastAsia" w:ascii="宋体" w:hAnsi="宋体" w:eastAsia="宋体"/>
          <w:szCs w:val="21"/>
        </w:rPr>
        <w:t>调查对象的经济类型按照《经济类型分类与代码》（GB/T12402-2000）标准进行填报。</w:t>
      </w:r>
    </w:p>
    <w:p>
      <w:pPr>
        <w:adjustRightInd w:val="0"/>
        <w:snapToGrid w:val="0"/>
        <w:spacing w:before="31" w:after="31" w:line="360" w:lineRule="auto"/>
        <w:ind w:firstLine="412" w:firstLineChars="196"/>
        <w:rPr>
          <w:rFonts w:ascii="宋体" w:hAnsi="宋体" w:eastAsia="宋体"/>
          <w:szCs w:val="21"/>
        </w:rPr>
      </w:pPr>
      <w:r>
        <w:rPr>
          <w:rFonts w:hint="eastAsia" w:ascii="黑体" w:eastAsia="黑体"/>
          <w:kern w:val="0"/>
          <w:szCs w:val="21"/>
        </w:rPr>
        <w:t>T0108</w:t>
      </w:r>
      <w:r>
        <w:rPr>
          <w:rFonts w:hint="eastAsia" w:ascii="黑体" w:hAnsi="宋体" w:eastAsia="黑体"/>
          <w:szCs w:val="21"/>
        </w:rPr>
        <w:t>.行业属性代码及名称：</w:t>
      </w:r>
      <w:r>
        <w:rPr>
          <w:rFonts w:hint="eastAsia" w:ascii="宋体" w:hAnsi="宋体" w:eastAsia="宋体"/>
          <w:szCs w:val="21"/>
        </w:rPr>
        <w:t>根据企业生产或主营进/出口产品类别，按《国民经济行业分类》（GB/T4754－2011）标准，确定行业属性的代码及名称。</w:t>
      </w:r>
    </w:p>
    <w:p>
      <w:pPr>
        <w:adjustRightInd w:val="0"/>
        <w:snapToGrid w:val="0"/>
        <w:spacing w:before="31" w:after="31" w:line="360" w:lineRule="auto"/>
        <w:ind w:firstLine="412" w:firstLineChars="196"/>
        <w:rPr>
          <w:rFonts w:ascii="黑体" w:hAnsi="宋体" w:eastAsia="黑体"/>
          <w:szCs w:val="21"/>
        </w:rPr>
      </w:pPr>
      <w:r>
        <w:rPr>
          <w:rFonts w:hint="eastAsia" w:ascii="黑体" w:eastAsia="黑体"/>
          <w:kern w:val="0"/>
          <w:szCs w:val="21"/>
        </w:rPr>
        <w:t>T0109</w:t>
      </w:r>
      <w:r>
        <w:rPr>
          <w:rFonts w:hint="eastAsia" w:ascii="黑体" w:hAnsi="宋体" w:eastAsia="黑体"/>
          <w:szCs w:val="21"/>
        </w:rPr>
        <w:t>.主要贸易方式：</w:t>
      </w:r>
      <w:r>
        <w:rPr>
          <w:rFonts w:hint="eastAsia" w:ascii="宋体" w:hAnsi="宋体" w:eastAsia="宋体"/>
          <w:szCs w:val="21"/>
        </w:rPr>
        <w:t>指一般贸易、进料加工贸易、其他贸易。</w:t>
      </w:r>
    </w:p>
    <w:p>
      <w:pPr>
        <w:adjustRightInd w:val="0"/>
        <w:snapToGrid w:val="0"/>
        <w:spacing w:before="31" w:after="31" w:line="360" w:lineRule="auto"/>
        <w:ind w:firstLine="412" w:firstLineChars="196"/>
        <w:rPr>
          <w:rFonts w:ascii="黑体" w:hAnsi="宋体" w:eastAsia="黑体"/>
          <w:szCs w:val="21"/>
        </w:rPr>
      </w:pPr>
      <w:r>
        <w:rPr>
          <w:rFonts w:hint="eastAsia" w:ascii="黑体" w:eastAsia="黑体"/>
          <w:kern w:val="0"/>
          <w:szCs w:val="21"/>
        </w:rPr>
        <w:t>T0110</w:t>
      </w:r>
      <w:r>
        <w:rPr>
          <w:rFonts w:hint="eastAsia" w:ascii="黑体" w:hAnsi="宋体" w:eastAsia="黑体"/>
          <w:szCs w:val="21"/>
        </w:rPr>
        <w:t>.主营产品：</w:t>
      </w:r>
      <w:r>
        <w:rPr>
          <w:rFonts w:hint="eastAsia" w:ascii="宋体" w:hAnsi="宋体" w:eastAsia="宋体"/>
          <w:szCs w:val="21"/>
        </w:rPr>
        <w:t>指调查对象主营的进出口产品的名称。</w:t>
      </w:r>
    </w:p>
    <w:p>
      <w:pPr>
        <w:adjustRightInd w:val="0"/>
        <w:snapToGrid w:val="0"/>
        <w:spacing w:before="31" w:after="31" w:line="360" w:lineRule="auto"/>
        <w:ind w:firstLine="412" w:firstLineChars="196"/>
        <w:rPr>
          <w:rFonts w:ascii="黑体" w:hAnsi="宋体" w:eastAsia="黑体"/>
          <w:szCs w:val="21"/>
        </w:rPr>
      </w:pPr>
      <w:r>
        <w:rPr>
          <w:rFonts w:hint="eastAsia" w:ascii="黑体" w:eastAsia="黑体"/>
          <w:kern w:val="0"/>
          <w:szCs w:val="21"/>
        </w:rPr>
        <w:t>T0111.</w:t>
      </w:r>
      <w:r>
        <w:rPr>
          <w:rFonts w:hint="eastAsia" w:ascii="黑体" w:hAnsi="宋体" w:eastAsia="黑体"/>
          <w:szCs w:val="21"/>
        </w:rPr>
        <w:t>主要出口国家及地区：</w:t>
      </w:r>
      <w:r>
        <w:rPr>
          <w:rFonts w:hint="eastAsia" w:ascii="宋体" w:hAnsi="宋体" w:eastAsia="宋体"/>
          <w:szCs w:val="21"/>
        </w:rPr>
        <w:t>指调查对象出口货物的主要交易对方所属国家及地区。</w:t>
      </w:r>
    </w:p>
    <w:p>
      <w:pPr>
        <w:adjustRightInd w:val="0"/>
        <w:snapToGrid w:val="0"/>
        <w:spacing w:before="31" w:after="31" w:line="360" w:lineRule="auto"/>
        <w:ind w:firstLine="412" w:firstLineChars="196"/>
        <w:rPr>
          <w:rFonts w:ascii="黑体" w:hAnsi="宋体" w:eastAsia="黑体"/>
          <w:szCs w:val="21"/>
        </w:rPr>
      </w:pPr>
      <w:r>
        <w:rPr>
          <w:rFonts w:hint="eastAsia" w:ascii="黑体" w:eastAsia="黑体"/>
          <w:kern w:val="0"/>
          <w:szCs w:val="21"/>
        </w:rPr>
        <w:t>T0112</w:t>
      </w:r>
      <w:r>
        <w:rPr>
          <w:rFonts w:hint="eastAsia" w:ascii="黑体" w:hAnsi="宋体" w:eastAsia="黑体"/>
          <w:szCs w:val="21"/>
        </w:rPr>
        <w:t>.主要</w:t>
      </w:r>
      <w:r>
        <w:rPr>
          <w:rFonts w:ascii="黑体" w:hAnsi="宋体" w:eastAsia="黑体"/>
          <w:szCs w:val="21"/>
        </w:rPr>
        <w:t>进</w:t>
      </w:r>
      <w:r>
        <w:rPr>
          <w:rFonts w:hint="eastAsia" w:ascii="黑体" w:hAnsi="宋体" w:eastAsia="黑体"/>
          <w:szCs w:val="21"/>
        </w:rPr>
        <w:t>口国家及地区：</w:t>
      </w:r>
      <w:r>
        <w:rPr>
          <w:rFonts w:hint="eastAsia" w:ascii="宋体" w:hAnsi="宋体" w:eastAsia="宋体"/>
          <w:szCs w:val="21"/>
        </w:rPr>
        <w:t>指调查对象进口货物的主要交易对方所属国家及地区。</w:t>
      </w:r>
    </w:p>
    <w:p>
      <w:pPr>
        <w:adjustRightInd w:val="0"/>
        <w:snapToGrid w:val="0"/>
        <w:spacing w:before="31" w:after="31" w:line="360" w:lineRule="auto"/>
        <w:ind w:firstLine="412" w:firstLineChars="196"/>
        <w:rPr>
          <w:rFonts w:ascii="黑体" w:hAnsi="宋体" w:eastAsia="黑体"/>
          <w:szCs w:val="21"/>
        </w:rPr>
      </w:pPr>
      <w:r>
        <w:rPr>
          <w:rFonts w:hint="eastAsia" w:ascii="黑体" w:hAnsi="宋体" w:eastAsia="黑体"/>
          <w:szCs w:val="21"/>
        </w:rPr>
        <w:t>T0113-T0115.企业联系人、电话及手机：</w:t>
      </w:r>
      <w:r>
        <w:rPr>
          <w:rFonts w:hint="eastAsia" w:ascii="宋体" w:hAnsi="宋体" w:eastAsia="宋体"/>
          <w:szCs w:val="21"/>
        </w:rPr>
        <w:t>指调查对象负责贸易信贷调查事项的联系人及其联系方式。</w:t>
      </w:r>
    </w:p>
    <w:p>
      <w:pPr>
        <w:adjustRightInd w:val="0"/>
        <w:snapToGrid w:val="0"/>
        <w:spacing w:before="31" w:after="31" w:line="360" w:lineRule="auto"/>
        <w:ind w:firstLine="412" w:firstLineChars="196"/>
        <w:rPr>
          <w:rFonts w:ascii="黑体" w:hAnsi="宋体" w:eastAsia="黑体"/>
          <w:szCs w:val="21"/>
        </w:rPr>
      </w:pPr>
      <w:r>
        <w:rPr>
          <w:rFonts w:hint="eastAsia" w:ascii="黑体" w:hAnsi="宋体" w:eastAsia="黑体"/>
          <w:szCs w:val="21"/>
        </w:rPr>
        <w:t>T0116-T0120.贸易信贷申报表填报人、电话、手机、传真及电子邮件：</w:t>
      </w:r>
      <w:r>
        <w:rPr>
          <w:rFonts w:hint="eastAsia" w:ascii="宋体" w:hAnsi="宋体" w:eastAsia="宋体"/>
          <w:szCs w:val="21"/>
        </w:rPr>
        <w:t>指调查对象负责具体填报贸易信贷申报表的人员及其联系方式。</w:t>
      </w:r>
    </w:p>
    <w:p>
      <w:pPr>
        <w:adjustRightInd w:val="0"/>
        <w:snapToGrid w:val="0"/>
        <w:spacing w:before="31" w:after="31" w:line="360" w:lineRule="auto"/>
        <w:ind w:firstLine="422" w:firstLineChars="200"/>
        <w:rPr>
          <w:rFonts w:ascii="宋体" w:hAnsi="宋体" w:eastAsia="宋体"/>
          <w:b/>
          <w:szCs w:val="21"/>
        </w:rPr>
      </w:pPr>
      <w:r>
        <w:rPr>
          <w:rFonts w:hint="eastAsia" w:ascii="宋体" w:hAnsi="宋体" w:eastAsia="宋体"/>
          <w:b/>
          <w:szCs w:val="21"/>
        </w:rPr>
        <w:t>二、出口样本企业贸易信贷申报表指标说明</w:t>
      </w:r>
    </w:p>
    <w:p>
      <w:pPr>
        <w:adjustRightInd w:val="0"/>
        <w:snapToGrid w:val="0"/>
        <w:spacing w:before="31" w:after="31" w:line="360" w:lineRule="auto"/>
        <w:ind w:firstLine="420" w:firstLineChars="200"/>
        <w:rPr>
          <w:rFonts w:ascii="宋体" w:hAnsi="宋体" w:eastAsia="宋体"/>
          <w:szCs w:val="21"/>
        </w:rPr>
      </w:pPr>
      <w:r>
        <w:rPr>
          <w:rFonts w:hint="eastAsia" w:ascii="黑体" w:hAnsi="宋体" w:eastAsia="黑体"/>
          <w:szCs w:val="21"/>
        </w:rPr>
        <w:t>100.当期出口总额：</w:t>
      </w:r>
      <w:r>
        <w:rPr>
          <w:rFonts w:hint="eastAsia" w:ascii="宋体" w:hAnsi="宋体" w:eastAsia="宋体"/>
          <w:szCs w:val="21"/>
        </w:rPr>
        <w:t>指调查对象当期会计账上记录的货物向境外出口金额。相关指标满足如下等式关系：当期账面出口总额-当期账面出口总额中无需收款的金额=当期收入的出口货款金额+（期末账面出口应收款余额-上期末账面出口应收款余额）-（</w:t>
      </w:r>
      <w:r>
        <w:rPr>
          <w:rFonts w:ascii="宋体" w:hAnsi="宋体" w:eastAsia="宋体"/>
          <w:szCs w:val="21"/>
        </w:rPr>
        <w:t>期末</w:t>
      </w:r>
      <w:r>
        <w:rPr>
          <w:rFonts w:hint="eastAsia" w:ascii="宋体" w:hAnsi="宋体" w:eastAsia="宋体"/>
          <w:szCs w:val="21"/>
        </w:rPr>
        <w:t>账面</w:t>
      </w:r>
      <w:r>
        <w:rPr>
          <w:rFonts w:ascii="宋体" w:hAnsi="宋体" w:eastAsia="宋体"/>
          <w:szCs w:val="21"/>
        </w:rPr>
        <w:t>出口预收款余额</w:t>
      </w:r>
      <w:r>
        <w:rPr>
          <w:rFonts w:hint="eastAsia" w:ascii="宋体" w:hAnsi="宋体" w:eastAsia="宋体"/>
          <w:szCs w:val="21"/>
        </w:rPr>
        <w:t>-上期</w:t>
      </w:r>
      <w:r>
        <w:rPr>
          <w:rFonts w:ascii="宋体" w:hAnsi="宋体" w:eastAsia="宋体"/>
          <w:szCs w:val="21"/>
        </w:rPr>
        <w:t>末</w:t>
      </w:r>
      <w:r>
        <w:rPr>
          <w:rFonts w:hint="eastAsia" w:ascii="宋体" w:hAnsi="宋体" w:eastAsia="宋体"/>
          <w:szCs w:val="21"/>
        </w:rPr>
        <w:t>账面</w:t>
      </w:r>
      <w:r>
        <w:rPr>
          <w:rFonts w:ascii="宋体" w:hAnsi="宋体" w:eastAsia="宋体"/>
          <w:szCs w:val="21"/>
        </w:rPr>
        <w:t>出口预收款余额</w:t>
      </w:r>
      <w:r>
        <w:rPr>
          <w:rFonts w:hint="eastAsia" w:ascii="宋体" w:hAnsi="宋体" w:eastAsia="宋体"/>
          <w:szCs w:val="21"/>
        </w:rPr>
        <w:t>）。</w:t>
      </w:r>
    </w:p>
    <w:p>
      <w:pPr>
        <w:adjustRightInd w:val="0"/>
        <w:snapToGrid w:val="0"/>
        <w:spacing w:before="31" w:after="31" w:line="360" w:lineRule="auto"/>
        <w:ind w:firstLine="420" w:firstLineChars="200"/>
        <w:rPr>
          <w:rFonts w:ascii="宋体" w:hAnsi="宋体" w:cs="宋体"/>
          <w:szCs w:val="21"/>
        </w:rPr>
      </w:pPr>
      <w:r>
        <w:rPr>
          <w:rFonts w:hint="eastAsia" w:ascii="黑体" w:hAnsi="宋体" w:eastAsia="黑体"/>
          <w:szCs w:val="21"/>
        </w:rPr>
        <w:t>110.当期出口总额 其中：离岸转手买卖出口额</w:t>
      </w:r>
      <w:r>
        <w:rPr>
          <w:rFonts w:hint="eastAsia" w:ascii="宋体" w:hAnsi="宋体" w:eastAsia="宋体"/>
          <w:szCs w:val="21"/>
        </w:rPr>
        <w:t>：指当期货物出口中离岸转手买卖出口的金额。离岸转手买卖是指</w:t>
      </w:r>
      <w:r>
        <w:rPr>
          <w:rFonts w:hint="eastAsia" w:ascii="宋体" w:hAnsi="宋体" w:cs="宋体"/>
          <w:szCs w:val="21"/>
        </w:rPr>
        <w:t>我国居民从非居民处购买货物，随后向另一非居民转售同一货物，而货物未进出我国关境(包括海关特殊监管区域)的交易。</w:t>
      </w:r>
    </w:p>
    <w:p>
      <w:pPr>
        <w:adjustRightInd w:val="0"/>
        <w:snapToGrid w:val="0"/>
        <w:spacing w:before="31" w:after="31" w:line="360" w:lineRule="auto"/>
        <w:ind w:firstLine="420" w:firstLineChars="200"/>
        <w:rPr>
          <w:rFonts w:ascii="宋体" w:hAnsi="宋体" w:eastAsia="宋体"/>
          <w:color w:val="FF0000"/>
          <w:szCs w:val="21"/>
        </w:rPr>
      </w:pPr>
      <w:r>
        <w:rPr>
          <w:rFonts w:hint="eastAsia" w:ascii="黑体" w:hAnsi="宋体" w:eastAsia="黑体" w:cs="宋体"/>
          <w:szCs w:val="21"/>
        </w:rPr>
        <w:t>200.当期收入的出口货款金额</w:t>
      </w:r>
      <w:r>
        <w:rPr>
          <w:rFonts w:hint="eastAsia" w:ascii="宋体" w:hAnsi="宋体" w:cs="宋体"/>
          <w:szCs w:val="21"/>
        </w:rPr>
        <w:t>：指调查对象当期收到入账的出口货款。</w:t>
      </w:r>
    </w:p>
    <w:p>
      <w:pPr>
        <w:adjustRightInd w:val="0"/>
        <w:snapToGrid w:val="0"/>
        <w:spacing w:before="31" w:after="31" w:line="360" w:lineRule="auto"/>
        <w:ind w:firstLine="420" w:firstLineChars="200"/>
        <w:rPr>
          <w:rFonts w:ascii="宋体" w:hAnsi="宋体" w:eastAsia="宋体"/>
          <w:szCs w:val="21"/>
        </w:rPr>
      </w:pPr>
      <w:r>
        <w:rPr>
          <w:rFonts w:hint="eastAsia" w:ascii="黑体" w:hAnsi="宋体" w:eastAsia="黑体"/>
          <w:szCs w:val="21"/>
        </w:rPr>
        <w:t>300.期末账面出口应收款余额：</w:t>
      </w:r>
      <w:r>
        <w:rPr>
          <w:rFonts w:hint="eastAsia" w:ascii="宋体" w:hAnsi="宋体" w:eastAsia="宋体"/>
          <w:szCs w:val="21"/>
        </w:rPr>
        <w:t>指调查期末，调查对象已贷记货物出口，但未收到对应货款的余额。</w:t>
      </w:r>
    </w:p>
    <w:p>
      <w:pPr>
        <w:adjustRightInd w:val="0"/>
        <w:snapToGrid w:val="0"/>
        <w:spacing w:before="31" w:after="31" w:line="360" w:lineRule="auto"/>
        <w:ind w:firstLine="420" w:firstLineChars="200"/>
        <w:rPr>
          <w:rFonts w:ascii="宋体" w:hAnsi="宋体" w:eastAsia="宋体"/>
          <w:szCs w:val="21"/>
        </w:rPr>
      </w:pPr>
      <w:r>
        <w:rPr>
          <w:rFonts w:hint="eastAsia" w:ascii="黑体" w:hAnsi="宋体" w:eastAsia="黑体"/>
          <w:szCs w:val="21"/>
        </w:rPr>
        <w:t>301.期末账面出口应收款余额 其中：一年以上：</w:t>
      </w:r>
      <w:r>
        <w:rPr>
          <w:rFonts w:hint="eastAsia" w:ascii="宋体" w:hAnsi="宋体" w:eastAsia="宋体"/>
          <w:szCs w:val="21"/>
        </w:rPr>
        <w:t>指调查期末，调查对象的应收款账期（按原始期限，即从确认为应收款到实际收回的时间）在一年以上的那部分出口应收款余额。</w:t>
      </w:r>
    </w:p>
    <w:p>
      <w:pPr>
        <w:adjustRightInd w:val="0"/>
        <w:snapToGrid w:val="0"/>
        <w:spacing w:before="31" w:after="31" w:line="360" w:lineRule="auto"/>
        <w:ind w:firstLine="420" w:firstLineChars="200"/>
        <w:rPr>
          <w:rFonts w:ascii="黑体" w:hAnsi="宋体" w:eastAsia="黑体"/>
          <w:szCs w:val="21"/>
        </w:rPr>
      </w:pPr>
      <w:r>
        <w:rPr>
          <w:rFonts w:hint="eastAsia" w:ascii="黑体" w:hAnsi="宋体" w:eastAsia="黑体"/>
          <w:szCs w:val="21"/>
        </w:rPr>
        <w:t>310.期末账面出口应收款余额 其中：离岸转手买卖出口应收款余额：</w:t>
      </w:r>
      <w:r>
        <w:rPr>
          <w:rFonts w:hint="eastAsia" w:ascii="宋体" w:hAnsi="宋体" w:eastAsia="宋体"/>
          <w:szCs w:val="21"/>
        </w:rPr>
        <w:t>指调查期末，调查对象已贷记离岸转手买卖货物出口，但未收到对应货款的余额。</w:t>
      </w:r>
    </w:p>
    <w:p>
      <w:pPr>
        <w:pStyle w:val="10"/>
        <w:adjustRightInd w:val="0"/>
        <w:snapToGrid w:val="0"/>
        <w:spacing w:before="31" w:after="31" w:line="360" w:lineRule="auto"/>
        <w:ind w:left="0" w:leftChars="0" w:firstLine="420"/>
        <w:rPr>
          <w:rFonts w:ascii="宋体" w:hAnsi="宋体" w:eastAsia="宋体"/>
          <w:szCs w:val="21"/>
        </w:rPr>
      </w:pPr>
      <w:r>
        <w:rPr>
          <w:rFonts w:hint="eastAsia" w:ascii="黑体" w:hAnsi="宋体" w:eastAsia="黑体"/>
          <w:szCs w:val="21"/>
        </w:rPr>
        <w:t>320.期末账面出口应收款余额 其中：对关联企业的出口应收款余额：</w:t>
      </w:r>
      <w:r>
        <w:rPr>
          <w:rFonts w:hint="eastAsia" w:ascii="宋体" w:hAnsi="宋体" w:eastAsia="宋体"/>
          <w:szCs w:val="21"/>
        </w:rPr>
        <w:t>指调查期末，调查对象对其境外母公司（即是本机构的境外直接投资者，即持有本机构表决权≥</w:t>
      </w:r>
      <w:r>
        <w:rPr>
          <w:rFonts w:ascii="宋体" w:hAnsi="宋体" w:eastAsia="宋体"/>
          <w:szCs w:val="21"/>
        </w:rPr>
        <w:t>10%</w:t>
      </w:r>
      <w:r>
        <w:rPr>
          <w:rFonts w:hint="eastAsia" w:ascii="宋体" w:hAnsi="宋体" w:eastAsia="宋体"/>
          <w:szCs w:val="21"/>
        </w:rPr>
        <w:t>）、子公司（</w:t>
      </w:r>
      <w:r>
        <w:rPr>
          <w:rFonts w:hint="eastAsia" w:ascii="宋体" w:hAnsi="宋体" w:eastAsia="宋体"/>
        </w:rPr>
        <w:t>是本机构的境外直接投资企业，即本机构持有表决权在10%及以上的境外分支机构、子机构、联营机构或合营机构）</w:t>
      </w:r>
      <w:r>
        <w:rPr>
          <w:rFonts w:hint="eastAsia" w:ascii="宋体" w:hAnsi="宋体" w:eastAsia="宋体"/>
          <w:szCs w:val="21"/>
        </w:rPr>
        <w:t>或联属企业（</w:t>
      </w:r>
      <w:r>
        <w:rPr>
          <w:rFonts w:hint="eastAsia" w:ascii="宋体" w:hAnsi="宋体" w:eastAsia="宋体"/>
        </w:rPr>
        <w:t>是本机构的境外联属机构，即双方有共同母公司，但相互持有表决权＜</w:t>
      </w:r>
      <w:r>
        <w:rPr>
          <w:rFonts w:ascii="宋体" w:hAnsi="宋体" w:eastAsia="宋体"/>
        </w:rPr>
        <w:t>10%</w:t>
      </w:r>
      <w:r>
        <w:rPr>
          <w:rFonts w:hint="eastAsia" w:ascii="宋体" w:hAnsi="宋体" w:eastAsia="宋体"/>
        </w:rPr>
        <w:t>或相互不持有表决权）</w:t>
      </w:r>
      <w:r>
        <w:rPr>
          <w:rFonts w:hint="eastAsia" w:ascii="宋体" w:hAnsi="宋体" w:eastAsia="宋体"/>
          <w:szCs w:val="21"/>
        </w:rPr>
        <w:t>的出口应收款余额。调查对象可根据对关联企业的出口量占比等估算此项目。</w:t>
      </w:r>
    </w:p>
    <w:p>
      <w:pPr>
        <w:pStyle w:val="10"/>
        <w:adjustRightInd w:val="0"/>
        <w:snapToGrid w:val="0"/>
        <w:spacing w:before="31" w:after="31" w:line="360" w:lineRule="auto"/>
        <w:ind w:left="0" w:leftChars="0"/>
        <w:rPr>
          <w:rFonts w:ascii="宋体" w:hAnsi="宋体" w:eastAsia="宋体"/>
          <w:szCs w:val="21"/>
        </w:rPr>
      </w:pPr>
      <w:r>
        <w:rPr>
          <w:rFonts w:hint="eastAsia" w:ascii="黑体" w:hAnsi="宋体" w:eastAsia="黑体"/>
          <w:szCs w:val="21"/>
        </w:rPr>
        <w:t xml:space="preserve">    400.期末账面出口预收款余额：</w:t>
      </w:r>
      <w:r>
        <w:rPr>
          <w:rFonts w:hint="eastAsia" w:ascii="宋体" w:hAnsi="宋体" w:eastAsia="宋体"/>
          <w:szCs w:val="21"/>
        </w:rPr>
        <w:t>指调查期末，调查对象尚未贷记货物出口，但已收到境外进口商的货款余额。</w:t>
      </w:r>
    </w:p>
    <w:p>
      <w:pPr>
        <w:pStyle w:val="10"/>
        <w:adjustRightInd w:val="0"/>
        <w:snapToGrid w:val="0"/>
        <w:spacing w:before="31" w:after="31" w:line="360" w:lineRule="auto"/>
        <w:ind w:left="0" w:leftChars="0" w:firstLine="420"/>
        <w:rPr>
          <w:rFonts w:ascii="宋体" w:hAnsi="宋体" w:eastAsia="宋体"/>
          <w:szCs w:val="21"/>
        </w:rPr>
      </w:pPr>
      <w:r>
        <w:rPr>
          <w:rFonts w:hint="eastAsia" w:ascii="黑体" w:hAnsi="宋体" w:eastAsia="黑体"/>
          <w:szCs w:val="21"/>
        </w:rPr>
        <w:t>401.期末账面出口预收款余额 其中：一年以上：</w:t>
      </w:r>
      <w:r>
        <w:rPr>
          <w:rFonts w:hint="eastAsia" w:ascii="宋体" w:hAnsi="宋体" w:eastAsia="宋体"/>
          <w:szCs w:val="21"/>
        </w:rPr>
        <w:t>指调查期末，调查对象的预收款账期（按原始期限，即从确认预收款到实际贷记货物出口的时间）在一年以上的那部分出口预收款余额。</w:t>
      </w:r>
    </w:p>
    <w:p>
      <w:pPr>
        <w:pStyle w:val="10"/>
        <w:adjustRightInd w:val="0"/>
        <w:snapToGrid w:val="0"/>
        <w:spacing w:before="31" w:after="31" w:line="360" w:lineRule="auto"/>
        <w:ind w:left="0" w:leftChars="0"/>
        <w:rPr>
          <w:rFonts w:ascii="黑体" w:hAnsi="宋体" w:eastAsia="黑体"/>
          <w:szCs w:val="21"/>
        </w:rPr>
      </w:pPr>
      <w:r>
        <w:rPr>
          <w:rFonts w:hint="eastAsia" w:ascii="黑体" w:hAnsi="宋体" w:eastAsia="黑体"/>
          <w:szCs w:val="21"/>
        </w:rPr>
        <w:t xml:space="preserve">    410.期末账面出口预收款余额 其中：转手买卖出口预收款余额：</w:t>
      </w:r>
      <w:r>
        <w:rPr>
          <w:rFonts w:hint="eastAsia" w:ascii="宋体" w:hAnsi="宋体" w:eastAsia="宋体"/>
          <w:szCs w:val="21"/>
        </w:rPr>
        <w:t>指调查期末，调查对象尚未贷记货物出口，但已收到境外进口商的货款余额。</w:t>
      </w:r>
    </w:p>
    <w:p>
      <w:pPr>
        <w:pStyle w:val="10"/>
        <w:adjustRightInd w:val="0"/>
        <w:snapToGrid w:val="0"/>
        <w:spacing w:before="31" w:after="31" w:line="360" w:lineRule="auto"/>
        <w:ind w:left="0" w:leftChars="0" w:firstLine="420"/>
        <w:rPr>
          <w:rFonts w:ascii="黑体" w:hAnsi="宋体" w:eastAsia="黑体"/>
          <w:szCs w:val="21"/>
        </w:rPr>
      </w:pPr>
      <w:r>
        <w:rPr>
          <w:rFonts w:hint="eastAsia" w:ascii="黑体" w:hAnsi="宋体" w:eastAsia="黑体"/>
          <w:szCs w:val="21"/>
        </w:rPr>
        <w:t>420.期末账面出口预收款余额 其中：对关联企业的出口预收款余额：</w:t>
      </w:r>
      <w:r>
        <w:rPr>
          <w:rFonts w:hint="eastAsia" w:ascii="宋体" w:hAnsi="宋体" w:eastAsia="宋体"/>
          <w:szCs w:val="21"/>
        </w:rPr>
        <w:t>调查对象对其境外母公司（即是本机构的境外直接投资者，即持有本机构表决权≥</w:t>
      </w:r>
      <w:r>
        <w:rPr>
          <w:rFonts w:ascii="宋体" w:hAnsi="宋体" w:eastAsia="宋体"/>
          <w:szCs w:val="21"/>
        </w:rPr>
        <w:t>10%</w:t>
      </w:r>
      <w:r>
        <w:rPr>
          <w:rFonts w:hint="eastAsia" w:ascii="宋体" w:hAnsi="宋体" w:eastAsia="宋体"/>
          <w:szCs w:val="21"/>
        </w:rPr>
        <w:t>）、子公司（</w:t>
      </w:r>
      <w:r>
        <w:rPr>
          <w:rFonts w:hint="eastAsia" w:ascii="宋体" w:hAnsi="宋体" w:eastAsia="宋体"/>
        </w:rPr>
        <w:t>是本机构的境外直接投资企业，即本机构持有表决权在10%及以上的境外分支机构、子机构、联营机构或合营机构）</w:t>
      </w:r>
      <w:r>
        <w:rPr>
          <w:rFonts w:hint="eastAsia" w:ascii="宋体" w:hAnsi="宋体" w:eastAsia="宋体"/>
          <w:szCs w:val="21"/>
        </w:rPr>
        <w:t>或联属企业（</w:t>
      </w:r>
      <w:r>
        <w:rPr>
          <w:rFonts w:hint="eastAsia" w:ascii="宋体" w:hAnsi="宋体" w:eastAsia="宋体"/>
        </w:rPr>
        <w:t>是本机构的境外联属机构，即双方有共同母公司，但相互持有表决权＜</w:t>
      </w:r>
      <w:r>
        <w:rPr>
          <w:rFonts w:ascii="宋体" w:hAnsi="宋体" w:eastAsia="宋体"/>
        </w:rPr>
        <w:t>10%</w:t>
      </w:r>
      <w:r>
        <w:rPr>
          <w:rFonts w:hint="eastAsia" w:ascii="宋体" w:hAnsi="宋体" w:eastAsia="宋体"/>
        </w:rPr>
        <w:t>或相互不持有表决权）</w:t>
      </w:r>
      <w:r>
        <w:rPr>
          <w:rFonts w:hint="eastAsia" w:ascii="宋体" w:hAnsi="宋体" w:eastAsia="宋体"/>
          <w:szCs w:val="21"/>
        </w:rPr>
        <w:t>的出口预收款余额。调查对象可根据对关联企业的出口量占比等估算此项目。</w:t>
      </w:r>
    </w:p>
    <w:p>
      <w:pPr>
        <w:pStyle w:val="10"/>
        <w:adjustRightInd w:val="0"/>
        <w:snapToGrid w:val="0"/>
        <w:spacing w:before="31" w:after="31" w:line="360" w:lineRule="auto"/>
        <w:ind w:left="0" w:leftChars="0" w:firstLine="405"/>
        <w:rPr>
          <w:rFonts w:ascii="黑体" w:hAnsi="宋体" w:eastAsia="黑体"/>
          <w:szCs w:val="21"/>
        </w:rPr>
      </w:pPr>
      <w:r>
        <w:rPr>
          <w:rFonts w:hint="eastAsia" w:ascii="黑体" w:hAnsi="宋体" w:eastAsia="黑体"/>
          <w:szCs w:val="21"/>
        </w:rPr>
        <w:t>500.其他因素导致的当期偏差：</w:t>
      </w:r>
      <w:r>
        <w:rPr>
          <w:rFonts w:hint="eastAsia" w:ascii="宋体" w:hAnsi="宋体" w:eastAsia="宋体"/>
        </w:rPr>
        <w:t>由于</w:t>
      </w:r>
      <w:r>
        <w:rPr>
          <w:rFonts w:hint="eastAsia" w:ascii="宋体" w:hAnsi="宋体"/>
        </w:rPr>
        <w:t>税费、溢短装</w:t>
      </w:r>
      <w:r>
        <w:rPr>
          <w:rFonts w:hint="eastAsia" w:ascii="宋体" w:hAnsi="宋体" w:eastAsia="宋体"/>
        </w:rPr>
        <w:t>、汇率折算</w:t>
      </w:r>
      <w:r>
        <w:rPr>
          <w:rFonts w:hint="eastAsia" w:ascii="宋体" w:hAnsi="宋体"/>
        </w:rPr>
        <w:t>等各类账务处理</w:t>
      </w:r>
      <w:r>
        <w:rPr>
          <w:rFonts w:hint="eastAsia" w:ascii="宋体" w:hAnsi="宋体" w:eastAsia="宋体"/>
        </w:rPr>
        <w:t>导致“当期出口=当期已收货款</w:t>
      </w:r>
      <w:r>
        <w:rPr>
          <w:rFonts w:ascii="宋体" w:hAnsi="宋体" w:eastAsia="宋体"/>
        </w:rPr>
        <w:t>+</w:t>
      </w:r>
      <w:r>
        <w:rPr>
          <w:rFonts w:hint="eastAsia" w:ascii="宋体" w:hAnsi="宋体" w:eastAsia="宋体"/>
        </w:rPr>
        <w:t>当期应收未收变动</w:t>
      </w:r>
      <w:r>
        <w:rPr>
          <w:rFonts w:ascii="宋体" w:hAnsi="宋体" w:eastAsia="宋体"/>
        </w:rPr>
        <w:t>-</w:t>
      </w:r>
      <w:r>
        <w:rPr>
          <w:rFonts w:hint="eastAsia" w:ascii="宋体" w:hAnsi="宋体" w:eastAsia="宋体"/>
        </w:rPr>
        <w:t>当期预收变动”等式不成立的</w:t>
      </w:r>
      <w:r>
        <w:rPr>
          <w:rFonts w:hint="eastAsia" w:ascii="宋体" w:hAnsi="宋体"/>
        </w:rPr>
        <w:t>偏差</w:t>
      </w:r>
      <w:r>
        <w:rPr>
          <w:rFonts w:hint="eastAsia" w:ascii="宋体" w:hAnsi="宋体" w:eastAsia="宋体"/>
        </w:rPr>
        <w:t>（流量）。</w:t>
      </w:r>
      <w:r>
        <w:rPr>
          <w:rFonts w:hint="eastAsia" w:ascii="宋体" w:hAnsi="宋体" w:eastAsia="宋体"/>
          <w:szCs w:val="21"/>
        </w:rPr>
        <w:t>如有此情况，请填写金额并在备注中说明具体情况。</w:t>
      </w:r>
    </w:p>
    <w:p>
      <w:pPr>
        <w:pStyle w:val="10"/>
        <w:adjustRightInd w:val="0"/>
        <w:snapToGrid w:val="0"/>
        <w:spacing w:before="31" w:after="31" w:line="360" w:lineRule="auto"/>
        <w:ind w:left="0" w:leftChars="0" w:firstLine="405"/>
        <w:rPr>
          <w:rFonts w:ascii="宋体" w:hAnsi="宋体" w:eastAsia="宋体"/>
          <w:szCs w:val="21"/>
        </w:rPr>
      </w:pPr>
      <w:r>
        <w:rPr>
          <w:rFonts w:hint="eastAsia" w:ascii="黑体" w:hAnsi="宋体" w:eastAsia="黑体"/>
          <w:szCs w:val="21"/>
        </w:rPr>
        <w:t>600.出口应收款平均周期（单位：天）：</w:t>
      </w:r>
      <w:r>
        <w:rPr>
          <w:rFonts w:hint="eastAsia" w:ascii="宋体" w:hAnsi="宋体" w:eastAsia="宋体"/>
          <w:szCs w:val="21"/>
        </w:rPr>
        <w:t>指调查对象货物出口后，多少天能够收回货款。调查对象应根据自身对近一年的收款账期的估算或经验判断填报本项数据。</w:t>
      </w:r>
    </w:p>
    <w:p>
      <w:pPr>
        <w:adjustRightInd w:val="0"/>
        <w:snapToGrid w:val="0"/>
        <w:spacing w:before="31" w:after="31" w:line="360" w:lineRule="auto"/>
        <w:ind w:firstLine="420"/>
        <w:rPr>
          <w:rFonts w:ascii="宋体" w:hAnsi="宋体" w:eastAsia="宋体"/>
          <w:b/>
          <w:szCs w:val="21"/>
        </w:rPr>
      </w:pPr>
      <w:r>
        <w:rPr>
          <w:rFonts w:hint="eastAsia" w:ascii="宋体" w:hAnsi="宋体" w:eastAsia="宋体"/>
          <w:szCs w:val="21"/>
        </w:rPr>
        <w:t>三</w:t>
      </w:r>
      <w:r>
        <w:rPr>
          <w:rFonts w:hint="eastAsia" w:ascii="宋体" w:hAnsi="宋体" w:eastAsia="宋体"/>
          <w:b/>
          <w:szCs w:val="21"/>
        </w:rPr>
        <w:t>、进口样本企业贸易信贷申报表指标说明</w:t>
      </w:r>
    </w:p>
    <w:p>
      <w:pPr>
        <w:adjustRightInd w:val="0"/>
        <w:snapToGrid w:val="0"/>
        <w:spacing w:before="31" w:after="31" w:line="360" w:lineRule="auto"/>
        <w:ind w:firstLine="420" w:firstLineChars="200"/>
        <w:rPr>
          <w:rFonts w:ascii="宋体" w:hAnsi="宋体" w:eastAsia="宋体"/>
          <w:szCs w:val="21"/>
        </w:rPr>
      </w:pPr>
      <w:r>
        <w:rPr>
          <w:rFonts w:hint="eastAsia" w:ascii="黑体" w:hAnsi="宋体" w:eastAsia="黑体"/>
          <w:szCs w:val="21"/>
        </w:rPr>
        <w:t>100.当期账面进口总额：</w:t>
      </w:r>
      <w:r>
        <w:rPr>
          <w:rFonts w:hint="eastAsia" w:ascii="宋体" w:hAnsi="宋体" w:eastAsia="宋体"/>
          <w:szCs w:val="21"/>
        </w:rPr>
        <w:t>指调查对象当期会计账上记录的货物向境外进口金额。相关指标满足如下等式关系：当期账面进口总额-当期账面进口总额中无需付款的金额=当期支付的进口货款金额+（期末账面进口应付款余额-上期末账面进口应付款余额）-（</w:t>
      </w:r>
      <w:r>
        <w:rPr>
          <w:rFonts w:ascii="宋体" w:hAnsi="宋体" w:eastAsia="宋体"/>
          <w:szCs w:val="21"/>
        </w:rPr>
        <w:t>期末</w:t>
      </w:r>
      <w:r>
        <w:rPr>
          <w:rFonts w:hint="eastAsia" w:ascii="宋体" w:hAnsi="宋体" w:eastAsia="宋体"/>
          <w:szCs w:val="21"/>
        </w:rPr>
        <w:t>账面</w:t>
      </w:r>
      <w:r>
        <w:rPr>
          <w:rFonts w:ascii="宋体" w:hAnsi="宋体" w:eastAsia="宋体"/>
          <w:szCs w:val="21"/>
        </w:rPr>
        <w:t>进口预付款余额</w:t>
      </w:r>
      <w:r>
        <w:rPr>
          <w:rFonts w:hint="eastAsia" w:ascii="宋体" w:hAnsi="宋体" w:eastAsia="宋体"/>
          <w:szCs w:val="21"/>
        </w:rPr>
        <w:t>-上期</w:t>
      </w:r>
      <w:r>
        <w:rPr>
          <w:rFonts w:ascii="宋体" w:hAnsi="宋体" w:eastAsia="宋体"/>
          <w:szCs w:val="21"/>
        </w:rPr>
        <w:t>末</w:t>
      </w:r>
      <w:r>
        <w:rPr>
          <w:rFonts w:hint="eastAsia" w:ascii="宋体" w:hAnsi="宋体" w:eastAsia="宋体"/>
          <w:szCs w:val="21"/>
        </w:rPr>
        <w:t>账面</w:t>
      </w:r>
      <w:r>
        <w:rPr>
          <w:rFonts w:ascii="宋体" w:hAnsi="宋体" w:eastAsia="宋体"/>
          <w:szCs w:val="21"/>
        </w:rPr>
        <w:t>进口预付款余额</w:t>
      </w:r>
      <w:r>
        <w:rPr>
          <w:rFonts w:hint="eastAsia" w:ascii="宋体" w:hAnsi="宋体" w:eastAsia="宋体"/>
          <w:szCs w:val="21"/>
        </w:rPr>
        <w:t>）。</w:t>
      </w:r>
    </w:p>
    <w:p>
      <w:pPr>
        <w:adjustRightInd w:val="0"/>
        <w:snapToGrid w:val="0"/>
        <w:spacing w:before="31" w:after="31" w:line="360" w:lineRule="auto"/>
        <w:ind w:firstLine="420" w:firstLineChars="200"/>
        <w:rPr>
          <w:rFonts w:ascii="宋体" w:hAnsi="宋体" w:cs="宋体"/>
          <w:szCs w:val="21"/>
        </w:rPr>
      </w:pPr>
      <w:r>
        <w:rPr>
          <w:rFonts w:hint="eastAsia" w:ascii="黑体" w:hAnsi="宋体" w:eastAsia="黑体"/>
          <w:szCs w:val="21"/>
        </w:rPr>
        <w:t>110. 当期账面进口总额 其中：离岸转手买卖进口额</w:t>
      </w:r>
      <w:r>
        <w:rPr>
          <w:rFonts w:hint="eastAsia" w:ascii="宋体" w:hAnsi="宋体" w:eastAsia="宋体"/>
          <w:szCs w:val="21"/>
        </w:rPr>
        <w:t>：指当期货物进口中离岸转手买卖进口的金额。离岸转手买卖是指</w:t>
      </w:r>
      <w:r>
        <w:rPr>
          <w:rFonts w:hint="eastAsia" w:ascii="宋体" w:hAnsi="宋体" w:cs="宋体"/>
          <w:szCs w:val="21"/>
        </w:rPr>
        <w:t>我国居民从非居民处购买货物，随后向另一非居民转售同一货物，而货物未进出我国关境(包括海关特殊监管区域)的交易。</w:t>
      </w:r>
    </w:p>
    <w:p>
      <w:pPr>
        <w:adjustRightInd w:val="0"/>
        <w:snapToGrid w:val="0"/>
        <w:spacing w:before="31" w:after="31" w:line="360" w:lineRule="auto"/>
        <w:ind w:firstLine="420" w:firstLineChars="200"/>
        <w:rPr>
          <w:rFonts w:ascii="宋体" w:hAnsi="宋体" w:eastAsia="宋体"/>
          <w:szCs w:val="21"/>
        </w:rPr>
      </w:pPr>
      <w:r>
        <w:rPr>
          <w:rFonts w:hint="eastAsia" w:ascii="黑体" w:hAnsi="宋体" w:eastAsia="黑体" w:cs="宋体"/>
          <w:szCs w:val="21"/>
        </w:rPr>
        <w:t>200.当期支付的进口货款金额</w:t>
      </w:r>
      <w:r>
        <w:rPr>
          <w:rFonts w:hint="eastAsia" w:ascii="宋体" w:hAnsi="宋体" w:cs="宋体"/>
          <w:szCs w:val="21"/>
        </w:rPr>
        <w:t>：指调查对象当期支付的进口货款。</w:t>
      </w:r>
    </w:p>
    <w:p>
      <w:pPr>
        <w:adjustRightInd w:val="0"/>
        <w:snapToGrid w:val="0"/>
        <w:spacing w:before="31" w:after="31" w:line="360" w:lineRule="auto"/>
        <w:ind w:firstLine="420" w:firstLineChars="200"/>
        <w:rPr>
          <w:rFonts w:ascii="宋体" w:hAnsi="宋体" w:eastAsia="宋体"/>
          <w:szCs w:val="21"/>
        </w:rPr>
      </w:pPr>
      <w:r>
        <w:rPr>
          <w:rFonts w:hint="eastAsia" w:ascii="黑体" w:hAnsi="宋体" w:eastAsia="黑体"/>
          <w:szCs w:val="21"/>
        </w:rPr>
        <w:t>300.期末账面进口应付款余额：</w:t>
      </w:r>
      <w:r>
        <w:rPr>
          <w:rFonts w:hint="eastAsia" w:ascii="宋体" w:hAnsi="宋体" w:eastAsia="宋体"/>
          <w:szCs w:val="21"/>
        </w:rPr>
        <w:t>指调查期末，调查对象已借记货物进口，但未支付对应货款的余额。</w:t>
      </w:r>
    </w:p>
    <w:p>
      <w:pPr>
        <w:adjustRightInd w:val="0"/>
        <w:snapToGrid w:val="0"/>
        <w:spacing w:before="31" w:after="31" w:line="360" w:lineRule="auto"/>
        <w:ind w:firstLine="420" w:firstLineChars="200"/>
        <w:rPr>
          <w:rFonts w:ascii="宋体" w:hAnsi="宋体" w:eastAsia="宋体"/>
          <w:szCs w:val="21"/>
        </w:rPr>
      </w:pPr>
      <w:r>
        <w:rPr>
          <w:rFonts w:hint="eastAsia" w:ascii="黑体" w:hAnsi="宋体" w:eastAsia="黑体"/>
          <w:szCs w:val="21"/>
        </w:rPr>
        <w:t>301.期末账面进口应付款余额 其中：一年以上：</w:t>
      </w:r>
      <w:r>
        <w:rPr>
          <w:rFonts w:hint="eastAsia" w:ascii="宋体" w:hAnsi="宋体" w:eastAsia="宋体"/>
          <w:szCs w:val="21"/>
        </w:rPr>
        <w:t>指调查期末，调查对象的应付款账期（按原始期限，即从确认为应付款到实际支付的时间）在一年以上的那部分进口应付款余额。</w:t>
      </w:r>
    </w:p>
    <w:p>
      <w:pPr>
        <w:adjustRightInd w:val="0"/>
        <w:snapToGrid w:val="0"/>
        <w:spacing w:before="31" w:after="31" w:line="360" w:lineRule="auto"/>
        <w:ind w:firstLine="420" w:firstLineChars="200"/>
        <w:rPr>
          <w:rFonts w:ascii="黑体" w:hAnsi="宋体" w:eastAsia="黑体"/>
          <w:szCs w:val="21"/>
        </w:rPr>
      </w:pPr>
      <w:r>
        <w:rPr>
          <w:rFonts w:hint="eastAsia" w:ascii="黑体" w:hAnsi="宋体" w:eastAsia="黑体"/>
          <w:szCs w:val="21"/>
        </w:rPr>
        <w:t>310.期末账面进口应付款余额 其中：离岸转手买卖进口应付款余额：</w:t>
      </w:r>
      <w:r>
        <w:rPr>
          <w:rFonts w:hint="eastAsia" w:ascii="宋体" w:hAnsi="宋体" w:eastAsia="宋体"/>
          <w:szCs w:val="21"/>
        </w:rPr>
        <w:t>指调查期末，调查对象已借记离岸转手买卖货物进口，但未支付对应货款的余额。</w:t>
      </w:r>
    </w:p>
    <w:p>
      <w:pPr>
        <w:pStyle w:val="10"/>
        <w:adjustRightInd w:val="0"/>
        <w:snapToGrid w:val="0"/>
        <w:spacing w:before="31" w:after="31" w:line="360" w:lineRule="auto"/>
        <w:ind w:left="0" w:leftChars="0" w:firstLine="420"/>
        <w:rPr>
          <w:rFonts w:ascii="黑体" w:hAnsi="宋体" w:eastAsia="黑体"/>
          <w:szCs w:val="21"/>
        </w:rPr>
      </w:pPr>
      <w:r>
        <w:rPr>
          <w:rFonts w:hint="eastAsia" w:ascii="黑体" w:hAnsi="宋体" w:eastAsia="黑体"/>
          <w:szCs w:val="21"/>
        </w:rPr>
        <w:t>320. 期末账面进口应付款余额 其中：对关联企业的进口应付款余额：</w:t>
      </w:r>
      <w:r>
        <w:rPr>
          <w:rFonts w:hint="eastAsia" w:ascii="宋体" w:hAnsi="宋体" w:eastAsia="宋体"/>
          <w:szCs w:val="21"/>
        </w:rPr>
        <w:t>调查对象对其境外母公司（即是本机构的境外直接投资者，即持有本机构表决权≥</w:t>
      </w:r>
      <w:r>
        <w:rPr>
          <w:rFonts w:ascii="宋体" w:hAnsi="宋体" w:eastAsia="宋体"/>
          <w:szCs w:val="21"/>
        </w:rPr>
        <w:t>10%</w:t>
      </w:r>
      <w:r>
        <w:rPr>
          <w:rFonts w:hint="eastAsia" w:ascii="宋体" w:hAnsi="宋体" w:eastAsia="宋体"/>
          <w:szCs w:val="21"/>
        </w:rPr>
        <w:t>）、子公司（</w:t>
      </w:r>
      <w:r>
        <w:rPr>
          <w:rFonts w:hint="eastAsia" w:ascii="宋体" w:hAnsi="宋体" w:eastAsia="宋体"/>
        </w:rPr>
        <w:t>是本机构的境外直接投资企业，即本机构持有表决权在10%及以上的境外分支机构、子机构、联营机构或合营机构）</w:t>
      </w:r>
      <w:r>
        <w:rPr>
          <w:rFonts w:hint="eastAsia" w:ascii="宋体" w:hAnsi="宋体" w:eastAsia="宋体"/>
          <w:szCs w:val="21"/>
        </w:rPr>
        <w:t>或联属企业（</w:t>
      </w:r>
      <w:r>
        <w:rPr>
          <w:rFonts w:hint="eastAsia" w:ascii="宋体" w:hAnsi="宋体" w:eastAsia="宋体"/>
        </w:rPr>
        <w:t>是本机构的境外联属机构，即双方有共同母公司，但相互持有表决权＜</w:t>
      </w:r>
      <w:r>
        <w:rPr>
          <w:rFonts w:ascii="宋体" w:hAnsi="宋体" w:eastAsia="宋体"/>
        </w:rPr>
        <w:t>10%</w:t>
      </w:r>
      <w:r>
        <w:rPr>
          <w:rFonts w:hint="eastAsia" w:ascii="宋体" w:hAnsi="宋体" w:eastAsia="宋体"/>
        </w:rPr>
        <w:t>或相互不持有表决权）</w:t>
      </w:r>
      <w:r>
        <w:rPr>
          <w:rFonts w:hint="eastAsia" w:ascii="宋体" w:hAnsi="宋体" w:eastAsia="宋体"/>
          <w:szCs w:val="21"/>
        </w:rPr>
        <w:t>的进口应付款余额。调查对象可根据对关联企业的进口量占比等估算此项目。</w:t>
      </w:r>
    </w:p>
    <w:p>
      <w:pPr>
        <w:pStyle w:val="10"/>
        <w:adjustRightInd w:val="0"/>
        <w:snapToGrid w:val="0"/>
        <w:spacing w:before="31" w:after="31" w:line="360" w:lineRule="auto"/>
        <w:ind w:left="0" w:leftChars="0"/>
        <w:rPr>
          <w:rFonts w:ascii="宋体" w:hAnsi="宋体" w:eastAsia="宋体"/>
          <w:szCs w:val="21"/>
        </w:rPr>
      </w:pPr>
      <w:r>
        <w:rPr>
          <w:rFonts w:hint="eastAsia" w:ascii="黑体" w:hAnsi="宋体" w:eastAsia="黑体"/>
          <w:szCs w:val="21"/>
        </w:rPr>
        <w:t xml:space="preserve">    400.期末账面进口预付款余额：</w:t>
      </w:r>
      <w:r>
        <w:rPr>
          <w:rFonts w:hint="eastAsia" w:ascii="宋体" w:hAnsi="宋体" w:eastAsia="宋体"/>
          <w:szCs w:val="21"/>
        </w:rPr>
        <w:t>指调查期末，在尚未借记货物进口前，调查对象已经付给境外出口商的货款。</w:t>
      </w:r>
    </w:p>
    <w:p>
      <w:pPr>
        <w:pStyle w:val="10"/>
        <w:adjustRightInd w:val="0"/>
        <w:snapToGrid w:val="0"/>
        <w:spacing w:before="31" w:after="31" w:line="360" w:lineRule="auto"/>
        <w:ind w:left="0" w:leftChars="0" w:firstLine="420"/>
        <w:rPr>
          <w:rFonts w:ascii="宋体" w:hAnsi="宋体" w:eastAsia="宋体"/>
          <w:szCs w:val="21"/>
        </w:rPr>
      </w:pPr>
      <w:r>
        <w:rPr>
          <w:rFonts w:hint="eastAsia" w:ascii="黑体" w:hAnsi="宋体" w:eastAsia="黑体"/>
          <w:szCs w:val="21"/>
        </w:rPr>
        <w:t>401. 期末账面进口预付款余额 其中：一年以上：</w:t>
      </w:r>
      <w:r>
        <w:rPr>
          <w:rFonts w:hint="eastAsia" w:ascii="宋体" w:hAnsi="宋体" w:eastAsia="宋体"/>
          <w:szCs w:val="21"/>
        </w:rPr>
        <w:t>指调查期末，调查对象的预付款账期（按原始期限，即从确认为预付款到实际借记货物进口的时间）在一年以上的那部分进口预付款余额。</w:t>
      </w:r>
    </w:p>
    <w:p>
      <w:pPr>
        <w:pStyle w:val="10"/>
        <w:adjustRightInd w:val="0"/>
        <w:snapToGrid w:val="0"/>
        <w:spacing w:before="31" w:after="31" w:line="360" w:lineRule="auto"/>
        <w:ind w:left="0" w:leftChars="0" w:firstLine="420"/>
        <w:rPr>
          <w:rFonts w:ascii="黑体" w:hAnsi="宋体" w:eastAsia="黑体"/>
          <w:szCs w:val="21"/>
        </w:rPr>
      </w:pPr>
      <w:r>
        <w:rPr>
          <w:rFonts w:hint="eastAsia" w:ascii="黑体" w:hAnsi="宋体" w:eastAsia="黑体"/>
          <w:szCs w:val="21"/>
        </w:rPr>
        <w:t>410.期末账面进口预付款余额 其中：转手买卖进口预付款余额：</w:t>
      </w:r>
      <w:r>
        <w:rPr>
          <w:rFonts w:hint="eastAsia" w:ascii="宋体" w:hAnsi="宋体" w:eastAsia="宋体"/>
          <w:szCs w:val="21"/>
        </w:rPr>
        <w:t>指调查期末，在尚未借记离岸转手买卖货物进口前，调查对象已经付给境外出口商的货款余额。</w:t>
      </w:r>
    </w:p>
    <w:p>
      <w:pPr>
        <w:pStyle w:val="10"/>
        <w:adjustRightInd w:val="0"/>
        <w:snapToGrid w:val="0"/>
        <w:spacing w:before="31" w:after="31" w:line="360" w:lineRule="auto"/>
        <w:ind w:left="0" w:leftChars="0" w:firstLine="420"/>
        <w:rPr>
          <w:rFonts w:ascii="黑体" w:hAnsi="宋体" w:eastAsia="黑体"/>
          <w:szCs w:val="21"/>
        </w:rPr>
      </w:pPr>
      <w:r>
        <w:rPr>
          <w:rFonts w:hint="eastAsia" w:ascii="黑体" w:hAnsi="宋体" w:eastAsia="黑体"/>
          <w:szCs w:val="21"/>
        </w:rPr>
        <w:t>420.期末账面进口预付款余额 其中：对关联企业的进口预付款余额：</w:t>
      </w:r>
      <w:r>
        <w:rPr>
          <w:rFonts w:hint="eastAsia" w:ascii="宋体" w:hAnsi="宋体" w:eastAsia="宋体"/>
          <w:szCs w:val="21"/>
        </w:rPr>
        <w:t>调查对象对其境外母公司（即是本机构的境外直接投资者，即持有本机构表决权≥</w:t>
      </w:r>
      <w:r>
        <w:rPr>
          <w:rFonts w:ascii="宋体" w:hAnsi="宋体" w:eastAsia="宋体"/>
          <w:szCs w:val="21"/>
        </w:rPr>
        <w:t>10%</w:t>
      </w:r>
      <w:r>
        <w:rPr>
          <w:rFonts w:hint="eastAsia" w:ascii="宋体" w:hAnsi="宋体" w:eastAsia="宋体"/>
          <w:szCs w:val="21"/>
        </w:rPr>
        <w:t>）、子公司（</w:t>
      </w:r>
      <w:r>
        <w:rPr>
          <w:rFonts w:hint="eastAsia" w:ascii="宋体" w:hAnsi="宋体" w:eastAsia="宋体"/>
        </w:rPr>
        <w:t>是本机构的境外直接投资企业，即本机构持有表决权在10%及以上的境外分支机构、子机构、联营机构或合营机构）</w:t>
      </w:r>
      <w:r>
        <w:rPr>
          <w:rFonts w:hint="eastAsia" w:ascii="宋体" w:hAnsi="宋体" w:eastAsia="宋体"/>
          <w:szCs w:val="21"/>
        </w:rPr>
        <w:t>或联属企业（</w:t>
      </w:r>
      <w:r>
        <w:rPr>
          <w:rFonts w:hint="eastAsia" w:ascii="宋体" w:hAnsi="宋体" w:eastAsia="宋体"/>
        </w:rPr>
        <w:t>是本机构的境外联属机构，即双方有共同母公司，但相互持有表决权＜</w:t>
      </w:r>
      <w:r>
        <w:rPr>
          <w:rFonts w:ascii="宋体" w:hAnsi="宋体" w:eastAsia="宋体"/>
        </w:rPr>
        <w:t>10%</w:t>
      </w:r>
      <w:r>
        <w:rPr>
          <w:rFonts w:hint="eastAsia" w:ascii="宋体" w:hAnsi="宋体" w:eastAsia="宋体"/>
        </w:rPr>
        <w:t>或相互不持有表决权）</w:t>
      </w:r>
      <w:r>
        <w:rPr>
          <w:rFonts w:hint="eastAsia" w:ascii="宋体" w:hAnsi="宋体" w:eastAsia="宋体"/>
          <w:szCs w:val="21"/>
        </w:rPr>
        <w:t>的进口预付款余额。调查对象可根据对关联企业的进口量占比等估算此项目。</w:t>
      </w:r>
    </w:p>
    <w:p>
      <w:pPr>
        <w:pStyle w:val="10"/>
        <w:adjustRightInd w:val="0"/>
        <w:snapToGrid w:val="0"/>
        <w:spacing w:before="31" w:after="31" w:line="360" w:lineRule="auto"/>
        <w:ind w:left="0" w:leftChars="0" w:firstLine="405"/>
        <w:rPr>
          <w:rFonts w:ascii="黑体" w:hAnsi="宋体" w:eastAsia="黑体"/>
          <w:b/>
          <w:szCs w:val="21"/>
        </w:rPr>
      </w:pPr>
      <w:r>
        <w:rPr>
          <w:rFonts w:hint="eastAsia" w:ascii="黑体" w:hAnsi="宋体" w:eastAsia="黑体"/>
          <w:szCs w:val="21"/>
        </w:rPr>
        <w:t>500.其他因素导致的当期偏差：</w:t>
      </w:r>
      <w:r>
        <w:rPr>
          <w:rFonts w:hint="eastAsia" w:ascii="宋体" w:hAnsi="宋体" w:eastAsia="宋体"/>
        </w:rPr>
        <w:t>由于</w:t>
      </w:r>
      <w:r>
        <w:rPr>
          <w:rFonts w:hint="eastAsia" w:ascii="宋体" w:hAnsi="宋体"/>
        </w:rPr>
        <w:t>税费、溢短装</w:t>
      </w:r>
      <w:r>
        <w:rPr>
          <w:rFonts w:hint="eastAsia" w:ascii="宋体" w:hAnsi="宋体" w:eastAsia="宋体"/>
        </w:rPr>
        <w:t>、汇率折算</w:t>
      </w:r>
      <w:r>
        <w:rPr>
          <w:rFonts w:hint="eastAsia" w:ascii="宋体" w:hAnsi="宋体"/>
        </w:rPr>
        <w:t>等各类账务处理</w:t>
      </w:r>
      <w:r>
        <w:rPr>
          <w:rFonts w:hint="eastAsia" w:ascii="宋体" w:hAnsi="宋体" w:eastAsia="宋体"/>
        </w:rPr>
        <w:t>导致“当期进口=当期已付货款+当期应付未付变动-当期预付变动”等式不成立的</w:t>
      </w:r>
      <w:r>
        <w:rPr>
          <w:rFonts w:hint="eastAsia" w:ascii="宋体" w:hAnsi="宋体"/>
        </w:rPr>
        <w:t>偏差</w:t>
      </w:r>
      <w:r>
        <w:rPr>
          <w:rFonts w:hint="eastAsia" w:ascii="宋体" w:hAnsi="宋体" w:eastAsia="宋体"/>
        </w:rPr>
        <w:t>（流量）。</w:t>
      </w:r>
      <w:r>
        <w:rPr>
          <w:rFonts w:hint="eastAsia" w:ascii="宋体" w:hAnsi="宋体" w:eastAsia="宋体"/>
          <w:szCs w:val="21"/>
        </w:rPr>
        <w:t>如有此情况，请填写金额并在备注中说明具体情况。</w:t>
      </w:r>
    </w:p>
    <w:p>
      <w:pPr>
        <w:pStyle w:val="10"/>
        <w:adjustRightInd w:val="0"/>
        <w:snapToGrid w:val="0"/>
        <w:spacing w:before="31" w:after="31" w:line="360" w:lineRule="auto"/>
        <w:ind w:left="0" w:leftChars="0" w:firstLine="420"/>
        <w:rPr>
          <w:rFonts w:ascii="宋体" w:hAnsi="宋体" w:eastAsia="宋体"/>
          <w:szCs w:val="21"/>
        </w:rPr>
      </w:pPr>
      <w:r>
        <w:rPr>
          <w:rFonts w:hint="eastAsia" w:ascii="黑体" w:hAnsi="宋体" w:eastAsia="黑体"/>
          <w:szCs w:val="21"/>
        </w:rPr>
        <w:t>600.进口应付款平均周期（单位：天）：</w:t>
      </w:r>
      <w:r>
        <w:rPr>
          <w:rFonts w:hint="eastAsia" w:ascii="黑体" w:hAnsi="宋体" w:eastAsia="黑体" w:cs="宋体"/>
          <w:kern w:val="0"/>
          <w:szCs w:val="21"/>
        </w:rPr>
        <w:t>：</w:t>
      </w:r>
      <w:r>
        <w:rPr>
          <w:rFonts w:hint="eastAsia" w:ascii="宋体" w:hAnsi="宋体" w:eastAsia="宋体"/>
          <w:szCs w:val="21"/>
        </w:rPr>
        <w:t>指调查对象货物进口后多少天对外付款。调查对象应根据自身对近一年的付款账期的估算或经验判断填报本项数据。</w:t>
      </w:r>
    </w:p>
    <w:p>
      <w:pPr>
        <w:adjustRightInd w:val="0"/>
        <w:snapToGrid w:val="0"/>
        <w:spacing w:before="31" w:after="31" w:line="360" w:lineRule="auto"/>
        <w:ind w:firstLine="561"/>
        <w:jc w:val="center"/>
        <w:rPr>
          <w:rFonts w:ascii="黑体" w:hAnsi="宋体" w:eastAsia="黑体"/>
          <w:sz w:val="32"/>
          <w:szCs w:val="32"/>
        </w:rPr>
      </w:pPr>
      <w:r>
        <w:rPr>
          <w:rFonts w:hint="eastAsia" w:ascii="黑体" w:hAnsi="宋体" w:eastAsia="黑体"/>
          <w:sz w:val="32"/>
          <w:szCs w:val="32"/>
        </w:rPr>
        <w:t>五、附录</w:t>
      </w:r>
    </w:p>
    <w:p>
      <w:pPr>
        <w:adjustRightInd w:val="0"/>
        <w:snapToGrid w:val="0"/>
        <w:spacing w:before="31" w:after="31" w:line="360" w:lineRule="auto"/>
        <w:ind w:firstLine="561"/>
        <w:jc w:val="center"/>
        <w:rPr>
          <w:rFonts w:ascii="宋体" w:hAnsi="宋体"/>
          <w:sz w:val="32"/>
          <w:szCs w:val="32"/>
        </w:rPr>
      </w:pPr>
    </w:p>
    <w:p>
      <w:pPr>
        <w:adjustRightInd w:val="0"/>
        <w:snapToGrid w:val="0"/>
        <w:spacing w:before="31" w:after="31" w:line="360" w:lineRule="auto"/>
        <w:ind w:firstLine="561"/>
        <w:jc w:val="center"/>
        <w:rPr>
          <w:rFonts w:ascii="宋体" w:hAnsi="宋体"/>
          <w:sz w:val="32"/>
          <w:szCs w:val="32"/>
        </w:rPr>
      </w:pPr>
      <w:r>
        <w:rPr>
          <w:rFonts w:hint="eastAsia" w:ascii="宋体" w:hAnsi="宋体"/>
          <w:sz w:val="32"/>
          <w:szCs w:val="32"/>
        </w:rPr>
        <w:t>（一）经济类型及代码</w:t>
      </w:r>
    </w:p>
    <w:tbl>
      <w:tblPr>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93"/>
        <w:gridCol w:w="1417"/>
        <w:gridCol w:w="5954"/>
      </w:tblGrid>
      <w:tr>
        <w:tc>
          <w:tcPr>
            <w:tcW w:w="993" w:type="dxa"/>
            <w:tcBorders>
              <w:bottom w:val="single" w:color="auto" w:sz="12" w:space="0"/>
            </w:tcBorders>
            <w:vAlign w:val="top"/>
          </w:tcPr>
          <w:p>
            <w:pPr>
              <w:spacing w:beforeLines="30" w:afterLines="30"/>
              <w:jc w:val="center"/>
              <w:rPr>
                <w:rFonts w:ascii="黑体" w:eastAsia="黑体"/>
                <w:szCs w:val="21"/>
              </w:rPr>
            </w:pPr>
            <w:r>
              <w:rPr>
                <w:rFonts w:hint="eastAsia" w:ascii="黑体" w:eastAsia="黑体"/>
                <w:szCs w:val="21"/>
              </w:rPr>
              <w:t>代码</w:t>
            </w:r>
          </w:p>
        </w:tc>
        <w:tc>
          <w:tcPr>
            <w:tcW w:w="1417" w:type="dxa"/>
            <w:tcBorders>
              <w:bottom w:val="single" w:color="auto" w:sz="12" w:space="0"/>
            </w:tcBorders>
            <w:vAlign w:val="top"/>
          </w:tcPr>
          <w:p>
            <w:pPr>
              <w:spacing w:beforeLines="30" w:afterLines="30"/>
              <w:jc w:val="center"/>
              <w:rPr>
                <w:rFonts w:ascii="黑体" w:eastAsia="黑体"/>
                <w:szCs w:val="21"/>
              </w:rPr>
            </w:pPr>
            <w:r>
              <w:rPr>
                <w:rFonts w:hint="eastAsia" w:ascii="黑体" w:eastAsia="黑体"/>
                <w:szCs w:val="21"/>
              </w:rPr>
              <w:t>经济类型</w:t>
            </w:r>
          </w:p>
        </w:tc>
        <w:tc>
          <w:tcPr>
            <w:tcW w:w="5954" w:type="dxa"/>
            <w:tcBorders>
              <w:bottom w:val="single" w:color="auto" w:sz="12" w:space="0"/>
              <w:right w:val="single" w:color="auto" w:sz="4" w:space="0"/>
            </w:tcBorders>
            <w:vAlign w:val="top"/>
          </w:tcPr>
          <w:p>
            <w:pPr>
              <w:spacing w:beforeLines="30" w:afterLines="30"/>
              <w:jc w:val="center"/>
              <w:rPr>
                <w:rFonts w:ascii="黑体" w:eastAsia="黑体"/>
                <w:szCs w:val="21"/>
              </w:rPr>
            </w:pPr>
            <w:r>
              <w:rPr>
                <w:rFonts w:hint="eastAsia" w:ascii="黑体" w:eastAsia="黑体"/>
                <w:szCs w:val="21"/>
              </w:rPr>
              <w:t>说明</w:t>
            </w:r>
          </w:p>
        </w:tc>
      </w:tr>
      <w:tr>
        <w:tc>
          <w:tcPr>
            <w:tcW w:w="993" w:type="dxa"/>
            <w:tcBorders>
              <w:top w:val="single" w:color="auto" w:sz="12" w:space="0"/>
            </w:tcBorders>
            <w:shd w:val="clear" w:color="auto" w:fill="E0E0E0"/>
            <w:vAlign w:val="top"/>
          </w:tcPr>
          <w:p>
            <w:pPr>
              <w:spacing w:beforeLines="30" w:afterLines="30"/>
              <w:jc w:val="center"/>
              <w:rPr>
                <w:rFonts w:ascii="黑体" w:eastAsia="黑体"/>
                <w:b/>
                <w:szCs w:val="21"/>
              </w:rPr>
            </w:pPr>
            <w:r>
              <w:rPr>
                <w:rFonts w:hint="eastAsia" w:ascii="黑体" w:eastAsia="黑体"/>
                <w:b/>
                <w:szCs w:val="21"/>
              </w:rPr>
              <w:t>100</w:t>
            </w:r>
          </w:p>
        </w:tc>
        <w:tc>
          <w:tcPr>
            <w:tcW w:w="1417" w:type="dxa"/>
            <w:tcBorders>
              <w:top w:val="single" w:color="auto" w:sz="12" w:space="0"/>
            </w:tcBorders>
            <w:shd w:val="clear" w:color="auto" w:fill="E0E0E0"/>
            <w:vAlign w:val="top"/>
          </w:tcPr>
          <w:p>
            <w:pPr>
              <w:spacing w:beforeLines="30" w:afterLines="30"/>
              <w:jc w:val="center"/>
              <w:rPr>
                <w:rFonts w:ascii="宋体" w:hAnsi="宋体"/>
                <w:b/>
                <w:szCs w:val="21"/>
              </w:rPr>
            </w:pPr>
            <w:r>
              <w:rPr>
                <w:rFonts w:hint="eastAsia" w:ascii="宋体" w:hAnsi="宋体"/>
                <w:b/>
                <w:szCs w:val="21"/>
              </w:rPr>
              <w:t>内资</w:t>
            </w:r>
          </w:p>
        </w:tc>
        <w:tc>
          <w:tcPr>
            <w:tcW w:w="5954" w:type="dxa"/>
            <w:tcBorders>
              <w:top w:val="single" w:color="auto" w:sz="12" w:space="0"/>
              <w:right w:val="single" w:color="auto" w:sz="4" w:space="0"/>
            </w:tcBorders>
            <w:shd w:val="clear" w:color="auto" w:fill="E0E0E0"/>
            <w:vAlign w:val="top"/>
          </w:tcPr>
          <w:p>
            <w:pPr>
              <w:spacing w:beforeLines="30" w:afterLines="30"/>
              <w:rPr>
                <w:rFonts w:ascii="宋体" w:hAnsi="宋体"/>
                <w:b/>
                <w:szCs w:val="21"/>
              </w:rPr>
            </w:pPr>
            <w:r>
              <w:rPr>
                <w:rFonts w:hint="eastAsia" w:ascii="宋体" w:hAnsi="宋体"/>
                <w:b/>
                <w:szCs w:val="21"/>
              </w:rPr>
              <w:t>资本（资金）主要来源于内地的经济组织的经济类型</w:t>
            </w:r>
          </w:p>
        </w:tc>
      </w:tr>
      <w:tr>
        <w:tc>
          <w:tcPr>
            <w:tcW w:w="993" w:type="dxa"/>
            <w:vAlign w:val="top"/>
          </w:tcPr>
          <w:p>
            <w:pPr>
              <w:spacing w:beforeLines="30" w:afterLines="30"/>
              <w:jc w:val="center"/>
              <w:rPr>
                <w:rFonts w:ascii="黑体" w:eastAsia="黑体"/>
                <w:szCs w:val="21"/>
              </w:rPr>
            </w:pPr>
            <w:r>
              <w:rPr>
                <w:rFonts w:hint="eastAsia" w:ascii="黑体" w:eastAsia="黑体"/>
                <w:szCs w:val="21"/>
              </w:rPr>
              <w:t>110</w:t>
            </w:r>
          </w:p>
        </w:tc>
        <w:tc>
          <w:tcPr>
            <w:tcW w:w="1417" w:type="dxa"/>
            <w:vAlign w:val="top"/>
          </w:tcPr>
          <w:p>
            <w:pPr>
              <w:spacing w:beforeLines="30" w:afterLines="30"/>
              <w:jc w:val="center"/>
              <w:rPr>
                <w:rFonts w:ascii="宋体" w:hAnsi="宋体"/>
                <w:szCs w:val="21"/>
              </w:rPr>
            </w:pPr>
            <w:r>
              <w:rPr>
                <w:rFonts w:hint="eastAsia" w:ascii="宋体" w:hAnsi="宋体"/>
                <w:szCs w:val="21"/>
              </w:rPr>
              <w:t>国有全资</w:t>
            </w:r>
          </w:p>
        </w:tc>
        <w:tc>
          <w:tcPr>
            <w:tcW w:w="5954" w:type="dxa"/>
            <w:tcBorders>
              <w:right w:val="single" w:color="auto" w:sz="4" w:space="0"/>
            </w:tcBorders>
            <w:vAlign w:val="top"/>
          </w:tcPr>
          <w:p>
            <w:pPr>
              <w:spacing w:beforeLines="30" w:afterLines="30"/>
              <w:rPr>
                <w:rFonts w:ascii="宋体" w:hAnsi="宋体"/>
                <w:szCs w:val="21"/>
              </w:rPr>
            </w:pPr>
            <w:r>
              <w:rPr>
                <w:rFonts w:hint="eastAsia" w:ascii="宋体" w:hAnsi="宋体"/>
                <w:szCs w:val="21"/>
              </w:rPr>
              <w:t>全部资产（资金）归国家所有，并按国家有关规定登记注册的</w:t>
            </w:r>
            <w:r>
              <w:rPr>
                <w:rFonts w:hint="eastAsia" w:ascii="宋体" w:hAnsi="宋体"/>
                <w:b/>
                <w:szCs w:val="21"/>
              </w:rPr>
              <w:t>非公司制</w:t>
            </w:r>
            <w:r>
              <w:rPr>
                <w:rFonts w:hint="eastAsia" w:ascii="宋体" w:hAnsi="宋体"/>
                <w:szCs w:val="21"/>
              </w:rPr>
              <w:t>的经济组织（不包括有限责任公司中的国有独资公司和联营中的国有联营）和国家机关、政党机关的经济类型</w:t>
            </w:r>
          </w:p>
        </w:tc>
      </w:tr>
      <w:tr>
        <w:tc>
          <w:tcPr>
            <w:tcW w:w="993" w:type="dxa"/>
            <w:vAlign w:val="top"/>
          </w:tcPr>
          <w:p>
            <w:pPr>
              <w:spacing w:beforeLines="30" w:afterLines="30"/>
              <w:jc w:val="center"/>
              <w:rPr>
                <w:rFonts w:ascii="黑体" w:eastAsia="黑体"/>
                <w:szCs w:val="21"/>
              </w:rPr>
            </w:pPr>
            <w:r>
              <w:rPr>
                <w:rFonts w:hint="eastAsia" w:ascii="黑体" w:eastAsia="黑体"/>
                <w:szCs w:val="21"/>
              </w:rPr>
              <w:t>120</w:t>
            </w:r>
          </w:p>
        </w:tc>
        <w:tc>
          <w:tcPr>
            <w:tcW w:w="1417" w:type="dxa"/>
            <w:vAlign w:val="top"/>
          </w:tcPr>
          <w:p>
            <w:pPr>
              <w:spacing w:beforeLines="30" w:afterLines="30"/>
              <w:jc w:val="center"/>
              <w:rPr>
                <w:rFonts w:ascii="宋体" w:hAnsi="宋体"/>
                <w:szCs w:val="21"/>
              </w:rPr>
            </w:pPr>
            <w:r>
              <w:rPr>
                <w:rFonts w:hint="eastAsia" w:ascii="宋体" w:hAnsi="宋体"/>
                <w:szCs w:val="21"/>
              </w:rPr>
              <w:t>集体全资</w:t>
            </w:r>
          </w:p>
        </w:tc>
        <w:tc>
          <w:tcPr>
            <w:tcW w:w="5954" w:type="dxa"/>
            <w:tcBorders>
              <w:right w:val="single" w:color="auto" w:sz="4" w:space="0"/>
            </w:tcBorders>
            <w:vAlign w:val="top"/>
          </w:tcPr>
          <w:p>
            <w:pPr>
              <w:spacing w:beforeLines="30" w:afterLines="30"/>
              <w:rPr>
                <w:rFonts w:ascii="宋体" w:hAnsi="宋体"/>
                <w:szCs w:val="21"/>
              </w:rPr>
            </w:pPr>
            <w:r>
              <w:rPr>
                <w:rFonts w:hint="eastAsia" w:ascii="宋体" w:hAnsi="宋体"/>
                <w:szCs w:val="21"/>
              </w:rPr>
              <w:t>全部资产（资金）归集体所有，并按国家有关规定登记注册的</w:t>
            </w:r>
            <w:r>
              <w:rPr>
                <w:rFonts w:hint="eastAsia" w:ascii="宋体" w:hAnsi="宋体"/>
                <w:b/>
                <w:szCs w:val="21"/>
              </w:rPr>
              <w:t>非公司制</w:t>
            </w:r>
            <w:r>
              <w:rPr>
                <w:rFonts w:hint="eastAsia" w:ascii="宋体" w:hAnsi="宋体"/>
                <w:szCs w:val="21"/>
              </w:rPr>
              <w:t>的经济组织（不包括有限责任、股份合作和联营中的集体联营）的经济类型</w:t>
            </w:r>
          </w:p>
        </w:tc>
      </w:tr>
      <w:tr>
        <w:tc>
          <w:tcPr>
            <w:tcW w:w="993" w:type="dxa"/>
            <w:tcBorders>
              <w:bottom w:val="single" w:color="auto" w:sz="4" w:space="0"/>
            </w:tcBorders>
            <w:vAlign w:val="top"/>
          </w:tcPr>
          <w:p>
            <w:pPr>
              <w:spacing w:beforeLines="30" w:afterLines="30"/>
              <w:jc w:val="center"/>
              <w:rPr>
                <w:rFonts w:ascii="黑体" w:eastAsia="黑体"/>
                <w:szCs w:val="21"/>
              </w:rPr>
            </w:pPr>
            <w:r>
              <w:rPr>
                <w:rFonts w:hint="eastAsia" w:ascii="黑体" w:eastAsia="黑体"/>
                <w:szCs w:val="21"/>
              </w:rPr>
              <w:t>130</w:t>
            </w:r>
          </w:p>
        </w:tc>
        <w:tc>
          <w:tcPr>
            <w:tcW w:w="1417" w:type="dxa"/>
            <w:tcBorders>
              <w:bottom w:val="single" w:color="auto" w:sz="4" w:space="0"/>
            </w:tcBorders>
            <w:vAlign w:val="top"/>
          </w:tcPr>
          <w:p>
            <w:pPr>
              <w:spacing w:beforeLines="30" w:afterLines="30"/>
              <w:jc w:val="center"/>
              <w:rPr>
                <w:rFonts w:ascii="宋体" w:hAnsi="宋体"/>
                <w:szCs w:val="21"/>
              </w:rPr>
            </w:pPr>
            <w:r>
              <w:rPr>
                <w:rFonts w:hint="eastAsia" w:ascii="宋体" w:hAnsi="宋体"/>
                <w:szCs w:val="21"/>
              </w:rPr>
              <w:t>股份合作</w:t>
            </w:r>
          </w:p>
        </w:tc>
        <w:tc>
          <w:tcPr>
            <w:tcW w:w="5954" w:type="dxa"/>
            <w:tcBorders>
              <w:bottom w:val="single" w:color="auto" w:sz="4" w:space="0"/>
              <w:right w:val="single" w:color="auto" w:sz="4" w:space="0"/>
            </w:tcBorders>
            <w:vAlign w:val="top"/>
          </w:tcPr>
          <w:p>
            <w:pPr>
              <w:spacing w:beforeLines="30" w:afterLines="30"/>
              <w:rPr>
                <w:rFonts w:ascii="宋体" w:hAnsi="宋体"/>
                <w:szCs w:val="21"/>
              </w:rPr>
            </w:pPr>
            <w:r>
              <w:rPr>
                <w:rFonts w:hint="eastAsia" w:ascii="宋体" w:hAnsi="宋体"/>
                <w:szCs w:val="21"/>
              </w:rPr>
              <w:t>以合作制为基础，由职工共同出资入股，吸收一定比例的社会资产投资组建；实行自主经营，自负盈亏，共同劳动，民主管理，按劳分配与按股分红相结合的一种集体经济组织的经济类型</w:t>
            </w:r>
          </w:p>
        </w:tc>
      </w:tr>
      <w:tr>
        <w:tc>
          <w:tcPr>
            <w:tcW w:w="993" w:type="dxa"/>
            <w:shd w:val="clear" w:color="auto" w:fill="E0E0E0"/>
            <w:vAlign w:val="top"/>
          </w:tcPr>
          <w:p>
            <w:pPr>
              <w:spacing w:beforeLines="30" w:afterLines="30"/>
              <w:jc w:val="center"/>
              <w:rPr>
                <w:rFonts w:ascii="黑体" w:eastAsia="黑体"/>
                <w:szCs w:val="21"/>
              </w:rPr>
            </w:pPr>
            <w:r>
              <w:rPr>
                <w:rFonts w:hint="eastAsia" w:ascii="黑体" w:eastAsia="黑体"/>
                <w:szCs w:val="21"/>
              </w:rPr>
              <w:t>140</w:t>
            </w:r>
          </w:p>
        </w:tc>
        <w:tc>
          <w:tcPr>
            <w:tcW w:w="1417" w:type="dxa"/>
            <w:shd w:val="clear" w:color="auto" w:fill="E0E0E0"/>
            <w:vAlign w:val="top"/>
          </w:tcPr>
          <w:p>
            <w:pPr>
              <w:spacing w:beforeLines="30" w:afterLines="30"/>
              <w:jc w:val="center"/>
              <w:rPr>
                <w:rFonts w:ascii="宋体" w:hAnsi="宋体"/>
                <w:szCs w:val="21"/>
              </w:rPr>
            </w:pPr>
            <w:r>
              <w:rPr>
                <w:rFonts w:hint="eastAsia" w:ascii="宋体" w:hAnsi="宋体"/>
                <w:szCs w:val="21"/>
              </w:rPr>
              <w:t>联营</w:t>
            </w:r>
          </w:p>
        </w:tc>
        <w:tc>
          <w:tcPr>
            <w:tcW w:w="5954" w:type="dxa"/>
            <w:tcBorders>
              <w:right w:val="single" w:color="auto" w:sz="4" w:space="0"/>
            </w:tcBorders>
            <w:shd w:val="clear" w:color="auto" w:fill="E0E0E0"/>
            <w:vAlign w:val="top"/>
          </w:tcPr>
          <w:p>
            <w:pPr>
              <w:spacing w:beforeLines="30" w:afterLines="30"/>
              <w:rPr>
                <w:rFonts w:ascii="宋体" w:hAnsi="宋体"/>
                <w:szCs w:val="21"/>
              </w:rPr>
            </w:pPr>
            <w:r>
              <w:rPr>
                <w:rFonts w:hint="eastAsia" w:ascii="宋体" w:hAnsi="宋体"/>
                <w:szCs w:val="21"/>
              </w:rPr>
              <w:t>两个及两个以上相同或不同经济类型的经济组织，按自愿、平等、互利的原则，共同投资组成的非公司型经济组织的经济类型</w:t>
            </w:r>
          </w:p>
        </w:tc>
      </w:tr>
      <w:tr>
        <w:tc>
          <w:tcPr>
            <w:tcW w:w="993" w:type="dxa"/>
            <w:vAlign w:val="top"/>
          </w:tcPr>
          <w:p>
            <w:pPr>
              <w:spacing w:beforeLines="30" w:afterLines="30"/>
              <w:jc w:val="center"/>
              <w:rPr>
                <w:rFonts w:ascii="黑体" w:eastAsia="黑体"/>
                <w:szCs w:val="21"/>
              </w:rPr>
            </w:pPr>
            <w:r>
              <w:rPr>
                <w:rFonts w:hint="eastAsia" w:ascii="黑体" w:eastAsia="黑体"/>
                <w:szCs w:val="21"/>
              </w:rPr>
              <w:t>141</w:t>
            </w:r>
          </w:p>
        </w:tc>
        <w:tc>
          <w:tcPr>
            <w:tcW w:w="1417" w:type="dxa"/>
            <w:vAlign w:val="top"/>
          </w:tcPr>
          <w:p>
            <w:pPr>
              <w:spacing w:beforeLines="30" w:afterLines="30"/>
              <w:jc w:val="center"/>
              <w:rPr>
                <w:rFonts w:ascii="宋体" w:hAnsi="宋体"/>
                <w:szCs w:val="21"/>
              </w:rPr>
            </w:pPr>
            <w:r>
              <w:rPr>
                <w:rFonts w:hint="eastAsia" w:ascii="宋体" w:hAnsi="宋体"/>
                <w:szCs w:val="21"/>
              </w:rPr>
              <w:t>国有联营</w:t>
            </w:r>
          </w:p>
        </w:tc>
        <w:tc>
          <w:tcPr>
            <w:tcW w:w="5954" w:type="dxa"/>
            <w:tcBorders>
              <w:right w:val="single" w:color="auto" w:sz="4" w:space="0"/>
            </w:tcBorders>
            <w:vAlign w:val="top"/>
          </w:tcPr>
          <w:p>
            <w:pPr>
              <w:spacing w:beforeLines="30" w:afterLines="30"/>
              <w:rPr>
                <w:rFonts w:ascii="宋体" w:hAnsi="宋体"/>
                <w:szCs w:val="21"/>
              </w:rPr>
            </w:pPr>
            <w:r>
              <w:rPr>
                <w:rFonts w:hint="eastAsia" w:ascii="宋体" w:hAnsi="宋体"/>
                <w:szCs w:val="21"/>
              </w:rPr>
              <w:t>两个及两个以上国有全资经济组织联营的经济组织的经济类型</w:t>
            </w:r>
          </w:p>
        </w:tc>
      </w:tr>
      <w:tr>
        <w:tc>
          <w:tcPr>
            <w:tcW w:w="993" w:type="dxa"/>
            <w:vAlign w:val="top"/>
          </w:tcPr>
          <w:p>
            <w:pPr>
              <w:spacing w:beforeLines="30" w:afterLines="30"/>
              <w:jc w:val="center"/>
              <w:rPr>
                <w:rFonts w:ascii="黑体" w:eastAsia="黑体"/>
                <w:szCs w:val="21"/>
              </w:rPr>
            </w:pPr>
            <w:r>
              <w:rPr>
                <w:rFonts w:hint="eastAsia" w:ascii="黑体" w:eastAsia="黑体"/>
                <w:szCs w:val="21"/>
              </w:rPr>
              <w:t>142</w:t>
            </w:r>
          </w:p>
        </w:tc>
        <w:tc>
          <w:tcPr>
            <w:tcW w:w="1417" w:type="dxa"/>
            <w:vAlign w:val="top"/>
          </w:tcPr>
          <w:p>
            <w:pPr>
              <w:spacing w:beforeLines="30" w:afterLines="30"/>
              <w:jc w:val="center"/>
              <w:rPr>
                <w:rFonts w:ascii="宋体" w:hAnsi="宋体"/>
                <w:szCs w:val="21"/>
              </w:rPr>
            </w:pPr>
            <w:r>
              <w:rPr>
                <w:rFonts w:hint="eastAsia" w:ascii="宋体" w:hAnsi="宋体"/>
                <w:szCs w:val="21"/>
              </w:rPr>
              <w:t>集体联营</w:t>
            </w:r>
          </w:p>
        </w:tc>
        <w:tc>
          <w:tcPr>
            <w:tcW w:w="5954" w:type="dxa"/>
            <w:tcBorders>
              <w:right w:val="single" w:color="auto" w:sz="4" w:space="0"/>
            </w:tcBorders>
            <w:vAlign w:val="top"/>
          </w:tcPr>
          <w:p>
            <w:pPr>
              <w:spacing w:beforeLines="30" w:afterLines="30"/>
              <w:rPr>
                <w:rFonts w:ascii="宋体" w:hAnsi="宋体"/>
                <w:szCs w:val="21"/>
              </w:rPr>
            </w:pPr>
            <w:r>
              <w:rPr>
                <w:rFonts w:hint="eastAsia" w:ascii="宋体" w:hAnsi="宋体"/>
                <w:szCs w:val="21"/>
              </w:rPr>
              <w:t>两个及两个以上集体全资经济组织联营的经济组织的经济类型</w:t>
            </w:r>
          </w:p>
        </w:tc>
      </w:tr>
      <w:tr>
        <w:tc>
          <w:tcPr>
            <w:tcW w:w="993" w:type="dxa"/>
            <w:vAlign w:val="top"/>
          </w:tcPr>
          <w:p>
            <w:pPr>
              <w:spacing w:beforeLines="30" w:afterLines="30"/>
              <w:jc w:val="center"/>
              <w:rPr>
                <w:rFonts w:ascii="黑体" w:eastAsia="黑体"/>
                <w:szCs w:val="21"/>
              </w:rPr>
            </w:pPr>
            <w:r>
              <w:rPr>
                <w:rFonts w:hint="eastAsia" w:ascii="黑体" w:eastAsia="黑体"/>
                <w:szCs w:val="21"/>
              </w:rPr>
              <w:t>143</w:t>
            </w:r>
          </w:p>
        </w:tc>
        <w:tc>
          <w:tcPr>
            <w:tcW w:w="1417" w:type="dxa"/>
            <w:vAlign w:val="top"/>
          </w:tcPr>
          <w:p>
            <w:pPr>
              <w:spacing w:beforeLines="30" w:afterLines="30"/>
              <w:jc w:val="center"/>
              <w:rPr>
                <w:rFonts w:ascii="宋体" w:hAnsi="宋体"/>
                <w:szCs w:val="21"/>
              </w:rPr>
            </w:pPr>
            <w:r>
              <w:rPr>
                <w:rFonts w:hint="eastAsia" w:ascii="宋体" w:hAnsi="宋体"/>
                <w:szCs w:val="21"/>
              </w:rPr>
              <w:t>国有与集体联营</w:t>
            </w:r>
          </w:p>
        </w:tc>
        <w:tc>
          <w:tcPr>
            <w:tcW w:w="5954" w:type="dxa"/>
            <w:tcBorders>
              <w:right w:val="single" w:color="auto" w:sz="4" w:space="0"/>
            </w:tcBorders>
            <w:vAlign w:val="top"/>
          </w:tcPr>
          <w:p>
            <w:pPr>
              <w:spacing w:beforeLines="30" w:afterLines="30"/>
              <w:rPr>
                <w:rFonts w:ascii="宋体" w:hAnsi="宋体"/>
                <w:szCs w:val="21"/>
              </w:rPr>
            </w:pPr>
            <w:r>
              <w:rPr>
                <w:rFonts w:hint="eastAsia" w:ascii="宋体" w:hAnsi="宋体"/>
                <w:szCs w:val="21"/>
              </w:rPr>
              <w:t>国有经济组织与集体经济组织联营的经济组织的经济类型</w:t>
            </w:r>
          </w:p>
        </w:tc>
      </w:tr>
      <w:tr>
        <w:tc>
          <w:tcPr>
            <w:tcW w:w="993" w:type="dxa"/>
            <w:tcBorders>
              <w:bottom w:val="single" w:color="auto" w:sz="4" w:space="0"/>
            </w:tcBorders>
            <w:vAlign w:val="top"/>
          </w:tcPr>
          <w:p>
            <w:pPr>
              <w:spacing w:beforeLines="30" w:afterLines="30"/>
              <w:jc w:val="center"/>
              <w:rPr>
                <w:rFonts w:ascii="黑体" w:eastAsia="黑体"/>
                <w:szCs w:val="21"/>
              </w:rPr>
            </w:pPr>
            <w:r>
              <w:rPr>
                <w:rFonts w:hint="eastAsia" w:ascii="黑体" w:eastAsia="黑体"/>
                <w:szCs w:val="21"/>
              </w:rPr>
              <w:t>149</w:t>
            </w:r>
          </w:p>
        </w:tc>
        <w:tc>
          <w:tcPr>
            <w:tcW w:w="1417" w:type="dxa"/>
            <w:tcBorders>
              <w:bottom w:val="single" w:color="auto" w:sz="4" w:space="0"/>
            </w:tcBorders>
            <w:vAlign w:val="top"/>
          </w:tcPr>
          <w:p>
            <w:pPr>
              <w:spacing w:beforeLines="30" w:afterLines="30"/>
              <w:jc w:val="center"/>
              <w:rPr>
                <w:rFonts w:ascii="宋体" w:hAnsi="宋体"/>
                <w:szCs w:val="21"/>
              </w:rPr>
            </w:pPr>
            <w:r>
              <w:rPr>
                <w:rFonts w:hint="eastAsia" w:ascii="宋体" w:hAnsi="宋体"/>
                <w:szCs w:val="21"/>
              </w:rPr>
              <w:t>其他联营</w:t>
            </w:r>
          </w:p>
        </w:tc>
        <w:tc>
          <w:tcPr>
            <w:tcW w:w="5954" w:type="dxa"/>
            <w:tcBorders>
              <w:bottom w:val="single" w:color="auto" w:sz="4" w:space="0"/>
              <w:right w:val="single" w:color="auto" w:sz="4" w:space="0"/>
            </w:tcBorders>
            <w:vAlign w:val="top"/>
          </w:tcPr>
          <w:p>
            <w:pPr>
              <w:spacing w:beforeLines="30" w:afterLines="30"/>
              <w:rPr>
                <w:rFonts w:ascii="宋体" w:hAnsi="宋体"/>
                <w:szCs w:val="21"/>
              </w:rPr>
            </w:pPr>
            <w:r>
              <w:rPr>
                <w:rFonts w:hint="eastAsia" w:ascii="宋体" w:hAnsi="宋体"/>
                <w:szCs w:val="21"/>
              </w:rPr>
              <w:t>以上未包括的联营经济组织的经济类型</w:t>
            </w:r>
          </w:p>
        </w:tc>
      </w:tr>
      <w:tr>
        <w:tc>
          <w:tcPr>
            <w:tcW w:w="993" w:type="dxa"/>
            <w:shd w:val="clear" w:color="auto" w:fill="E0E0E0"/>
            <w:vAlign w:val="top"/>
          </w:tcPr>
          <w:p>
            <w:pPr>
              <w:spacing w:beforeLines="30" w:afterLines="30"/>
              <w:jc w:val="center"/>
              <w:rPr>
                <w:rFonts w:ascii="黑体" w:eastAsia="黑体"/>
                <w:szCs w:val="21"/>
              </w:rPr>
            </w:pPr>
            <w:r>
              <w:rPr>
                <w:rFonts w:hint="eastAsia" w:ascii="黑体" w:eastAsia="黑体"/>
                <w:szCs w:val="21"/>
              </w:rPr>
              <w:t>150</w:t>
            </w:r>
          </w:p>
        </w:tc>
        <w:tc>
          <w:tcPr>
            <w:tcW w:w="1417" w:type="dxa"/>
            <w:shd w:val="clear" w:color="auto" w:fill="E0E0E0"/>
            <w:vAlign w:val="top"/>
          </w:tcPr>
          <w:p>
            <w:pPr>
              <w:spacing w:beforeLines="30" w:afterLines="30"/>
              <w:jc w:val="center"/>
              <w:rPr>
                <w:rFonts w:ascii="宋体" w:hAnsi="宋体"/>
                <w:szCs w:val="21"/>
              </w:rPr>
            </w:pPr>
            <w:r>
              <w:rPr>
                <w:rFonts w:hint="eastAsia" w:ascii="宋体" w:hAnsi="宋体"/>
                <w:szCs w:val="21"/>
              </w:rPr>
              <w:t>有限责任（公司）</w:t>
            </w:r>
          </w:p>
        </w:tc>
        <w:tc>
          <w:tcPr>
            <w:tcW w:w="5954" w:type="dxa"/>
            <w:tcBorders>
              <w:right w:val="single" w:color="auto" w:sz="4" w:space="0"/>
            </w:tcBorders>
            <w:shd w:val="clear" w:color="auto" w:fill="E0E0E0"/>
            <w:vAlign w:val="top"/>
          </w:tcPr>
          <w:p>
            <w:pPr>
              <w:spacing w:beforeLines="30" w:afterLines="30"/>
              <w:rPr>
                <w:rFonts w:ascii="宋体" w:hAnsi="宋体"/>
                <w:szCs w:val="21"/>
              </w:rPr>
            </w:pPr>
            <w:r>
              <w:rPr>
                <w:rFonts w:hint="eastAsia" w:ascii="宋体" w:hAnsi="宋体"/>
                <w:szCs w:val="21"/>
              </w:rPr>
              <w:t>根据国家有关规定登记注册，由两个以上，五十个以下的股东共同出资，每个股东以其所认缴的出资额对公司承担有限责任，公司以其全部资产对其债务承担有限责任的经济组织的经济类型。包括国有独资及其他有限责任公司</w:t>
            </w:r>
          </w:p>
        </w:tc>
      </w:tr>
      <w:tr>
        <w:tc>
          <w:tcPr>
            <w:tcW w:w="993" w:type="dxa"/>
            <w:vAlign w:val="top"/>
          </w:tcPr>
          <w:p>
            <w:pPr>
              <w:spacing w:beforeLines="30" w:afterLines="30"/>
              <w:jc w:val="center"/>
              <w:rPr>
                <w:rFonts w:ascii="黑体" w:eastAsia="黑体"/>
                <w:szCs w:val="21"/>
              </w:rPr>
            </w:pPr>
            <w:r>
              <w:rPr>
                <w:rFonts w:hint="eastAsia" w:ascii="黑体" w:eastAsia="黑体"/>
                <w:szCs w:val="21"/>
              </w:rPr>
              <w:t>151</w:t>
            </w:r>
          </w:p>
        </w:tc>
        <w:tc>
          <w:tcPr>
            <w:tcW w:w="1417" w:type="dxa"/>
            <w:vAlign w:val="top"/>
          </w:tcPr>
          <w:p>
            <w:pPr>
              <w:spacing w:beforeLines="30" w:afterLines="30"/>
              <w:jc w:val="center"/>
              <w:rPr>
                <w:rFonts w:ascii="宋体" w:hAnsi="宋体"/>
                <w:szCs w:val="21"/>
              </w:rPr>
            </w:pPr>
            <w:r>
              <w:rPr>
                <w:rFonts w:hint="eastAsia" w:ascii="宋体" w:hAnsi="宋体"/>
                <w:szCs w:val="21"/>
              </w:rPr>
              <w:t>国有独资（公司）</w:t>
            </w:r>
          </w:p>
        </w:tc>
        <w:tc>
          <w:tcPr>
            <w:tcW w:w="5954" w:type="dxa"/>
            <w:tcBorders>
              <w:right w:val="single" w:color="auto" w:sz="4" w:space="0"/>
            </w:tcBorders>
            <w:vAlign w:val="top"/>
          </w:tcPr>
          <w:p>
            <w:pPr>
              <w:spacing w:beforeLines="30" w:afterLines="30"/>
              <w:rPr>
                <w:rFonts w:ascii="宋体" w:hAnsi="宋体"/>
                <w:szCs w:val="21"/>
              </w:rPr>
            </w:pPr>
            <w:r>
              <w:rPr>
                <w:rFonts w:hint="eastAsia" w:ascii="宋体" w:hAnsi="宋体"/>
                <w:szCs w:val="21"/>
              </w:rPr>
              <w:t>国家授权的投资机构或国家授权的部门单独投资设立的有限责任公司的经济类型</w:t>
            </w:r>
          </w:p>
        </w:tc>
      </w:tr>
      <w:tr>
        <w:tc>
          <w:tcPr>
            <w:tcW w:w="993" w:type="dxa"/>
            <w:vAlign w:val="top"/>
          </w:tcPr>
          <w:p>
            <w:pPr>
              <w:spacing w:beforeLines="30" w:afterLines="30"/>
              <w:jc w:val="center"/>
              <w:rPr>
                <w:rFonts w:ascii="黑体" w:eastAsia="黑体"/>
                <w:szCs w:val="21"/>
              </w:rPr>
            </w:pPr>
            <w:r>
              <w:rPr>
                <w:rFonts w:hint="eastAsia" w:ascii="黑体" w:eastAsia="黑体"/>
                <w:szCs w:val="21"/>
              </w:rPr>
              <w:t>159</w:t>
            </w:r>
          </w:p>
        </w:tc>
        <w:tc>
          <w:tcPr>
            <w:tcW w:w="1417" w:type="dxa"/>
            <w:vAlign w:val="top"/>
          </w:tcPr>
          <w:p>
            <w:pPr>
              <w:spacing w:beforeLines="30" w:afterLines="30"/>
              <w:jc w:val="center"/>
              <w:rPr>
                <w:rFonts w:ascii="宋体" w:hAnsi="宋体"/>
                <w:szCs w:val="21"/>
              </w:rPr>
            </w:pPr>
            <w:r>
              <w:rPr>
                <w:rFonts w:hint="eastAsia" w:ascii="宋体" w:hAnsi="宋体"/>
                <w:szCs w:val="21"/>
              </w:rPr>
              <w:t>其他有限责任（公司）</w:t>
            </w:r>
          </w:p>
        </w:tc>
        <w:tc>
          <w:tcPr>
            <w:tcW w:w="5954" w:type="dxa"/>
            <w:tcBorders>
              <w:right w:val="single" w:color="auto" w:sz="4" w:space="0"/>
            </w:tcBorders>
            <w:vAlign w:val="top"/>
          </w:tcPr>
          <w:p>
            <w:pPr>
              <w:spacing w:beforeLines="30" w:afterLines="30"/>
              <w:rPr>
                <w:rFonts w:ascii="宋体" w:hAnsi="宋体"/>
                <w:szCs w:val="21"/>
              </w:rPr>
            </w:pPr>
            <w:r>
              <w:rPr>
                <w:rFonts w:hint="eastAsia" w:ascii="宋体" w:hAnsi="宋体"/>
                <w:szCs w:val="21"/>
              </w:rPr>
              <w:t>国有独资公司以外的其他有限责任公司的经济类型，包括</w:t>
            </w:r>
            <w:r>
              <w:rPr>
                <w:rFonts w:hint="eastAsia" w:ascii="宋体" w:hAnsi="宋体"/>
                <w:color w:val="FF0000"/>
                <w:szCs w:val="21"/>
              </w:rPr>
              <w:t>港澳台及外资股本占公司注册资本的比例小于25％的有限责任公司。</w:t>
            </w:r>
          </w:p>
        </w:tc>
      </w:tr>
      <w:tr>
        <w:tc>
          <w:tcPr>
            <w:tcW w:w="993" w:type="dxa"/>
            <w:tcBorders>
              <w:bottom w:val="single" w:color="auto" w:sz="4" w:space="0"/>
            </w:tcBorders>
            <w:vAlign w:val="top"/>
          </w:tcPr>
          <w:p>
            <w:pPr>
              <w:spacing w:beforeLines="30" w:afterLines="30"/>
              <w:jc w:val="center"/>
              <w:rPr>
                <w:rFonts w:ascii="黑体" w:eastAsia="黑体"/>
                <w:szCs w:val="21"/>
              </w:rPr>
            </w:pPr>
            <w:r>
              <w:rPr>
                <w:rFonts w:hint="eastAsia" w:ascii="黑体" w:eastAsia="黑体"/>
                <w:szCs w:val="21"/>
              </w:rPr>
              <w:t>160</w:t>
            </w:r>
          </w:p>
        </w:tc>
        <w:tc>
          <w:tcPr>
            <w:tcW w:w="1417" w:type="dxa"/>
            <w:tcBorders>
              <w:bottom w:val="single" w:color="auto" w:sz="4" w:space="0"/>
            </w:tcBorders>
            <w:vAlign w:val="top"/>
          </w:tcPr>
          <w:p>
            <w:pPr>
              <w:spacing w:beforeLines="30" w:afterLines="30"/>
              <w:jc w:val="center"/>
              <w:rPr>
                <w:rFonts w:ascii="宋体" w:hAnsi="宋体"/>
                <w:szCs w:val="21"/>
              </w:rPr>
            </w:pPr>
            <w:r>
              <w:rPr>
                <w:rFonts w:hint="eastAsia" w:ascii="宋体" w:hAnsi="宋体"/>
                <w:szCs w:val="21"/>
              </w:rPr>
              <w:t>股份有限（公司）</w:t>
            </w:r>
          </w:p>
        </w:tc>
        <w:tc>
          <w:tcPr>
            <w:tcW w:w="5954" w:type="dxa"/>
            <w:tcBorders>
              <w:bottom w:val="single" w:color="auto" w:sz="4" w:space="0"/>
              <w:right w:val="single" w:color="auto" w:sz="4" w:space="0"/>
            </w:tcBorders>
            <w:vAlign w:val="top"/>
          </w:tcPr>
          <w:p>
            <w:pPr>
              <w:spacing w:beforeLines="30" w:afterLines="30"/>
              <w:rPr>
                <w:rFonts w:ascii="宋体" w:hAnsi="宋体"/>
                <w:szCs w:val="21"/>
              </w:rPr>
            </w:pPr>
            <w:r>
              <w:rPr>
                <w:rFonts w:hint="eastAsia" w:ascii="宋体" w:hAnsi="宋体"/>
                <w:szCs w:val="21"/>
              </w:rPr>
              <w:t>根据国家有关规定登记注册，其全部注册资本由等额股份构成并通过发行股票筹集资本，股东以其认购的股份对公司承担有限责任，公司以其全部资产对其债务承担责任的经济组织的经济类型，</w:t>
            </w:r>
            <w:r>
              <w:rPr>
                <w:rFonts w:hint="eastAsia" w:ascii="宋体" w:hAnsi="宋体"/>
                <w:color w:val="FF0000"/>
                <w:szCs w:val="21"/>
              </w:rPr>
              <w:t>包括港澳台及外资股本占公司注册资本的比例小于25％的股份有限公司</w:t>
            </w:r>
            <w:r>
              <w:rPr>
                <w:rFonts w:hint="eastAsia" w:ascii="宋体" w:hAnsi="宋体"/>
                <w:szCs w:val="21"/>
              </w:rPr>
              <w:t>。</w:t>
            </w:r>
          </w:p>
        </w:tc>
      </w:tr>
      <w:tr>
        <w:tc>
          <w:tcPr>
            <w:tcW w:w="993" w:type="dxa"/>
            <w:shd w:val="clear" w:color="auto" w:fill="E0E0E0"/>
            <w:vAlign w:val="top"/>
          </w:tcPr>
          <w:p>
            <w:pPr>
              <w:spacing w:beforeLines="30" w:afterLines="30"/>
              <w:jc w:val="center"/>
              <w:rPr>
                <w:rFonts w:ascii="黑体" w:eastAsia="黑体"/>
                <w:szCs w:val="21"/>
              </w:rPr>
            </w:pPr>
            <w:r>
              <w:rPr>
                <w:rFonts w:hint="eastAsia" w:ascii="黑体" w:eastAsia="黑体"/>
                <w:szCs w:val="21"/>
              </w:rPr>
              <w:t>170</w:t>
            </w:r>
          </w:p>
        </w:tc>
        <w:tc>
          <w:tcPr>
            <w:tcW w:w="1417" w:type="dxa"/>
            <w:shd w:val="clear" w:color="auto" w:fill="E0E0E0"/>
            <w:vAlign w:val="top"/>
          </w:tcPr>
          <w:p>
            <w:pPr>
              <w:spacing w:beforeLines="30" w:afterLines="30"/>
              <w:jc w:val="center"/>
              <w:rPr>
                <w:rFonts w:ascii="宋体" w:hAnsi="宋体"/>
                <w:szCs w:val="21"/>
              </w:rPr>
            </w:pPr>
            <w:r>
              <w:rPr>
                <w:rFonts w:hint="eastAsia" w:ascii="宋体" w:hAnsi="宋体"/>
                <w:szCs w:val="21"/>
              </w:rPr>
              <w:t>私有</w:t>
            </w:r>
          </w:p>
        </w:tc>
        <w:tc>
          <w:tcPr>
            <w:tcW w:w="5954" w:type="dxa"/>
            <w:tcBorders>
              <w:right w:val="single" w:color="auto" w:sz="4" w:space="0"/>
            </w:tcBorders>
            <w:shd w:val="clear" w:color="auto" w:fill="E0E0E0"/>
            <w:vAlign w:val="top"/>
          </w:tcPr>
          <w:p>
            <w:pPr>
              <w:spacing w:beforeLines="30" w:afterLines="30"/>
              <w:rPr>
                <w:rFonts w:ascii="宋体" w:hAnsi="宋体"/>
                <w:szCs w:val="21"/>
              </w:rPr>
            </w:pPr>
            <w:r>
              <w:rPr>
                <w:rFonts w:hint="eastAsia" w:ascii="宋体" w:hAnsi="宋体"/>
                <w:szCs w:val="21"/>
              </w:rPr>
              <w:t>由自然人投资设立或由自然人控股，以雇佣劳动为基础的营利性经济组织的经济类型</w:t>
            </w:r>
          </w:p>
        </w:tc>
      </w:tr>
      <w:tr>
        <w:tc>
          <w:tcPr>
            <w:tcW w:w="993" w:type="dxa"/>
            <w:vAlign w:val="top"/>
          </w:tcPr>
          <w:p>
            <w:pPr>
              <w:spacing w:beforeLines="30" w:afterLines="30"/>
              <w:jc w:val="center"/>
              <w:rPr>
                <w:rFonts w:ascii="黑体" w:eastAsia="黑体"/>
                <w:szCs w:val="21"/>
              </w:rPr>
            </w:pPr>
            <w:r>
              <w:rPr>
                <w:rFonts w:hint="eastAsia" w:ascii="黑体" w:eastAsia="黑体"/>
                <w:szCs w:val="21"/>
              </w:rPr>
              <w:t>171</w:t>
            </w:r>
          </w:p>
        </w:tc>
        <w:tc>
          <w:tcPr>
            <w:tcW w:w="1417" w:type="dxa"/>
            <w:vAlign w:val="top"/>
          </w:tcPr>
          <w:p>
            <w:pPr>
              <w:spacing w:beforeLines="30" w:afterLines="30"/>
              <w:jc w:val="center"/>
              <w:rPr>
                <w:rFonts w:ascii="宋体" w:hAnsi="宋体"/>
                <w:sz w:val="18"/>
                <w:szCs w:val="21"/>
              </w:rPr>
            </w:pPr>
            <w:r>
              <w:rPr>
                <w:rFonts w:hint="eastAsia" w:ascii="宋体" w:hAnsi="宋体"/>
                <w:szCs w:val="21"/>
              </w:rPr>
              <w:t>私有独资</w:t>
            </w:r>
          </w:p>
        </w:tc>
        <w:tc>
          <w:tcPr>
            <w:tcW w:w="5954" w:type="dxa"/>
            <w:tcBorders>
              <w:right w:val="single" w:color="auto" w:sz="4" w:space="0"/>
            </w:tcBorders>
            <w:vAlign w:val="top"/>
          </w:tcPr>
          <w:p>
            <w:pPr>
              <w:spacing w:beforeLines="30" w:afterLines="30"/>
              <w:rPr>
                <w:rFonts w:ascii="宋体" w:hAnsi="宋体"/>
                <w:sz w:val="18"/>
                <w:szCs w:val="21"/>
              </w:rPr>
            </w:pPr>
            <w:r>
              <w:rPr>
                <w:rFonts w:hint="eastAsia" w:ascii="宋体" w:hAnsi="宋体"/>
                <w:szCs w:val="21"/>
              </w:rPr>
              <w:t>根据国家有关规定，由一名自然人投资经营，以雇佣劳动为基础，对债务承担无限责任的经济组织的经济类型</w:t>
            </w:r>
          </w:p>
        </w:tc>
      </w:tr>
      <w:tr>
        <w:tc>
          <w:tcPr>
            <w:tcW w:w="993" w:type="dxa"/>
            <w:vAlign w:val="top"/>
          </w:tcPr>
          <w:p>
            <w:pPr>
              <w:spacing w:beforeLines="30" w:afterLines="30"/>
              <w:jc w:val="center"/>
              <w:rPr>
                <w:rFonts w:ascii="黑体" w:eastAsia="黑体"/>
                <w:sz w:val="18"/>
                <w:szCs w:val="21"/>
              </w:rPr>
            </w:pPr>
            <w:r>
              <w:rPr>
                <w:rFonts w:hint="eastAsia" w:ascii="黑体" w:eastAsia="黑体"/>
                <w:szCs w:val="21"/>
              </w:rPr>
              <w:t>172</w:t>
            </w:r>
          </w:p>
        </w:tc>
        <w:tc>
          <w:tcPr>
            <w:tcW w:w="1417" w:type="dxa"/>
            <w:vAlign w:val="top"/>
          </w:tcPr>
          <w:p>
            <w:pPr>
              <w:spacing w:beforeLines="30" w:afterLines="30"/>
              <w:jc w:val="center"/>
              <w:rPr>
                <w:rFonts w:ascii="宋体" w:hAnsi="宋体"/>
                <w:sz w:val="18"/>
                <w:szCs w:val="21"/>
              </w:rPr>
            </w:pPr>
            <w:r>
              <w:rPr>
                <w:rFonts w:hint="eastAsia" w:ascii="宋体" w:hAnsi="宋体"/>
                <w:szCs w:val="21"/>
              </w:rPr>
              <w:t>私有合伙</w:t>
            </w:r>
          </w:p>
        </w:tc>
        <w:tc>
          <w:tcPr>
            <w:tcW w:w="5954" w:type="dxa"/>
            <w:tcBorders>
              <w:right w:val="single" w:color="auto" w:sz="4" w:space="0"/>
            </w:tcBorders>
            <w:vAlign w:val="top"/>
          </w:tcPr>
          <w:p>
            <w:pPr>
              <w:spacing w:beforeLines="30" w:afterLines="30"/>
              <w:rPr>
                <w:rFonts w:ascii="宋体" w:hAnsi="宋体"/>
                <w:sz w:val="18"/>
                <w:szCs w:val="21"/>
              </w:rPr>
            </w:pPr>
            <w:r>
              <w:rPr>
                <w:rFonts w:hint="eastAsia" w:ascii="宋体" w:hAnsi="宋体"/>
                <w:szCs w:val="21"/>
              </w:rPr>
              <w:t>根据国家有关规定，由两个以上自然人按照协议共同投资、共同经营、共负盈亏，以雇佣劳动为基础，对债务承担无限责任的经济组织的经济类型</w:t>
            </w:r>
          </w:p>
        </w:tc>
      </w:tr>
      <w:tr>
        <w:tc>
          <w:tcPr>
            <w:tcW w:w="993" w:type="dxa"/>
            <w:vAlign w:val="top"/>
          </w:tcPr>
          <w:p>
            <w:pPr>
              <w:spacing w:beforeLines="30" w:afterLines="30"/>
              <w:jc w:val="center"/>
              <w:rPr>
                <w:rFonts w:ascii="黑体" w:eastAsia="黑体"/>
                <w:sz w:val="18"/>
                <w:szCs w:val="21"/>
              </w:rPr>
            </w:pPr>
            <w:r>
              <w:rPr>
                <w:rFonts w:hint="eastAsia" w:ascii="黑体" w:eastAsia="黑体"/>
                <w:szCs w:val="21"/>
              </w:rPr>
              <w:t>173</w:t>
            </w:r>
          </w:p>
        </w:tc>
        <w:tc>
          <w:tcPr>
            <w:tcW w:w="1417" w:type="dxa"/>
            <w:vAlign w:val="top"/>
          </w:tcPr>
          <w:p>
            <w:pPr>
              <w:spacing w:beforeLines="30" w:afterLines="30"/>
              <w:jc w:val="center"/>
              <w:rPr>
                <w:rFonts w:ascii="宋体" w:hAnsi="宋体"/>
                <w:sz w:val="18"/>
                <w:szCs w:val="21"/>
              </w:rPr>
            </w:pPr>
            <w:r>
              <w:rPr>
                <w:rFonts w:hint="eastAsia" w:ascii="宋体" w:hAnsi="宋体"/>
                <w:szCs w:val="21"/>
              </w:rPr>
              <w:t>私营有限责任（公司）</w:t>
            </w:r>
          </w:p>
        </w:tc>
        <w:tc>
          <w:tcPr>
            <w:tcW w:w="5954" w:type="dxa"/>
            <w:tcBorders>
              <w:right w:val="single" w:color="auto" w:sz="4" w:space="0"/>
            </w:tcBorders>
            <w:vAlign w:val="top"/>
          </w:tcPr>
          <w:p>
            <w:pPr>
              <w:spacing w:beforeLines="30" w:afterLines="30"/>
              <w:rPr>
                <w:rFonts w:ascii="宋体" w:hAnsi="宋体"/>
                <w:sz w:val="18"/>
                <w:szCs w:val="21"/>
              </w:rPr>
            </w:pPr>
            <w:r>
              <w:rPr>
                <w:rFonts w:hint="eastAsia" w:ascii="宋体" w:hAnsi="宋体"/>
                <w:szCs w:val="21"/>
              </w:rPr>
              <w:t>根据国家有关规定，由两个以上自然人投资或由单个自然人控股的股份有限公司的经济类型</w:t>
            </w:r>
          </w:p>
        </w:tc>
      </w:tr>
      <w:tr>
        <w:tc>
          <w:tcPr>
            <w:tcW w:w="993" w:type="dxa"/>
            <w:vAlign w:val="top"/>
          </w:tcPr>
          <w:p>
            <w:pPr>
              <w:spacing w:beforeLines="30" w:afterLines="30"/>
              <w:jc w:val="center"/>
              <w:rPr>
                <w:rFonts w:ascii="黑体" w:eastAsia="黑体"/>
                <w:sz w:val="18"/>
                <w:szCs w:val="21"/>
              </w:rPr>
            </w:pPr>
            <w:r>
              <w:rPr>
                <w:rFonts w:hint="eastAsia" w:ascii="黑体" w:eastAsia="黑体"/>
                <w:szCs w:val="21"/>
              </w:rPr>
              <w:t>174</w:t>
            </w:r>
          </w:p>
        </w:tc>
        <w:tc>
          <w:tcPr>
            <w:tcW w:w="1417" w:type="dxa"/>
            <w:vAlign w:val="top"/>
          </w:tcPr>
          <w:p>
            <w:pPr>
              <w:spacing w:beforeLines="30" w:afterLines="30"/>
              <w:jc w:val="center"/>
              <w:rPr>
                <w:rFonts w:ascii="宋体" w:hAnsi="宋体"/>
                <w:sz w:val="18"/>
                <w:szCs w:val="21"/>
              </w:rPr>
            </w:pPr>
            <w:r>
              <w:rPr>
                <w:rFonts w:hint="eastAsia" w:ascii="宋体" w:hAnsi="宋体"/>
                <w:szCs w:val="21"/>
              </w:rPr>
              <w:t>私营股份有限（公司）</w:t>
            </w:r>
          </w:p>
        </w:tc>
        <w:tc>
          <w:tcPr>
            <w:tcW w:w="5954" w:type="dxa"/>
            <w:tcBorders>
              <w:right w:val="single" w:color="auto" w:sz="4" w:space="0"/>
            </w:tcBorders>
            <w:vAlign w:val="top"/>
          </w:tcPr>
          <w:p>
            <w:pPr>
              <w:spacing w:beforeLines="30" w:afterLines="30"/>
              <w:rPr>
                <w:rFonts w:ascii="宋体" w:hAnsi="宋体"/>
                <w:sz w:val="18"/>
                <w:szCs w:val="21"/>
              </w:rPr>
            </w:pPr>
            <w:r>
              <w:rPr>
                <w:rFonts w:hint="eastAsia" w:ascii="宋体" w:hAnsi="宋体"/>
                <w:szCs w:val="21"/>
              </w:rPr>
              <w:t>根据国家有关规定，由五个以上自然人投资或单个自然人控股的股份有限公司的经济类型</w:t>
            </w:r>
          </w:p>
        </w:tc>
      </w:tr>
      <w:tr>
        <w:tc>
          <w:tcPr>
            <w:tcW w:w="993" w:type="dxa"/>
            <w:vAlign w:val="top"/>
          </w:tcPr>
          <w:p>
            <w:pPr>
              <w:spacing w:beforeLines="30" w:afterLines="30"/>
              <w:jc w:val="center"/>
              <w:rPr>
                <w:rFonts w:ascii="黑体" w:eastAsia="黑体"/>
                <w:sz w:val="18"/>
                <w:szCs w:val="21"/>
              </w:rPr>
            </w:pPr>
            <w:r>
              <w:rPr>
                <w:rFonts w:hint="eastAsia" w:ascii="黑体" w:eastAsia="黑体"/>
                <w:szCs w:val="21"/>
              </w:rPr>
              <w:t>175</w:t>
            </w:r>
          </w:p>
        </w:tc>
        <w:tc>
          <w:tcPr>
            <w:tcW w:w="1417" w:type="dxa"/>
            <w:vAlign w:val="top"/>
          </w:tcPr>
          <w:p>
            <w:pPr>
              <w:spacing w:beforeLines="30" w:afterLines="30"/>
              <w:jc w:val="center"/>
              <w:rPr>
                <w:rFonts w:ascii="宋体" w:hAnsi="宋体"/>
                <w:sz w:val="18"/>
                <w:szCs w:val="21"/>
              </w:rPr>
            </w:pPr>
            <w:r>
              <w:rPr>
                <w:rFonts w:hint="eastAsia" w:ascii="宋体" w:hAnsi="宋体"/>
                <w:szCs w:val="21"/>
              </w:rPr>
              <w:t>个体经营</w:t>
            </w:r>
          </w:p>
        </w:tc>
        <w:tc>
          <w:tcPr>
            <w:tcW w:w="5954" w:type="dxa"/>
            <w:tcBorders>
              <w:right w:val="single" w:color="auto" w:sz="4" w:space="0"/>
            </w:tcBorders>
            <w:vAlign w:val="top"/>
          </w:tcPr>
          <w:p>
            <w:pPr>
              <w:spacing w:beforeLines="30" w:afterLines="30"/>
              <w:rPr>
                <w:rFonts w:ascii="宋体" w:hAnsi="宋体"/>
                <w:sz w:val="18"/>
                <w:szCs w:val="21"/>
              </w:rPr>
            </w:pPr>
            <w:r>
              <w:rPr>
                <w:rFonts w:hint="eastAsia" w:ascii="宋体" w:hAnsi="宋体"/>
                <w:szCs w:val="21"/>
              </w:rPr>
              <w:t>个人从事生产劳动，生产资料和产品或收入归个人所有，雇工7人（含7人）以下，以个人全部财产承担民事责任的经济组织。包括城镇个体经营，还包括农村的非农业个体经营</w:t>
            </w:r>
          </w:p>
        </w:tc>
      </w:tr>
      <w:tr>
        <w:tc>
          <w:tcPr>
            <w:tcW w:w="993" w:type="dxa"/>
            <w:vAlign w:val="top"/>
          </w:tcPr>
          <w:p>
            <w:pPr>
              <w:spacing w:beforeLines="30" w:afterLines="30"/>
              <w:jc w:val="center"/>
              <w:rPr>
                <w:rFonts w:ascii="黑体" w:eastAsia="黑体"/>
                <w:sz w:val="18"/>
                <w:szCs w:val="21"/>
              </w:rPr>
            </w:pPr>
            <w:r>
              <w:rPr>
                <w:rFonts w:hint="eastAsia" w:ascii="黑体" w:eastAsia="黑体"/>
                <w:szCs w:val="21"/>
              </w:rPr>
              <w:t>179</w:t>
            </w:r>
          </w:p>
        </w:tc>
        <w:tc>
          <w:tcPr>
            <w:tcW w:w="1417" w:type="dxa"/>
            <w:vAlign w:val="top"/>
          </w:tcPr>
          <w:p>
            <w:pPr>
              <w:spacing w:beforeLines="30" w:afterLines="30"/>
              <w:jc w:val="center"/>
              <w:rPr>
                <w:rFonts w:ascii="宋体" w:hAnsi="宋体"/>
                <w:sz w:val="18"/>
                <w:szCs w:val="21"/>
              </w:rPr>
            </w:pPr>
            <w:r>
              <w:rPr>
                <w:rFonts w:hint="eastAsia" w:ascii="宋体" w:hAnsi="宋体"/>
                <w:szCs w:val="21"/>
              </w:rPr>
              <w:t>其他私有</w:t>
            </w:r>
          </w:p>
        </w:tc>
        <w:tc>
          <w:tcPr>
            <w:tcW w:w="5954" w:type="dxa"/>
            <w:tcBorders>
              <w:right w:val="single" w:color="auto" w:sz="4" w:space="0"/>
            </w:tcBorders>
            <w:vAlign w:val="top"/>
          </w:tcPr>
          <w:p>
            <w:pPr>
              <w:spacing w:beforeLines="30" w:afterLines="30"/>
              <w:rPr>
                <w:rFonts w:ascii="宋体" w:hAnsi="宋体"/>
                <w:sz w:val="18"/>
                <w:szCs w:val="21"/>
              </w:rPr>
            </w:pPr>
            <w:r>
              <w:rPr>
                <w:rFonts w:hint="eastAsia" w:ascii="宋体" w:hAnsi="宋体"/>
                <w:szCs w:val="21"/>
              </w:rPr>
              <w:t>以上未包括的私有经济类型</w:t>
            </w:r>
          </w:p>
        </w:tc>
      </w:tr>
      <w:tr>
        <w:tc>
          <w:tcPr>
            <w:tcW w:w="993" w:type="dxa"/>
            <w:tcBorders>
              <w:bottom w:val="single" w:color="auto" w:sz="4" w:space="0"/>
            </w:tcBorders>
            <w:vAlign w:val="top"/>
          </w:tcPr>
          <w:p>
            <w:pPr>
              <w:spacing w:beforeLines="30" w:afterLines="30"/>
              <w:jc w:val="center"/>
              <w:rPr>
                <w:rFonts w:ascii="黑体" w:eastAsia="黑体"/>
                <w:sz w:val="18"/>
                <w:szCs w:val="21"/>
              </w:rPr>
            </w:pPr>
            <w:r>
              <w:rPr>
                <w:rFonts w:hint="eastAsia" w:ascii="黑体" w:eastAsia="黑体"/>
                <w:szCs w:val="21"/>
              </w:rPr>
              <w:t>190</w:t>
            </w:r>
          </w:p>
        </w:tc>
        <w:tc>
          <w:tcPr>
            <w:tcW w:w="1417" w:type="dxa"/>
            <w:tcBorders>
              <w:bottom w:val="single" w:color="auto" w:sz="4" w:space="0"/>
            </w:tcBorders>
            <w:vAlign w:val="top"/>
          </w:tcPr>
          <w:p>
            <w:pPr>
              <w:spacing w:beforeLines="30" w:afterLines="30"/>
              <w:jc w:val="center"/>
              <w:rPr>
                <w:rFonts w:ascii="宋体" w:hAnsi="宋体"/>
                <w:sz w:val="18"/>
                <w:szCs w:val="21"/>
              </w:rPr>
            </w:pPr>
            <w:r>
              <w:rPr>
                <w:rFonts w:hint="eastAsia" w:ascii="宋体" w:hAnsi="宋体"/>
                <w:szCs w:val="21"/>
              </w:rPr>
              <w:t>其他内资</w:t>
            </w:r>
          </w:p>
        </w:tc>
        <w:tc>
          <w:tcPr>
            <w:tcW w:w="5954" w:type="dxa"/>
            <w:tcBorders>
              <w:bottom w:val="single" w:color="auto" w:sz="4" w:space="0"/>
              <w:right w:val="single" w:color="auto" w:sz="4" w:space="0"/>
            </w:tcBorders>
            <w:vAlign w:val="top"/>
          </w:tcPr>
          <w:p>
            <w:pPr>
              <w:spacing w:beforeLines="30" w:afterLines="30"/>
              <w:rPr>
                <w:rFonts w:ascii="宋体" w:hAnsi="宋体"/>
                <w:sz w:val="18"/>
                <w:szCs w:val="21"/>
              </w:rPr>
            </w:pPr>
            <w:r>
              <w:rPr>
                <w:rFonts w:hint="eastAsia" w:ascii="宋体" w:hAnsi="宋体"/>
                <w:szCs w:val="21"/>
              </w:rPr>
              <w:t>以上未包括的内资经济类型</w:t>
            </w:r>
          </w:p>
        </w:tc>
      </w:tr>
      <w:tr>
        <w:tc>
          <w:tcPr>
            <w:tcW w:w="993" w:type="dxa"/>
            <w:shd w:val="clear" w:color="auto" w:fill="E0E0E0"/>
            <w:vAlign w:val="top"/>
          </w:tcPr>
          <w:p>
            <w:pPr>
              <w:spacing w:beforeLines="30" w:afterLines="30"/>
              <w:jc w:val="center"/>
              <w:rPr>
                <w:rFonts w:ascii="黑体" w:eastAsia="黑体"/>
                <w:b/>
                <w:sz w:val="18"/>
                <w:szCs w:val="21"/>
              </w:rPr>
            </w:pPr>
            <w:r>
              <w:rPr>
                <w:rFonts w:hint="eastAsia" w:ascii="黑体" w:eastAsia="黑体"/>
                <w:b/>
                <w:szCs w:val="21"/>
              </w:rPr>
              <w:t>200</w:t>
            </w:r>
          </w:p>
        </w:tc>
        <w:tc>
          <w:tcPr>
            <w:tcW w:w="1417" w:type="dxa"/>
            <w:shd w:val="clear" w:color="auto" w:fill="E0E0E0"/>
            <w:vAlign w:val="top"/>
          </w:tcPr>
          <w:p>
            <w:pPr>
              <w:spacing w:beforeLines="30" w:afterLines="30"/>
              <w:jc w:val="center"/>
              <w:rPr>
                <w:rFonts w:ascii="宋体" w:hAnsi="宋体"/>
                <w:b/>
                <w:sz w:val="18"/>
                <w:szCs w:val="21"/>
              </w:rPr>
            </w:pPr>
            <w:r>
              <w:rPr>
                <w:rFonts w:hint="eastAsia" w:ascii="宋体" w:hAnsi="宋体"/>
                <w:b/>
                <w:szCs w:val="21"/>
              </w:rPr>
              <w:t xml:space="preserve"> 港澳台投资</w:t>
            </w:r>
          </w:p>
        </w:tc>
        <w:tc>
          <w:tcPr>
            <w:tcW w:w="5954" w:type="dxa"/>
            <w:tcBorders>
              <w:right w:val="single" w:color="auto" w:sz="4" w:space="0"/>
            </w:tcBorders>
            <w:shd w:val="clear" w:color="auto" w:fill="E0E0E0"/>
            <w:vAlign w:val="top"/>
          </w:tcPr>
          <w:p>
            <w:pPr>
              <w:spacing w:beforeLines="30" w:afterLines="30"/>
              <w:rPr>
                <w:rFonts w:ascii="宋体" w:hAnsi="宋体"/>
                <w:b/>
                <w:sz w:val="18"/>
                <w:szCs w:val="21"/>
              </w:rPr>
            </w:pPr>
            <w:r>
              <w:rPr>
                <w:rFonts w:hint="eastAsia" w:ascii="宋体" w:hAnsi="宋体"/>
                <w:b/>
                <w:szCs w:val="21"/>
              </w:rPr>
              <w:t>资本（资金）部分（达到国家规定比例以上</w:t>
            </w:r>
            <w:r>
              <w:rPr>
                <w:rStyle w:val="24"/>
                <w:rFonts w:ascii="宋体" w:hAnsi="宋体"/>
                <w:b/>
                <w:szCs w:val="21"/>
              </w:rPr>
              <w:footnoteReference w:id="0"/>
            </w:r>
            <w:r>
              <w:rPr>
                <w:rFonts w:hint="eastAsia" w:ascii="宋体" w:hAnsi="宋体"/>
                <w:b/>
                <w:szCs w:val="21"/>
              </w:rPr>
              <w:t>）或全部来源于港澳台经济组织的经济类型</w:t>
            </w:r>
          </w:p>
        </w:tc>
      </w:tr>
      <w:tr>
        <w:tc>
          <w:tcPr>
            <w:tcW w:w="993" w:type="dxa"/>
            <w:vAlign w:val="top"/>
          </w:tcPr>
          <w:p>
            <w:pPr>
              <w:spacing w:beforeLines="30" w:afterLines="30"/>
              <w:jc w:val="center"/>
              <w:rPr>
                <w:rFonts w:ascii="黑体" w:eastAsia="黑体"/>
                <w:szCs w:val="21"/>
              </w:rPr>
            </w:pPr>
            <w:r>
              <w:rPr>
                <w:rFonts w:hint="eastAsia" w:ascii="黑体" w:eastAsia="黑体"/>
                <w:szCs w:val="21"/>
              </w:rPr>
              <w:t>210</w:t>
            </w:r>
          </w:p>
        </w:tc>
        <w:tc>
          <w:tcPr>
            <w:tcW w:w="1417" w:type="dxa"/>
            <w:vAlign w:val="top"/>
          </w:tcPr>
          <w:p>
            <w:pPr>
              <w:spacing w:beforeLines="30" w:afterLines="30"/>
              <w:jc w:val="center"/>
              <w:rPr>
                <w:rFonts w:ascii="宋体" w:hAnsi="宋体"/>
                <w:szCs w:val="21"/>
              </w:rPr>
            </w:pPr>
            <w:r>
              <w:rPr>
                <w:rFonts w:hint="eastAsia" w:ascii="宋体" w:hAnsi="宋体"/>
                <w:szCs w:val="21"/>
              </w:rPr>
              <w:t>内地和港澳台合资</w:t>
            </w:r>
          </w:p>
        </w:tc>
        <w:tc>
          <w:tcPr>
            <w:tcW w:w="5954" w:type="dxa"/>
            <w:tcBorders>
              <w:right w:val="single" w:color="auto" w:sz="4" w:space="0"/>
            </w:tcBorders>
            <w:vAlign w:val="top"/>
          </w:tcPr>
          <w:p>
            <w:pPr>
              <w:spacing w:beforeLines="30" w:afterLines="30"/>
              <w:rPr>
                <w:rFonts w:ascii="宋体" w:hAnsi="宋体"/>
                <w:szCs w:val="21"/>
              </w:rPr>
            </w:pPr>
            <w:r>
              <w:rPr>
                <w:rFonts w:hint="eastAsia" w:ascii="宋体" w:hAnsi="宋体"/>
                <w:szCs w:val="21"/>
              </w:rPr>
              <w:t>港澳台地区投资者与内地经济组织依照《中华人民共和国中外合资经营企业法》及有关法律规定，按合资合同规定的比例投资设立、分配利润和分担风险的经济组织的经济类型</w:t>
            </w:r>
          </w:p>
        </w:tc>
      </w:tr>
      <w:tr>
        <w:tc>
          <w:tcPr>
            <w:tcW w:w="993" w:type="dxa"/>
            <w:vAlign w:val="top"/>
          </w:tcPr>
          <w:p>
            <w:pPr>
              <w:spacing w:beforeLines="30" w:afterLines="30"/>
              <w:jc w:val="center"/>
              <w:rPr>
                <w:rFonts w:ascii="黑体" w:eastAsia="黑体"/>
                <w:szCs w:val="21"/>
              </w:rPr>
            </w:pPr>
            <w:r>
              <w:rPr>
                <w:rFonts w:hint="eastAsia" w:ascii="黑体" w:eastAsia="黑体"/>
                <w:szCs w:val="21"/>
              </w:rPr>
              <w:t>220</w:t>
            </w:r>
          </w:p>
        </w:tc>
        <w:tc>
          <w:tcPr>
            <w:tcW w:w="1417" w:type="dxa"/>
            <w:vAlign w:val="top"/>
          </w:tcPr>
          <w:p>
            <w:pPr>
              <w:spacing w:beforeLines="30" w:afterLines="30"/>
              <w:jc w:val="center"/>
              <w:rPr>
                <w:rFonts w:ascii="宋体" w:hAnsi="宋体"/>
                <w:szCs w:val="21"/>
              </w:rPr>
            </w:pPr>
            <w:r>
              <w:rPr>
                <w:rFonts w:hint="eastAsia" w:ascii="宋体" w:hAnsi="宋体"/>
                <w:szCs w:val="21"/>
              </w:rPr>
              <w:t>内地和港澳台合作</w:t>
            </w:r>
          </w:p>
        </w:tc>
        <w:tc>
          <w:tcPr>
            <w:tcW w:w="5954" w:type="dxa"/>
            <w:tcBorders>
              <w:right w:val="single" w:color="auto" w:sz="4" w:space="0"/>
            </w:tcBorders>
            <w:vAlign w:val="top"/>
          </w:tcPr>
          <w:p>
            <w:pPr>
              <w:spacing w:beforeLines="30" w:afterLines="30"/>
              <w:rPr>
                <w:rFonts w:ascii="宋体" w:hAnsi="宋体"/>
                <w:szCs w:val="21"/>
              </w:rPr>
            </w:pPr>
            <w:r>
              <w:rPr>
                <w:rFonts w:hint="eastAsia" w:ascii="宋体" w:hAnsi="宋体"/>
                <w:szCs w:val="21"/>
              </w:rPr>
              <w:t>港澳台地区投资者与内地经济组织依照《中华人民共和国中外合作经营企业法》及有关法律的规定，按合作合同的约定进行投资或提供条件设立、分配利润和分担风险的经济组织的经济类型</w:t>
            </w:r>
          </w:p>
        </w:tc>
      </w:tr>
      <w:tr>
        <w:tc>
          <w:tcPr>
            <w:tcW w:w="993" w:type="dxa"/>
            <w:vAlign w:val="top"/>
          </w:tcPr>
          <w:p>
            <w:pPr>
              <w:spacing w:beforeLines="30" w:afterLines="30"/>
              <w:jc w:val="center"/>
              <w:rPr>
                <w:rFonts w:ascii="黑体" w:eastAsia="黑体"/>
                <w:szCs w:val="21"/>
              </w:rPr>
            </w:pPr>
            <w:r>
              <w:rPr>
                <w:rFonts w:hint="eastAsia" w:ascii="黑体" w:eastAsia="黑体"/>
                <w:szCs w:val="21"/>
              </w:rPr>
              <w:t>230</w:t>
            </w:r>
          </w:p>
        </w:tc>
        <w:tc>
          <w:tcPr>
            <w:tcW w:w="1417" w:type="dxa"/>
            <w:vAlign w:val="top"/>
          </w:tcPr>
          <w:p>
            <w:pPr>
              <w:spacing w:beforeLines="30" w:afterLines="30"/>
              <w:jc w:val="center"/>
              <w:rPr>
                <w:rFonts w:ascii="宋体" w:hAnsi="宋体"/>
                <w:szCs w:val="21"/>
              </w:rPr>
            </w:pPr>
            <w:r>
              <w:rPr>
                <w:rFonts w:hint="eastAsia" w:ascii="宋体" w:hAnsi="宋体"/>
                <w:szCs w:val="21"/>
              </w:rPr>
              <w:t>港澳台独资</w:t>
            </w:r>
          </w:p>
        </w:tc>
        <w:tc>
          <w:tcPr>
            <w:tcW w:w="5954" w:type="dxa"/>
            <w:tcBorders>
              <w:right w:val="single" w:color="auto" w:sz="4" w:space="0"/>
            </w:tcBorders>
            <w:vAlign w:val="top"/>
          </w:tcPr>
          <w:p>
            <w:pPr>
              <w:spacing w:beforeLines="30" w:afterLines="30"/>
              <w:rPr>
                <w:rFonts w:ascii="宋体" w:hAnsi="宋体"/>
                <w:szCs w:val="21"/>
              </w:rPr>
            </w:pPr>
            <w:r>
              <w:rPr>
                <w:rFonts w:hint="eastAsia" w:ascii="宋体" w:hAnsi="宋体"/>
                <w:szCs w:val="21"/>
              </w:rPr>
              <w:t>依照《中华人民共和国外资企业法》及有关法律规定，在内地由港澳台地区投资者全额投资设立的经济组织的经济类型</w:t>
            </w:r>
          </w:p>
        </w:tc>
      </w:tr>
      <w:tr>
        <w:tc>
          <w:tcPr>
            <w:tcW w:w="993" w:type="dxa"/>
            <w:vAlign w:val="top"/>
          </w:tcPr>
          <w:p>
            <w:pPr>
              <w:spacing w:beforeLines="30" w:afterLines="30"/>
              <w:jc w:val="center"/>
              <w:rPr>
                <w:rFonts w:ascii="黑体" w:eastAsia="黑体"/>
                <w:szCs w:val="21"/>
              </w:rPr>
            </w:pPr>
            <w:r>
              <w:rPr>
                <w:rFonts w:hint="eastAsia" w:ascii="黑体" w:eastAsia="黑体"/>
                <w:szCs w:val="21"/>
              </w:rPr>
              <w:t>240</w:t>
            </w:r>
          </w:p>
        </w:tc>
        <w:tc>
          <w:tcPr>
            <w:tcW w:w="1417" w:type="dxa"/>
            <w:vAlign w:val="top"/>
          </w:tcPr>
          <w:p>
            <w:pPr>
              <w:spacing w:beforeLines="30" w:afterLines="30"/>
              <w:jc w:val="center"/>
              <w:rPr>
                <w:rFonts w:ascii="宋体" w:hAnsi="宋体"/>
                <w:szCs w:val="21"/>
              </w:rPr>
            </w:pPr>
            <w:r>
              <w:rPr>
                <w:rFonts w:hint="eastAsia" w:ascii="宋体" w:hAnsi="宋体"/>
                <w:szCs w:val="21"/>
              </w:rPr>
              <w:t>港澳台投资股份有限（公司）</w:t>
            </w:r>
          </w:p>
        </w:tc>
        <w:tc>
          <w:tcPr>
            <w:tcW w:w="5954" w:type="dxa"/>
            <w:tcBorders>
              <w:right w:val="single" w:color="auto" w:sz="4" w:space="0"/>
            </w:tcBorders>
            <w:vAlign w:val="top"/>
          </w:tcPr>
          <w:p>
            <w:pPr>
              <w:spacing w:beforeLines="30" w:afterLines="30"/>
              <w:rPr>
                <w:rFonts w:ascii="宋体" w:hAnsi="宋体"/>
                <w:szCs w:val="21"/>
              </w:rPr>
            </w:pPr>
            <w:r>
              <w:rPr>
                <w:rFonts w:hint="eastAsia" w:ascii="宋体" w:hAnsi="宋体"/>
                <w:szCs w:val="21"/>
              </w:rPr>
              <w:t>根据国家有关规定，经外经贸部依法批准设立，其中港澳台投资者的股本占公司注册资本25%以上的股份有限公司的经济类型</w:t>
            </w:r>
          </w:p>
        </w:tc>
      </w:tr>
      <w:tr>
        <w:tc>
          <w:tcPr>
            <w:tcW w:w="993" w:type="dxa"/>
            <w:tcBorders>
              <w:bottom w:val="single" w:color="auto" w:sz="4" w:space="0"/>
            </w:tcBorders>
            <w:vAlign w:val="top"/>
          </w:tcPr>
          <w:p>
            <w:pPr>
              <w:spacing w:beforeLines="30" w:afterLines="30"/>
              <w:jc w:val="center"/>
              <w:rPr>
                <w:rFonts w:ascii="黑体" w:eastAsia="黑体"/>
                <w:szCs w:val="21"/>
              </w:rPr>
            </w:pPr>
            <w:r>
              <w:rPr>
                <w:rFonts w:hint="eastAsia" w:ascii="黑体" w:eastAsia="黑体"/>
                <w:szCs w:val="21"/>
              </w:rPr>
              <w:t>290</w:t>
            </w:r>
          </w:p>
        </w:tc>
        <w:tc>
          <w:tcPr>
            <w:tcW w:w="1417" w:type="dxa"/>
            <w:tcBorders>
              <w:bottom w:val="single" w:color="auto" w:sz="4" w:space="0"/>
            </w:tcBorders>
            <w:vAlign w:val="top"/>
          </w:tcPr>
          <w:p>
            <w:pPr>
              <w:spacing w:beforeLines="30" w:afterLines="30"/>
              <w:jc w:val="center"/>
              <w:rPr>
                <w:rFonts w:ascii="宋体" w:hAnsi="宋体"/>
                <w:szCs w:val="21"/>
              </w:rPr>
            </w:pPr>
            <w:r>
              <w:rPr>
                <w:rFonts w:hint="eastAsia" w:ascii="宋体" w:hAnsi="宋体"/>
                <w:szCs w:val="21"/>
              </w:rPr>
              <w:t>其他港澳台投资</w:t>
            </w:r>
          </w:p>
        </w:tc>
        <w:tc>
          <w:tcPr>
            <w:tcW w:w="5954" w:type="dxa"/>
            <w:tcBorders>
              <w:bottom w:val="single" w:color="auto" w:sz="4" w:space="0"/>
              <w:right w:val="single" w:color="auto" w:sz="4" w:space="0"/>
            </w:tcBorders>
            <w:vAlign w:val="top"/>
          </w:tcPr>
          <w:p>
            <w:pPr>
              <w:spacing w:beforeLines="30" w:afterLines="30"/>
              <w:rPr>
                <w:rFonts w:ascii="宋体" w:hAnsi="宋体"/>
                <w:szCs w:val="21"/>
              </w:rPr>
            </w:pPr>
            <w:r>
              <w:rPr>
                <w:rFonts w:hint="eastAsia" w:ascii="宋体" w:hAnsi="宋体"/>
                <w:szCs w:val="21"/>
              </w:rPr>
              <w:t>以上未包括的港澳台投资经济类型，包括港澳台机构在华设立的分支机构、港澳台驻华办事处、代表处等。</w:t>
            </w:r>
          </w:p>
        </w:tc>
      </w:tr>
      <w:tr>
        <w:tc>
          <w:tcPr>
            <w:tcW w:w="993" w:type="dxa"/>
            <w:shd w:val="clear" w:color="auto" w:fill="E0E0E0"/>
            <w:vAlign w:val="top"/>
          </w:tcPr>
          <w:p>
            <w:pPr>
              <w:spacing w:beforeLines="30" w:afterLines="30"/>
              <w:jc w:val="center"/>
              <w:rPr>
                <w:rFonts w:ascii="黑体" w:eastAsia="黑体"/>
                <w:b/>
                <w:szCs w:val="21"/>
              </w:rPr>
            </w:pPr>
            <w:r>
              <w:rPr>
                <w:rFonts w:hint="eastAsia" w:ascii="黑体" w:eastAsia="黑体"/>
                <w:b/>
                <w:szCs w:val="21"/>
              </w:rPr>
              <w:t>300</w:t>
            </w:r>
          </w:p>
        </w:tc>
        <w:tc>
          <w:tcPr>
            <w:tcW w:w="1417" w:type="dxa"/>
            <w:shd w:val="clear" w:color="auto" w:fill="E0E0E0"/>
            <w:vAlign w:val="top"/>
          </w:tcPr>
          <w:p>
            <w:pPr>
              <w:spacing w:beforeLines="30" w:afterLines="30"/>
              <w:jc w:val="center"/>
              <w:rPr>
                <w:rFonts w:ascii="宋体" w:hAnsi="宋体"/>
                <w:b/>
                <w:szCs w:val="21"/>
              </w:rPr>
            </w:pPr>
            <w:r>
              <w:rPr>
                <w:rFonts w:hint="eastAsia" w:ascii="宋体" w:hAnsi="宋体"/>
                <w:b/>
                <w:szCs w:val="21"/>
              </w:rPr>
              <w:t>国外投资</w:t>
            </w:r>
          </w:p>
        </w:tc>
        <w:tc>
          <w:tcPr>
            <w:tcW w:w="5954" w:type="dxa"/>
            <w:tcBorders>
              <w:right w:val="single" w:color="auto" w:sz="4" w:space="0"/>
            </w:tcBorders>
            <w:shd w:val="clear" w:color="auto" w:fill="E0E0E0"/>
            <w:vAlign w:val="top"/>
          </w:tcPr>
          <w:p>
            <w:pPr>
              <w:spacing w:beforeLines="30" w:afterLines="30"/>
              <w:rPr>
                <w:rFonts w:ascii="宋体" w:hAnsi="宋体"/>
                <w:b/>
                <w:szCs w:val="21"/>
              </w:rPr>
            </w:pPr>
            <w:r>
              <w:rPr>
                <w:rFonts w:hint="eastAsia" w:ascii="宋体" w:hAnsi="宋体"/>
                <w:b/>
                <w:szCs w:val="21"/>
              </w:rPr>
              <w:t>资本（资金）部分（达到国家规定比例以上</w:t>
            </w:r>
            <w:r>
              <w:rPr>
                <w:rStyle w:val="24"/>
                <w:rFonts w:ascii="宋体" w:hAnsi="宋体"/>
                <w:b/>
                <w:szCs w:val="21"/>
              </w:rPr>
              <w:footnoteReference w:id="1"/>
            </w:r>
            <w:r>
              <w:rPr>
                <w:rFonts w:hint="eastAsia" w:ascii="宋体" w:hAnsi="宋体"/>
                <w:b/>
                <w:szCs w:val="21"/>
              </w:rPr>
              <w:t>）或全部来源于国外的经济组织的经济类型</w:t>
            </w:r>
          </w:p>
        </w:tc>
      </w:tr>
      <w:tr>
        <w:tc>
          <w:tcPr>
            <w:tcW w:w="993" w:type="dxa"/>
            <w:vAlign w:val="top"/>
          </w:tcPr>
          <w:p>
            <w:pPr>
              <w:spacing w:beforeLines="30" w:afterLines="30"/>
              <w:jc w:val="center"/>
              <w:rPr>
                <w:rFonts w:ascii="黑体" w:eastAsia="黑体"/>
                <w:szCs w:val="21"/>
              </w:rPr>
            </w:pPr>
            <w:r>
              <w:rPr>
                <w:rFonts w:hint="eastAsia" w:ascii="黑体" w:eastAsia="黑体"/>
                <w:szCs w:val="21"/>
              </w:rPr>
              <w:t>310</w:t>
            </w:r>
          </w:p>
        </w:tc>
        <w:tc>
          <w:tcPr>
            <w:tcW w:w="1417" w:type="dxa"/>
            <w:vAlign w:val="top"/>
          </w:tcPr>
          <w:p>
            <w:pPr>
              <w:spacing w:beforeLines="30" w:afterLines="30"/>
              <w:jc w:val="center"/>
              <w:rPr>
                <w:rFonts w:ascii="宋体" w:hAnsi="宋体"/>
                <w:szCs w:val="21"/>
              </w:rPr>
            </w:pPr>
            <w:r>
              <w:rPr>
                <w:rFonts w:hint="eastAsia" w:ascii="宋体" w:hAnsi="宋体"/>
                <w:szCs w:val="21"/>
              </w:rPr>
              <w:t>中外合资</w:t>
            </w:r>
          </w:p>
        </w:tc>
        <w:tc>
          <w:tcPr>
            <w:tcW w:w="5954" w:type="dxa"/>
            <w:tcBorders>
              <w:right w:val="single" w:color="auto" w:sz="4" w:space="0"/>
            </w:tcBorders>
            <w:vAlign w:val="top"/>
          </w:tcPr>
          <w:p>
            <w:pPr>
              <w:spacing w:beforeLines="30" w:afterLines="30"/>
              <w:rPr>
                <w:rFonts w:ascii="宋体" w:hAnsi="宋体"/>
                <w:szCs w:val="21"/>
              </w:rPr>
            </w:pPr>
            <w:r>
              <w:rPr>
                <w:rFonts w:hint="eastAsia" w:ascii="宋体" w:hAnsi="宋体"/>
                <w:szCs w:val="21"/>
              </w:rPr>
              <w:t>国外法人或个人与内地经济组织依照《中华人民共和国中外合资经营企业法》及有关法律规定，按合资合同规定的比例投资设立、分配利润和分担风险的经济组织的经济类型</w:t>
            </w:r>
          </w:p>
        </w:tc>
      </w:tr>
      <w:tr>
        <w:tc>
          <w:tcPr>
            <w:tcW w:w="993" w:type="dxa"/>
            <w:vAlign w:val="top"/>
          </w:tcPr>
          <w:p>
            <w:pPr>
              <w:spacing w:beforeLines="30" w:afterLines="30"/>
              <w:jc w:val="center"/>
              <w:rPr>
                <w:rFonts w:ascii="黑体" w:eastAsia="黑体"/>
                <w:szCs w:val="21"/>
              </w:rPr>
            </w:pPr>
            <w:r>
              <w:rPr>
                <w:rFonts w:hint="eastAsia" w:ascii="黑体" w:eastAsia="黑体"/>
                <w:szCs w:val="21"/>
              </w:rPr>
              <w:t>320</w:t>
            </w:r>
          </w:p>
        </w:tc>
        <w:tc>
          <w:tcPr>
            <w:tcW w:w="1417" w:type="dxa"/>
            <w:vAlign w:val="top"/>
          </w:tcPr>
          <w:p>
            <w:pPr>
              <w:spacing w:beforeLines="30" w:afterLines="30"/>
              <w:jc w:val="center"/>
              <w:rPr>
                <w:rFonts w:ascii="宋体" w:hAnsi="宋体"/>
                <w:szCs w:val="21"/>
              </w:rPr>
            </w:pPr>
            <w:r>
              <w:rPr>
                <w:rFonts w:hint="eastAsia" w:ascii="宋体" w:hAnsi="宋体"/>
                <w:szCs w:val="21"/>
              </w:rPr>
              <w:t>中外合作</w:t>
            </w:r>
          </w:p>
        </w:tc>
        <w:tc>
          <w:tcPr>
            <w:tcW w:w="5954" w:type="dxa"/>
            <w:tcBorders>
              <w:right w:val="single" w:color="auto" w:sz="4" w:space="0"/>
            </w:tcBorders>
            <w:vAlign w:val="top"/>
          </w:tcPr>
          <w:p>
            <w:pPr>
              <w:spacing w:beforeLines="30" w:afterLines="30"/>
              <w:rPr>
                <w:rFonts w:ascii="宋体" w:hAnsi="宋体"/>
                <w:szCs w:val="21"/>
              </w:rPr>
            </w:pPr>
            <w:r>
              <w:rPr>
                <w:rFonts w:hint="eastAsia" w:ascii="宋体" w:hAnsi="宋体"/>
                <w:szCs w:val="21"/>
              </w:rPr>
              <w:t>国外法人或个人与内地经济组织依照《中华人民共和国中外合作经营企业法》及有关法律的规定，按合作合同的约定进行投资或提供条件设立、分配利润和分担风险的经济组织的经济类型</w:t>
            </w:r>
          </w:p>
        </w:tc>
      </w:tr>
      <w:tr>
        <w:tc>
          <w:tcPr>
            <w:tcW w:w="993" w:type="dxa"/>
            <w:vAlign w:val="top"/>
          </w:tcPr>
          <w:p>
            <w:pPr>
              <w:spacing w:beforeLines="30" w:afterLines="30"/>
              <w:jc w:val="center"/>
              <w:rPr>
                <w:rFonts w:ascii="黑体" w:eastAsia="黑体"/>
                <w:szCs w:val="21"/>
              </w:rPr>
            </w:pPr>
            <w:r>
              <w:rPr>
                <w:rFonts w:hint="eastAsia" w:ascii="黑体" w:eastAsia="黑体"/>
                <w:szCs w:val="21"/>
              </w:rPr>
              <w:t>330</w:t>
            </w:r>
          </w:p>
        </w:tc>
        <w:tc>
          <w:tcPr>
            <w:tcW w:w="1417" w:type="dxa"/>
            <w:vAlign w:val="top"/>
          </w:tcPr>
          <w:p>
            <w:pPr>
              <w:spacing w:beforeLines="30" w:afterLines="30"/>
              <w:jc w:val="center"/>
              <w:rPr>
                <w:rFonts w:ascii="宋体" w:hAnsi="宋体"/>
                <w:sz w:val="18"/>
                <w:szCs w:val="21"/>
              </w:rPr>
            </w:pPr>
            <w:r>
              <w:rPr>
                <w:rFonts w:hint="eastAsia" w:ascii="宋体" w:hAnsi="宋体"/>
                <w:szCs w:val="21"/>
              </w:rPr>
              <w:t>外资</w:t>
            </w:r>
          </w:p>
        </w:tc>
        <w:tc>
          <w:tcPr>
            <w:tcW w:w="5954" w:type="dxa"/>
            <w:tcBorders>
              <w:right w:val="single" w:color="auto" w:sz="4" w:space="0"/>
            </w:tcBorders>
            <w:vAlign w:val="top"/>
          </w:tcPr>
          <w:p>
            <w:pPr>
              <w:spacing w:beforeLines="30" w:afterLines="30"/>
              <w:rPr>
                <w:rFonts w:ascii="宋体" w:hAnsi="宋体"/>
                <w:sz w:val="18"/>
                <w:szCs w:val="21"/>
              </w:rPr>
            </w:pPr>
            <w:r>
              <w:rPr>
                <w:rFonts w:hint="eastAsia" w:ascii="宋体" w:hAnsi="宋体"/>
                <w:szCs w:val="21"/>
              </w:rPr>
              <w:t>依照《中华人民共和国外资企业法》及有关法律规定，在内地由外国投资者全额投资设立的经济组织的经济类型</w:t>
            </w:r>
          </w:p>
        </w:tc>
      </w:tr>
      <w:tr>
        <w:tc>
          <w:tcPr>
            <w:tcW w:w="993" w:type="dxa"/>
            <w:vAlign w:val="top"/>
          </w:tcPr>
          <w:p>
            <w:pPr>
              <w:spacing w:beforeLines="30" w:afterLines="30"/>
              <w:jc w:val="center"/>
              <w:rPr>
                <w:rFonts w:ascii="黑体" w:eastAsia="黑体"/>
                <w:sz w:val="18"/>
                <w:szCs w:val="21"/>
              </w:rPr>
            </w:pPr>
            <w:r>
              <w:rPr>
                <w:rFonts w:hint="eastAsia" w:ascii="黑体" w:eastAsia="黑体"/>
                <w:szCs w:val="21"/>
              </w:rPr>
              <w:t>340</w:t>
            </w:r>
          </w:p>
        </w:tc>
        <w:tc>
          <w:tcPr>
            <w:tcW w:w="1417" w:type="dxa"/>
            <w:vAlign w:val="top"/>
          </w:tcPr>
          <w:p>
            <w:pPr>
              <w:spacing w:beforeLines="30" w:afterLines="30"/>
              <w:jc w:val="center"/>
              <w:rPr>
                <w:rFonts w:ascii="宋体" w:hAnsi="宋体"/>
                <w:sz w:val="18"/>
                <w:szCs w:val="21"/>
              </w:rPr>
            </w:pPr>
            <w:r>
              <w:rPr>
                <w:rFonts w:hint="eastAsia" w:ascii="宋体" w:hAnsi="宋体"/>
                <w:szCs w:val="21"/>
              </w:rPr>
              <w:t>国外投资股份有限（公司）</w:t>
            </w:r>
          </w:p>
        </w:tc>
        <w:tc>
          <w:tcPr>
            <w:tcW w:w="5954" w:type="dxa"/>
            <w:tcBorders>
              <w:right w:val="single" w:color="auto" w:sz="4" w:space="0"/>
            </w:tcBorders>
            <w:vAlign w:val="top"/>
          </w:tcPr>
          <w:p>
            <w:pPr>
              <w:spacing w:beforeLines="30" w:afterLines="30"/>
              <w:rPr>
                <w:rFonts w:ascii="宋体" w:hAnsi="宋体"/>
                <w:sz w:val="18"/>
                <w:szCs w:val="21"/>
              </w:rPr>
            </w:pPr>
            <w:r>
              <w:rPr>
                <w:rFonts w:hint="eastAsia" w:ascii="宋体" w:hAnsi="宋体"/>
                <w:szCs w:val="21"/>
              </w:rPr>
              <w:t>根据国家有关规定，经外经贸部依法批准设立，其中外资的股份占公司注册资本25%以上的股份有限公司的经济类型</w:t>
            </w:r>
          </w:p>
        </w:tc>
      </w:tr>
      <w:tr>
        <w:tc>
          <w:tcPr>
            <w:tcW w:w="993" w:type="dxa"/>
            <w:vAlign w:val="top"/>
          </w:tcPr>
          <w:p>
            <w:pPr>
              <w:spacing w:beforeLines="30" w:afterLines="30"/>
              <w:jc w:val="center"/>
              <w:rPr>
                <w:rFonts w:ascii="黑体" w:eastAsia="黑体"/>
                <w:sz w:val="18"/>
                <w:szCs w:val="21"/>
              </w:rPr>
            </w:pPr>
            <w:r>
              <w:rPr>
                <w:rFonts w:hint="eastAsia" w:ascii="黑体" w:eastAsia="黑体"/>
                <w:szCs w:val="21"/>
              </w:rPr>
              <w:t>390</w:t>
            </w:r>
          </w:p>
        </w:tc>
        <w:tc>
          <w:tcPr>
            <w:tcW w:w="1417" w:type="dxa"/>
            <w:vAlign w:val="top"/>
          </w:tcPr>
          <w:p>
            <w:pPr>
              <w:spacing w:beforeLines="30" w:afterLines="30"/>
              <w:jc w:val="center"/>
              <w:rPr>
                <w:rFonts w:ascii="宋体" w:hAnsi="宋体"/>
                <w:sz w:val="18"/>
                <w:szCs w:val="21"/>
              </w:rPr>
            </w:pPr>
            <w:r>
              <w:rPr>
                <w:rFonts w:hint="eastAsia" w:ascii="宋体" w:hAnsi="宋体"/>
                <w:szCs w:val="21"/>
              </w:rPr>
              <w:t>其他国外投资</w:t>
            </w:r>
          </w:p>
        </w:tc>
        <w:tc>
          <w:tcPr>
            <w:tcW w:w="5954" w:type="dxa"/>
            <w:tcBorders>
              <w:right w:val="single" w:color="auto" w:sz="4" w:space="0"/>
            </w:tcBorders>
            <w:vAlign w:val="top"/>
          </w:tcPr>
          <w:p>
            <w:pPr>
              <w:spacing w:beforeLines="30" w:afterLines="30"/>
              <w:rPr>
                <w:rFonts w:ascii="宋体" w:hAnsi="宋体"/>
                <w:sz w:val="18"/>
                <w:szCs w:val="21"/>
              </w:rPr>
            </w:pPr>
            <w:r>
              <w:rPr>
                <w:rFonts w:hint="eastAsia" w:ascii="宋体" w:hAnsi="宋体"/>
                <w:szCs w:val="21"/>
              </w:rPr>
              <w:t>以上未包括的国外投资的经济组织的经济类型，包括国外机构在华设立的分支机构、境外驻华办事处、代表处等（包括国际组织驻华机构、外国驻华使领馆。）</w:t>
            </w:r>
          </w:p>
        </w:tc>
      </w:tr>
      <w:tr>
        <w:tc>
          <w:tcPr>
            <w:tcW w:w="993" w:type="dxa"/>
            <w:vAlign w:val="top"/>
          </w:tcPr>
          <w:p>
            <w:pPr>
              <w:spacing w:beforeLines="30" w:afterLines="30"/>
              <w:jc w:val="center"/>
              <w:rPr>
                <w:rFonts w:ascii="黑体" w:eastAsia="黑体"/>
                <w:b/>
                <w:sz w:val="18"/>
                <w:szCs w:val="21"/>
              </w:rPr>
            </w:pPr>
            <w:r>
              <w:rPr>
                <w:rFonts w:hint="eastAsia" w:ascii="黑体" w:eastAsia="黑体"/>
                <w:b/>
                <w:szCs w:val="21"/>
              </w:rPr>
              <w:t>400</w:t>
            </w:r>
          </w:p>
        </w:tc>
        <w:tc>
          <w:tcPr>
            <w:tcW w:w="1417" w:type="dxa"/>
            <w:vAlign w:val="top"/>
          </w:tcPr>
          <w:p>
            <w:pPr>
              <w:spacing w:beforeLines="30" w:afterLines="30"/>
              <w:jc w:val="center"/>
              <w:rPr>
                <w:rFonts w:ascii="宋体" w:hAnsi="宋体"/>
                <w:b/>
                <w:sz w:val="18"/>
                <w:szCs w:val="21"/>
              </w:rPr>
            </w:pPr>
            <w:r>
              <w:rPr>
                <w:rFonts w:hint="eastAsia" w:ascii="宋体" w:hAnsi="宋体"/>
                <w:b/>
                <w:szCs w:val="21"/>
              </w:rPr>
              <w:t>境外机构</w:t>
            </w:r>
          </w:p>
        </w:tc>
        <w:tc>
          <w:tcPr>
            <w:tcW w:w="5954" w:type="dxa"/>
            <w:tcBorders>
              <w:right w:val="single" w:color="auto" w:sz="4" w:space="0"/>
            </w:tcBorders>
            <w:vAlign w:val="top"/>
          </w:tcPr>
          <w:p>
            <w:pPr>
              <w:spacing w:beforeLines="30" w:afterLines="30"/>
              <w:rPr>
                <w:rFonts w:ascii="宋体" w:hAnsi="宋体"/>
                <w:b/>
                <w:sz w:val="18"/>
                <w:szCs w:val="21"/>
              </w:rPr>
            </w:pPr>
            <w:r>
              <w:rPr>
                <w:rFonts w:hint="eastAsia" w:ascii="宋体" w:hAnsi="宋体"/>
                <w:b/>
                <w:szCs w:val="21"/>
              </w:rPr>
              <w:t>在境外注册成立的机构。</w:t>
            </w:r>
          </w:p>
        </w:tc>
      </w:tr>
      <w:tr>
        <w:tc>
          <w:tcPr>
            <w:tcW w:w="993" w:type="dxa"/>
            <w:vAlign w:val="top"/>
          </w:tcPr>
          <w:p>
            <w:pPr>
              <w:spacing w:beforeLines="30" w:afterLines="30"/>
              <w:jc w:val="center"/>
              <w:rPr>
                <w:rFonts w:ascii="黑体" w:eastAsia="黑体"/>
                <w:b/>
                <w:sz w:val="18"/>
                <w:szCs w:val="21"/>
              </w:rPr>
            </w:pPr>
            <w:r>
              <w:rPr>
                <w:rFonts w:hint="eastAsia" w:ascii="黑体" w:eastAsia="黑体"/>
                <w:b/>
                <w:szCs w:val="21"/>
              </w:rPr>
              <w:t>900</w:t>
            </w:r>
          </w:p>
        </w:tc>
        <w:tc>
          <w:tcPr>
            <w:tcW w:w="1417" w:type="dxa"/>
            <w:vAlign w:val="top"/>
          </w:tcPr>
          <w:p>
            <w:pPr>
              <w:spacing w:beforeLines="30" w:afterLines="30"/>
              <w:jc w:val="center"/>
              <w:rPr>
                <w:rFonts w:ascii="宋体" w:hAnsi="宋体"/>
                <w:b/>
                <w:sz w:val="18"/>
                <w:szCs w:val="21"/>
              </w:rPr>
            </w:pPr>
            <w:r>
              <w:rPr>
                <w:rFonts w:hint="eastAsia" w:ascii="宋体" w:hAnsi="宋体"/>
                <w:b/>
                <w:szCs w:val="21"/>
              </w:rPr>
              <w:t>其他</w:t>
            </w:r>
          </w:p>
        </w:tc>
        <w:tc>
          <w:tcPr>
            <w:tcW w:w="5954" w:type="dxa"/>
            <w:tcBorders>
              <w:right w:val="single" w:color="auto" w:sz="4" w:space="0"/>
            </w:tcBorders>
            <w:vAlign w:val="top"/>
          </w:tcPr>
          <w:p>
            <w:pPr>
              <w:spacing w:beforeLines="30" w:afterLines="30"/>
              <w:rPr>
                <w:rFonts w:ascii="宋体" w:hAnsi="宋体"/>
                <w:b/>
                <w:sz w:val="18"/>
                <w:szCs w:val="21"/>
              </w:rPr>
            </w:pPr>
            <w:r>
              <w:rPr>
                <w:rFonts w:hint="eastAsia" w:ascii="宋体" w:hAnsi="宋体"/>
                <w:b/>
                <w:szCs w:val="21"/>
              </w:rPr>
              <w:t>以上未包括的经济组织的经济类型</w:t>
            </w:r>
          </w:p>
        </w:tc>
      </w:tr>
    </w:tbl>
    <w:p>
      <w:pPr>
        <w:spacing w:before="31" w:after="31"/>
        <w:ind w:firstLine="560"/>
        <w:jc w:val="center"/>
        <w:rPr>
          <w:rFonts w:ascii="宋体" w:hAnsi="宋体"/>
          <w:sz w:val="32"/>
          <w:szCs w:val="32"/>
        </w:rPr>
      </w:pPr>
    </w:p>
    <w:p>
      <w:pPr>
        <w:spacing w:before="31" w:after="31"/>
        <w:ind w:firstLine="560"/>
        <w:jc w:val="center"/>
        <w:rPr>
          <w:rFonts w:ascii="宋体" w:hAnsi="宋体"/>
          <w:sz w:val="32"/>
          <w:szCs w:val="32"/>
        </w:rPr>
      </w:pPr>
    </w:p>
    <w:p>
      <w:pPr>
        <w:spacing w:before="31" w:after="31"/>
        <w:ind w:firstLine="560"/>
        <w:jc w:val="center"/>
        <w:rPr>
          <w:rFonts w:ascii="宋体" w:hAnsi="宋体"/>
          <w:sz w:val="32"/>
          <w:szCs w:val="32"/>
        </w:rPr>
      </w:pPr>
    </w:p>
    <w:p>
      <w:pPr>
        <w:spacing w:before="31" w:after="31"/>
        <w:ind w:firstLine="560"/>
        <w:jc w:val="center"/>
        <w:rPr>
          <w:rFonts w:ascii="宋体" w:hAnsi="宋体"/>
          <w:sz w:val="32"/>
          <w:szCs w:val="32"/>
        </w:rPr>
      </w:pPr>
    </w:p>
    <w:p>
      <w:pPr>
        <w:spacing w:before="31" w:after="31"/>
        <w:ind w:firstLine="560"/>
        <w:jc w:val="center"/>
        <w:rPr>
          <w:rFonts w:ascii="宋体" w:hAnsi="宋体"/>
          <w:sz w:val="32"/>
          <w:szCs w:val="32"/>
        </w:rPr>
      </w:pPr>
    </w:p>
    <w:p>
      <w:pPr>
        <w:spacing w:before="31" w:after="31"/>
        <w:ind w:firstLine="560"/>
        <w:jc w:val="center"/>
        <w:rPr>
          <w:rFonts w:ascii="宋体" w:hAnsi="宋体"/>
          <w:sz w:val="32"/>
          <w:szCs w:val="32"/>
        </w:rPr>
      </w:pPr>
    </w:p>
    <w:p>
      <w:pPr>
        <w:spacing w:before="31" w:after="31"/>
        <w:ind w:firstLine="560"/>
        <w:jc w:val="center"/>
        <w:rPr>
          <w:rFonts w:ascii="宋体" w:hAnsi="宋体"/>
          <w:sz w:val="32"/>
          <w:szCs w:val="32"/>
        </w:rPr>
      </w:pPr>
    </w:p>
    <w:p>
      <w:pPr>
        <w:spacing w:before="31" w:after="31"/>
        <w:ind w:firstLine="560"/>
        <w:jc w:val="center"/>
        <w:rPr>
          <w:rFonts w:ascii="宋体" w:hAnsi="宋体"/>
          <w:sz w:val="32"/>
          <w:szCs w:val="32"/>
        </w:rPr>
      </w:pPr>
    </w:p>
    <w:p>
      <w:pPr>
        <w:spacing w:before="31" w:after="31"/>
        <w:ind w:firstLine="560"/>
        <w:jc w:val="center"/>
        <w:rPr>
          <w:rFonts w:ascii="宋体" w:hAnsi="宋体"/>
          <w:sz w:val="32"/>
          <w:szCs w:val="32"/>
        </w:rPr>
      </w:pPr>
    </w:p>
    <w:p>
      <w:pPr>
        <w:spacing w:before="31" w:after="31"/>
        <w:ind w:firstLine="560"/>
        <w:jc w:val="center"/>
        <w:rPr>
          <w:rFonts w:ascii="宋体" w:hAnsi="宋体"/>
          <w:sz w:val="32"/>
          <w:szCs w:val="32"/>
        </w:rPr>
      </w:pPr>
    </w:p>
    <w:p>
      <w:pPr>
        <w:spacing w:before="31" w:after="31"/>
        <w:ind w:firstLine="560"/>
        <w:jc w:val="center"/>
        <w:rPr>
          <w:rFonts w:ascii="宋体" w:hAnsi="宋体"/>
          <w:sz w:val="32"/>
          <w:szCs w:val="32"/>
        </w:rPr>
      </w:pPr>
    </w:p>
    <w:p>
      <w:pPr>
        <w:spacing w:before="31" w:after="31"/>
        <w:ind w:firstLine="560"/>
        <w:jc w:val="center"/>
        <w:rPr>
          <w:rFonts w:ascii="宋体" w:hAnsi="宋体"/>
          <w:sz w:val="32"/>
          <w:szCs w:val="32"/>
        </w:rPr>
      </w:pPr>
    </w:p>
    <w:p>
      <w:pPr>
        <w:spacing w:before="31" w:after="31"/>
        <w:ind w:firstLine="560"/>
        <w:jc w:val="center"/>
        <w:rPr>
          <w:rFonts w:ascii="宋体" w:hAnsi="宋体"/>
          <w:sz w:val="32"/>
          <w:szCs w:val="32"/>
        </w:rPr>
      </w:pPr>
    </w:p>
    <w:p>
      <w:pPr>
        <w:spacing w:before="31" w:after="31"/>
        <w:ind w:firstLine="560"/>
        <w:jc w:val="center"/>
        <w:rPr>
          <w:rFonts w:ascii="宋体" w:hAnsi="宋体"/>
          <w:sz w:val="32"/>
          <w:szCs w:val="32"/>
        </w:rPr>
      </w:pPr>
    </w:p>
    <w:p>
      <w:pPr>
        <w:spacing w:before="31" w:after="31"/>
        <w:ind w:firstLine="560"/>
        <w:jc w:val="center"/>
        <w:rPr>
          <w:rFonts w:ascii="宋体" w:hAnsi="宋体"/>
          <w:sz w:val="32"/>
          <w:szCs w:val="32"/>
        </w:rPr>
      </w:pPr>
    </w:p>
    <w:p>
      <w:pPr>
        <w:spacing w:before="31" w:after="31"/>
        <w:ind w:firstLine="560"/>
        <w:jc w:val="center"/>
        <w:rPr>
          <w:rFonts w:ascii="宋体" w:hAnsi="宋体"/>
          <w:sz w:val="32"/>
          <w:szCs w:val="32"/>
        </w:rPr>
      </w:pPr>
    </w:p>
    <w:p>
      <w:pPr>
        <w:spacing w:before="31" w:after="31"/>
        <w:ind w:firstLine="560"/>
        <w:jc w:val="center"/>
        <w:rPr>
          <w:rFonts w:ascii="宋体" w:hAnsi="宋体"/>
          <w:sz w:val="32"/>
          <w:szCs w:val="32"/>
        </w:rPr>
      </w:pPr>
    </w:p>
    <w:p>
      <w:pPr>
        <w:spacing w:before="31" w:after="31"/>
        <w:ind w:firstLine="560"/>
        <w:jc w:val="center"/>
        <w:rPr>
          <w:rFonts w:ascii="宋体" w:hAnsi="宋体"/>
          <w:sz w:val="32"/>
          <w:szCs w:val="32"/>
        </w:rPr>
      </w:pPr>
    </w:p>
    <w:p>
      <w:pPr>
        <w:spacing w:before="31" w:after="31"/>
        <w:ind w:firstLine="560"/>
        <w:jc w:val="center"/>
        <w:rPr>
          <w:rFonts w:ascii="宋体" w:hAnsi="宋体"/>
          <w:sz w:val="32"/>
          <w:szCs w:val="32"/>
        </w:rPr>
      </w:pPr>
    </w:p>
    <w:p>
      <w:pPr>
        <w:spacing w:before="31" w:after="31"/>
        <w:ind w:firstLine="560"/>
        <w:jc w:val="center"/>
        <w:rPr>
          <w:rFonts w:ascii="宋体" w:hAnsi="宋体"/>
          <w:sz w:val="32"/>
          <w:szCs w:val="32"/>
        </w:rPr>
      </w:pPr>
    </w:p>
    <w:p>
      <w:pPr>
        <w:spacing w:before="31" w:after="31"/>
        <w:ind w:firstLine="560"/>
        <w:jc w:val="center"/>
        <w:rPr>
          <w:rFonts w:ascii="宋体" w:hAnsi="宋体"/>
          <w:sz w:val="32"/>
          <w:szCs w:val="32"/>
        </w:rPr>
      </w:pPr>
    </w:p>
    <w:p>
      <w:pPr>
        <w:spacing w:before="31" w:after="31"/>
        <w:ind w:firstLine="560"/>
        <w:jc w:val="center"/>
        <w:rPr>
          <w:rFonts w:ascii="宋体" w:hAnsi="宋体"/>
          <w:sz w:val="32"/>
          <w:szCs w:val="32"/>
        </w:rPr>
      </w:pPr>
    </w:p>
    <w:p>
      <w:pPr>
        <w:spacing w:before="31" w:after="31"/>
        <w:ind w:firstLine="560"/>
        <w:jc w:val="center"/>
        <w:rPr>
          <w:rFonts w:ascii="宋体" w:hAnsi="宋体"/>
          <w:sz w:val="32"/>
          <w:szCs w:val="32"/>
        </w:rPr>
      </w:pPr>
    </w:p>
    <w:p>
      <w:pPr>
        <w:spacing w:before="31" w:after="31"/>
        <w:ind w:firstLine="560"/>
        <w:jc w:val="center"/>
        <w:rPr>
          <w:rFonts w:ascii="宋体" w:hAnsi="宋体"/>
          <w:sz w:val="32"/>
          <w:szCs w:val="32"/>
        </w:rPr>
      </w:pPr>
    </w:p>
    <w:p>
      <w:pPr>
        <w:spacing w:before="31" w:after="31"/>
        <w:ind w:firstLine="560"/>
        <w:jc w:val="center"/>
        <w:rPr>
          <w:rFonts w:ascii="宋体" w:hAnsi="宋体"/>
          <w:sz w:val="32"/>
          <w:szCs w:val="32"/>
        </w:rPr>
      </w:pPr>
    </w:p>
    <w:p>
      <w:pPr>
        <w:spacing w:before="31" w:after="31"/>
        <w:ind w:firstLine="560"/>
        <w:jc w:val="center"/>
        <w:rPr>
          <w:rFonts w:ascii="宋体" w:hAnsi="宋体"/>
          <w:sz w:val="32"/>
          <w:szCs w:val="32"/>
        </w:rPr>
      </w:pPr>
    </w:p>
    <w:p>
      <w:pPr>
        <w:spacing w:before="31" w:after="31"/>
        <w:ind w:firstLine="560"/>
        <w:jc w:val="center"/>
        <w:rPr>
          <w:rFonts w:ascii="宋体" w:hAnsi="宋体"/>
          <w:sz w:val="32"/>
          <w:szCs w:val="32"/>
        </w:rPr>
      </w:pPr>
    </w:p>
    <w:p>
      <w:pPr>
        <w:spacing w:before="31" w:after="31"/>
        <w:ind w:firstLine="560"/>
        <w:jc w:val="center"/>
        <w:rPr>
          <w:rFonts w:ascii="宋体" w:hAnsi="宋体"/>
          <w:sz w:val="32"/>
          <w:szCs w:val="32"/>
        </w:rPr>
      </w:pPr>
    </w:p>
    <w:p>
      <w:pPr>
        <w:spacing w:before="31" w:after="31"/>
        <w:ind w:firstLine="560"/>
        <w:jc w:val="center"/>
        <w:rPr>
          <w:rFonts w:ascii="宋体" w:hAnsi="宋体"/>
          <w:sz w:val="32"/>
          <w:szCs w:val="32"/>
        </w:rPr>
      </w:pPr>
    </w:p>
    <w:p>
      <w:pPr>
        <w:spacing w:before="31" w:after="31"/>
        <w:ind w:firstLine="560"/>
        <w:jc w:val="center"/>
        <w:rPr>
          <w:rFonts w:ascii="宋体" w:hAnsi="宋体"/>
          <w:sz w:val="32"/>
          <w:szCs w:val="32"/>
        </w:rPr>
      </w:pPr>
    </w:p>
    <w:p>
      <w:pPr>
        <w:spacing w:before="31" w:after="31"/>
        <w:ind w:firstLine="560"/>
        <w:jc w:val="center"/>
        <w:rPr>
          <w:rFonts w:ascii="宋体" w:hAnsi="宋体"/>
          <w:sz w:val="32"/>
          <w:szCs w:val="32"/>
        </w:rPr>
      </w:pPr>
    </w:p>
    <w:p>
      <w:pPr>
        <w:spacing w:before="31" w:after="31"/>
        <w:ind w:firstLine="560"/>
        <w:jc w:val="center"/>
        <w:rPr>
          <w:rFonts w:ascii="宋体" w:hAnsi="宋体"/>
          <w:sz w:val="32"/>
          <w:szCs w:val="32"/>
        </w:rPr>
      </w:pPr>
    </w:p>
    <w:p>
      <w:pPr>
        <w:spacing w:before="31" w:after="31"/>
        <w:ind w:firstLine="560"/>
        <w:jc w:val="center"/>
        <w:rPr>
          <w:rFonts w:ascii="宋体" w:hAnsi="宋体"/>
          <w:sz w:val="32"/>
          <w:szCs w:val="32"/>
        </w:rPr>
      </w:pPr>
    </w:p>
    <w:p>
      <w:pPr>
        <w:spacing w:before="31" w:after="31"/>
        <w:ind w:firstLine="560"/>
        <w:jc w:val="center"/>
        <w:rPr>
          <w:rFonts w:ascii="宋体" w:hAnsi="宋体"/>
          <w:sz w:val="32"/>
          <w:szCs w:val="32"/>
        </w:rPr>
      </w:pPr>
    </w:p>
    <w:p>
      <w:pPr>
        <w:spacing w:before="31" w:after="31"/>
        <w:ind w:firstLine="560"/>
        <w:jc w:val="center"/>
        <w:rPr>
          <w:rFonts w:ascii="宋体" w:hAnsi="宋体"/>
          <w:sz w:val="32"/>
          <w:szCs w:val="32"/>
        </w:rPr>
      </w:pPr>
    </w:p>
    <w:p>
      <w:pPr>
        <w:adjustRightInd w:val="0"/>
        <w:snapToGrid w:val="0"/>
        <w:spacing w:before="31" w:after="31" w:line="360" w:lineRule="auto"/>
        <w:ind w:firstLine="561"/>
        <w:jc w:val="center"/>
        <w:rPr>
          <w:rFonts w:ascii="宋体" w:hAnsi="宋体"/>
          <w:sz w:val="32"/>
          <w:szCs w:val="32"/>
        </w:rPr>
      </w:pPr>
    </w:p>
    <w:p>
      <w:pPr>
        <w:adjustRightInd w:val="0"/>
        <w:snapToGrid w:val="0"/>
        <w:spacing w:before="31" w:after="31" w:line="360" w:lineRule="auto"/>
        <w:ind w:firstLine="561"/>
        <w:jc w:val="center"/>
        <w:rPr>
          <w:rFonts w:ascii="宋体" w:hAnsi="宋体"/>
          <w:sz w:val="32"/>
          <w:szCs w:val="32"/>
        </w:rPr>
      </w:pPr>
    </w:p>
    <w:p>
      <w:pPr>
        <w:adjustRightInd w:val="0"/>
        <w:snapToGrid w:val="0"/>
        <w:spacing w:before="31" w:after="31" w:line="360" w:lineRule="auto"/>
        <w:ind w:firstLine="561"/>
        <w:jc w:val="center"/>
        <w:rPr>
          <w:rFonts w:ascii="宋体" w:hAnsi="宋体"/>
          <w:sz w:val="32"/>
          <w:szCs w:val="32"/>
        </w:rPr>
      </w:pPr>
      <w:r>
        <w:rPr>
          <w:rFonts w:hint="eastAsia" w:ascii="宋体" w:hAnsi="宋体"/>
          <w:sz w:val="32"/>
          <w:szCs w:val="32"/>
        </w:rPr>
        <w:t>（二）国民经济行业分类与代码（GB/T 4754-2011）</w:t>
      </w:r>
    </w:p>
    <w:tbl>
      <w:tblPr>
        <w:tblW w:w="8392"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91"/>
        <w:gridCol w:w="2905"/>
        <w:gridCol w:w="1206"/>
        <w:gridCol w:w="2990"/>
      </w:tblGrid>
      <w:tr>
        <w:trPr>
          <w:trHeight w:val="397" w:hRule="atLeast"/>
        </w:trPr>
        <w:tc>
          <w:tcPr>
            <w:tcW w:w="1291" w:type="dxa"/>
            <w:vAlign w:val="center"/>
          </w:tcPr>
          <w:p>
            <w:pPr>
              <w:widowControl/>
              <w:spacing w:before="31" w:after="31"/>
              <w:jc w:val="center"/>
              <w:rPr>
                <w:rFonts w:ascii="宋体" w:hAnsi="宋体" w:cs="Arial"/>
                <w:b/>
                <w:bCs/>
                <w:kern w:val="0"/>
                <w:sz w:val="22"/>
                <w:szCs w:val="22"/>
              </w:rPr>
            </w:pPr>
            <w:r>
              <w:rPr>
                <w:rFonts w:hint="eastAsia" w:ascii="宋体" w:hAnsi="宋体" w:cs="Arial"/>
                <w:b/>
                <w:bCs/>
                <w:kern w:val="0"/>
                <w:sz w:val="22"/>
                <w:szCs w:val="22"/>
              </w:rPr>
              <w:t>行业属性代码</w:t>
            </w:r>
          </w:p>
        </w:tc>
        <w:tc>
          <w:tcPr>
            <w:tcW w:w="2905" w:type="dxa"/>
            <w:tcBorders>
              <w:right w:val="double" w:color="auto" w:sz="4" w:space="0"/>
            </w:tcBorders>
            <w:vAlign w:val="center"/>
          </w:tcPr>
          <w:p>
            <w:pPr>
              <w:widowControl/>
              <w:spacing w:before="31" w:after="31"/>
              <w:jc w:val="center"/>
              <w:rPr>
                <w:rFonts w:ascii="宋体" w:hAnsi="宋体" w:cs="Arial"/>
                <w:b/>
                <w:bCs/>
                <w:kern w:val="0"/>
                <w:sz w:val="22"/>
                <w:szCs w:val="22"/>
              </w:rPr>
            </w:pPr>
            <w:r>
              <w:rPr>
                <w:rFonts w:hint="eastAsia" w:ascii="宋体" w:hAnsi="宋体" w:cs="Arial"/>
                <w:b/>
                <w:bCs/>
                <w:kern w:val="0"/>
                <w:sz w:val="22"/>
                <w:szCs w:val="22"/>
              </w:rPr>
              <w:t>行业属性名称（新）</w:t>
            </w:r>
          </w:p>
        </w:tc>
        <w:tc>
          <w:tcPr>
            <w:tcW w:w="1206" w:type="dxa"/>
            <w:tcBorders>
              <w:left w:val="double" w:color="auto" w:sz="4" w:space="0"/>
            </w:tcBorders>
            <w:vAlign w:val="center"/>
          </w:tcPr>
          <w:p>
            <w:pPr>
              <w:widowControl/>
              <w:spacing w:before="31" w:after="31"/>
              <w:jc w:val="center"/>
              <w:rPr>
                <w:rFonts w:ascii="宋体" w:hAnsi="宋体" w:cs="Arial"/>
                <w:b/>
                <w:bCs/>
                <w:kern w:val="0"/>
                <w:sz w:val="22"/>
                <w:szCs w:val="22"/>
              </w:rPr>
            </w:pPr>
            <w:r>
              <w:rPr>
                <w:rFonts w:hint="eastAsia" w:ascii="宋体" w:hAnsi="宋体" w:cs="Arial"/>
                <w:b/>
                <w:bCs/>
                <w:kern w:val="0"/>
                <w:sz w:val="22"/>
                <w:szCs w:val="22"/>
              </w:rPr>
              <w:t>行业属性代码</w:t>
            </w:r>
          </w:p>
        </w:tc>
        <w:tc>
          <w:tcPr>
            <w:tcW w:w="2990" w:type="dxa"/>
            <w:vAlign w:val="center"/>
          </w:tcPr>
          <w:p>
            <w:pPr>
              <w:widowControl/>
              <w:spacing w:before="31" w:after="31"/>
              <w:jc w:val="center"/>
              <w:rPr>
                <w:rFonts w:ascii="宋体" w:hAnsi="宋体" w:cs="Arial"/>
                <w:b/>
                <w:bCs/>
                <w:kern w:val="0"/>
                <w:sz w:val="22"/>
                <w:szCs w:val="22"/>
              </w:rPr>
            </w:pPr>
            <w:r>
              <w:rPr>
                <w:rFonts w:hint="eastAsia" w:ascii="宋体" w:hAnsi="宋体" w:cs="Arial"/>
                <w:b/>
                <w:bCs/>
                <w:kern w:val="0"/>
                <w:sz w:val="22"/>
                <w:szCs w:val="22"/>
              </w:rPr>
              <w:t>行业属性名称（新）</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0101</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农业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0550</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建筑装饰和其他建筑业</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0102</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林业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0753</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铁路运输业</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0103</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畜牧业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0754</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道路运输业</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0104</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渔业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0755</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水上运输业</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0105</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农、林、牧、渔服务业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0756</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航空运输业</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0206</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煤炭开采和洗选业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0757</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管道运输业</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0207</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石油和天然气开采业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0758</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装卸搬运和运输代理业</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0208</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黑色金属矿采选业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0759</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仓储业</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0209</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有色金属矿采选业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0760</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邮政业</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0210</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非金属矿采选业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0963</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电信、广播电视和卫星传输服务</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0211</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开采辅助活动</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0964</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互联网和相关服务</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0212</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其他采矿业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0965</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软件和信息技术服务业</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0313</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农副食品加工业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0651</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批发业</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0314</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食品制造业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0652</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零售业</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0315</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酒、饮料和精制茶制造业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0861</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住宿业</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0316</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烟草制品业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0862</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餐饮业</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0317</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纺织业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1066</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货币金融服务</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0318</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纺织服装、服饰业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1067</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资本市场服务</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0319</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皮革、毛皮、羽毛及其制品和制鞋业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1068</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保险业</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0320</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木材加工和木、竹、藤、棕、草制品业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1069</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其他金融业</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0321</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家具制造业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1170</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房地产业</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0322</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造纸和纸制品业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1271</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租赁业</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0323</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印刷和记录媒介复制业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1272</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商务服务业</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0324</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文教、工美、体育和娱乐用品制造业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1373</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研究和试验发展</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0325</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石油加工、炼焦和核燃料加工业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1374</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专业技术服务业</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0326</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化学原料和化学制品制造业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1375</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科技推广和应用服务业</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0327</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医药制造业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1476</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水利管理业</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0328</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化学纤维制造业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1477</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生态保护和环境治理业</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0329</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橡胶和塑料制品业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1478</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公共设施管理业</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0330</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非金属矿物制品业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1579</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居民服务业</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0331</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黑色金属冶炼和压延加工业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1580</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机动车、电子产品和日用产品修理业</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0332</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有色金属冶炼和压延加工业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1581</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其他服务业</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0333</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金属制品业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1682</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教育</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0334</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通用设备制造业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1783</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卫生</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0335</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专用设备制造业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1784</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社会工作</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0336</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汽车制造业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1885</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新闻和出版业</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0337</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铁路、船舶、航空航天和其他运输设备制造业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1886</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广播、电视、电影和影视录音制作业</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0338</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电气机械和器材制造业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1887</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文化艺术业</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0339</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计算机、通信和其他电子设备制造业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1888</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体育</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0340</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仪器仪表制造业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1889</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娱乐业</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0341</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其他制造业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1990</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中国共产党机关</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0342</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废弃资源综合利用业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1991</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国家机构</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0343</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金属制品、机械和设备修理业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1992</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人民政协、民主党派</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0444</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电力、热力生产和供应业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1993</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社会保障</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0445</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燃气生产和供应业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1994</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群众团体、社会团体和其他成员组织</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0446</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水的生产和供应业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1995</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基层群众自治组织</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0547</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房屋建筑业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2096</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国际组织</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0548</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土木工程建筑业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2099</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使领馆</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0549</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建筑安装业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p>
        </w:tc>
        <w:tc>
          <w:tcPr>
            <w:tcW w:w="2990" w:type="dxa"/>
            <w:vAlign w:val="center"/>
          </w:tcPr>
          <w:p>
            <w:pPr>
              <w:widowControl/>
              <w:spacing w:before="31" w:after="31"/>
              <w:jc w:val="center"/>
              <w:rPr>
                <w:rFonts w:ascii="宋体" w:hAnsi="宋体" w:cs="Arial"/>
                <w:kern w:val="0"/>
                <w:sz w:val="22"/>
                <w:szCs w:val="22"/>
              </w:rPr>
            </w:pPr>
          </w:p>
        </w:tc>
      </w:tr>
    </w:tbl>
    <w:p>
      <w:pPr>
        <w:spacing w:before="31" w:after="31"/>
        <w:rPr>
          <w:rFonts w:ascii="宋体" w:hAnsi="宋体"/>
          <w:sz w:val="32"/>
          <w:szCs w:val="32"/>
        </w:rPr>
      </w:pPr>
    </w:p>
    <w:p>
      <w:pPr>
        <w:spacing w:before="31" w:after="31" w:line="360" w:lineRule="auto"/>
        <w:ind w:firstLine="420" w:firstLineChars="200"/>
        <w:rPr>
          <w:rFonts w:ascii="宋体" w:hAnsi="宋体"/>
          <w:szCs w:val="21"/>
        </w:rPr>
      </w:pPr>
    </w:p>
    <w:p>
      <w:pPr>
        <w:pStyle w:val="10"/>
        <w:adjustRightInd w:val="0"/>
        <w:snapToGrid w:val="0"/>
        <w:spacing w:before="31" w:after="31" w:line="360" w:lineRule="auto"/>
        <w:ind w:left="0" w:leftChars="0" w:firstLine="420"/>
        <w:rPr>
          <w:sz w:val="24"/>
          <w:szCs w:val="24"/>
        </w:rPr>
      </w:pPr>
    </w:p>
    <w:p>
      <w:pPr>
        <w:spacing w:before="31" w:after="31"/>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A00002EF" w:usb1="4000004B" w:usb2="00000000" w:usb3="00000000" w:csb0="2000009F" w:csb1="00000000"/>
  </w:font>
  <w:font w:name="Times New Roman CE">
    <w:altName w:val="Times New Roman"/>
    <w:panose1 w:val="00000000000000000000"/>
    <w:charset w:val="EE"/>
    <w:family w:val="roman"/>
    <w:pitch w:val="default"/>
    <w:sig w:usb0="00000000" w:usb1="00000000" w:usb2="00000000" w:usb3="00000000" w:csb0="00000002" w:csb1="00000000"/>
  </w:font>
  <w:font w:name="Times New Roman Cyr">
    <w:altName w:val="Times New Roman"/>
    <w:panose1 w:val="00000000000000000000"/>
    <w:charset w:val="CC"/>
    <w:family w:val="roman"/>
    <w:pitch w:val="default"/>
    <w:sig w:usb0="00000000" w:usb1="00000000" w:usb2="00000000" w:usb3="00000000" w:csb0="00000004" w:csb1="00000000"/>
  </w:font>
  <w:font w:name="Times New Roman Greek">
    <w:altName w:val="Times New Roman"/>
    <w:panose1 w:val="00000000000000000000"/>
    <w:charset w:val="A1"/>
    <w:family w:val="roman"/>
    <w:pitch w:val="default"/>
    <w:sig w:usb0="00000000" w:usb1="00000000" w:usb2="00000000" w:usb3="00000000" w:csb0="00000008" w:csb1="00000000"/>
  </w:font>
  <w:font w:name="Times New Roman Tur">
    <w:altName w:val="Times New Roman"/>
    <w:panose1 w:val="00000000000000000000"/>
    <w:charset w:val="A2"/>
    <w:family w:val="roman"/>
    <w:pitch w:val="default"/>
    <w:sig w:usb0="00000000" w:usb1="00000000" w:usb2="00000000" w:usb3="00000000" w:csb0="00000010" w:csb1="00000000"/>
  </w:font>
  <w:font w:name="Times New Roman (Hebrew)">
    <w:altName w:val="Times New Roman"/>
    <w:panose1 w:val="00000000000000000000"/>
    <w:charset w:val="B1"/>
    <w:family w:val="roman"/>
    <w:pitch w:val="default"/>
    <w:sig w:usb0="00000000" w:usb1="00000000" w:usb2="00000000" w:usb3="00000000" w:csb0="00000020" w:csb1="00000000"/>
  </w:font>
  <w:font w:name="Times New Roman (Arabic)">
    <w:altName w:val="Times New Roman"/>
    <w:panose1 w:val="00000000000000000000"/>
    <w:charset w:val="B2"/>
    <w:family w:val="roman"/>
    <w:pitch w:val="default"/>
    <w:sig w:usb0="00000000" w:usb1="00000000" w:usb2="00000000" w:usb3="00000000" w:csb0="00000040" w:csb1="00000000"/>
  </w:font>
  <w:font w:name="Times New Roman Baltic">
    <w:altName w:val="Times New Roman"/>
    <w:panose1 w:val="00000000000000000000"/>
    <w:charset w:val="BA"/>
    <w:family w:val="roman"/>
    <w:pitch w:val="default"/>
    <w:sig w:usb0="00000000" w:usb1="00000000" w:usb2="00000000" w:usb3="00000000" w:csb0="00000080" w:csb1="00000000"/>
  </w:font>
  <w:font w:name="Times New Roman (Vietnamese)">
    <w:altName w:val="Times New Roman"/>
    <w:panose1 w:val="00000000000000000000"/>
    <w:charset w:val="A3"/>
    <w:family w:val="roman"/>
    <w:pitch w:val="default"/>
    <w:sig w:usb0="00000000" w:usb1="00000000" w:usb2="00000000" w:usb3="00000000" w:csb0="00000100" w:csb1="00000000"/>
  </w:font>
  <w:font w:name="SimSun Western">
    <w:altName w:val="宋体"/>
    <w:panose1 w:val="00000000000000000000"/>
    <w:charset w:val="00"/>
    <w:family w:val="auto"/>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 w:name="Century">
    <w:panose1 w:val="02040604050505020304"/>
    <w:charset w:val="00"/>
    <w:family w:val="auto"/>
    <w:pitch w:val="default"/>
    <w:sig w:usb0="00000287" w:usb1="00000000" w:usb2="00000000" w:usb3="00000000" w:csb0="2000009F" w:csb1="DFD70000"/>
  </w:font>
  <w:font w:name="新宋体">
    <w:panose1 w:val="02010609030101010101"/>
    <w:charset w:val="86"/>
    <w:family w:val="auto"/>
    <w:pitch w:val="default"/>
    <w:sig w:usb0="00000003" w:usb1="080E0000" w:usb2="00000000" w:usb3="00000000" w:csb0="00040001" w:csb1="00000000"/>
  </w:font>
  <w:font w:name="Arial Rounded MT Bold">
    <w:panose1 w:val="020F0704030504030204"/>
    <w:charset w:val="00"/>
    <w:family w:val="auto"/>
    <w:pitch w:val="default"/>
    <w:sig w:usb0="00000003" w:usb1="00000000" w:usb2="00000000" w:usb3="00000000" w:csb0="20000001" w:csb1="00000000"/>
  </w:font>
  <w:font w:name="GulimChe">
    <w:panose1 w:val="020B0609000101010101"/>
    <w:charset w:val="81"/>
    <w:family w:val="auto"/>
    <w:pitch w:val="default"/>
    <w:sig w:usb0="B00002AF" w:usb1="69D77CFB" w:usb2="00000030" w:usb3="00000000" w:csb0="4008009F" w:csb1="DFD70000"/>
  </w:font>
  <w:font w:name="Palatino Linotype">
    <w:panose1 w:val="02040502050505030304"/>
    <w:charset w:val="00"/>
    <w:family w:val="auto"/>
    <w:pitch w:val="default"/>
    <w:sig w:usb0="E00003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4"/>
      <w:spacing w:before="24" w:after="24"/>
      <w:jc w:val="center"/>
    </w:pPr>
    <w:r>
      <w:fldChar w:fldCharType="begin"/>
    </w:r>
    <w:r>
      <w:instrText xml:space="preserve"> PAGE   \* MERGEFORMAT </w:instrText>
    </w:r>
    <w:r>
      <w:fldChar w:fldCharType="separate"/>
    </w:r>
    <w:r>
      <w:rPr>
        <w:lang w:val="zh-CN"/>
      </w:rPr>
      <w:t>1</w:t>
    </w:r>
    <w:r>
      <w:rPr>
        <w:lang w:val="zh-CN"/>
      </w:rPr>
      <w:fldChar w:fldCharType="end"/>
    </w:r>
  </w:p>
  <w:p>
    <w:pPr>
      <w:pStyle w:val="14"/>
      <w:spacing w:before="24" w:after="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4"/>
      <w:spacing w:before="24" w:after="2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4"/>
      <w:spacing w:before="24" w:after="2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footnote w:id="0">
    <w:p>
      <w:pPr>
        <w:pStyle w:val="16"/>
        <w:spacing w:before="31" w:after="31"/>
      </w:pPr>
      <w:r>
        <w:rPr>
          <w:rStyle w:val="24"/>
        </w:rPr>
        <w:footnoteRef/>
      </w:r>
      <w:r>
        <w:rPr>
          <w:rFonts w:hint="eastAsia"/>
        </w:rPr>
        <w:t>目前为25％以上（含）。</w:t>
      </w:r>
    </w:p>
  </w:footnote>
  <w:footnote w:id="1">
    <w:p>
      <w:pPr>
        <w:pStyle w:val="16"/>
        <w:spacing w:before="31" w:after="31"/>
      </w:pPr>
      <w:r>
        <w:rPr>
          <w:rStyle w:val="24"/>
        </w:rPr>
        <w:footnoteRef/>
      </w:r>
      <w:r>
        <w:rPr>
          <w:rFonts w:hint="eastAsia"/>
        </w:rPr>
        <w:t>目前为25％以上（含）。</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5"/>
      <w:pBdr>
        <w:bottom w:val="none" w:color="auto" w:sz="0" w:space="0"/>
      </w:pBdr>
      <w:spacing w:before="24" w:after="2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5"/>
      <w:spacing w:before="24" w:after="2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5"/>
      <w:spacing w:before="24" w:after="2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nhideWhenUsed="0" w:uiPriority="0" w:semiHidden="0" w:name="footnote text"/>
    <w:lsdException w:unhideWhenUsed="0" w:uiPriority="0" w:semiHidden="0" w:name="annotation text"/>
    <w:lsdException w:uiPriority="0"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nhideWhenUsed="0" w:uiPriority="0" w:semiHidden="0" w:name="footnote reference"/>
    <w:lsdException w:unhideWhenUsed="0" w:uiPriority="0" w:semiHidden="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nhideWhenUsed="0" w:uiPriority="0" w:semiHidden="0" w:name="Body Text"/>
    <w:lsdException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nhideWhenUsed="0" w:uiPriority="0" w:semiHidden="0" w:name="Body Text 2"/>
    <w:lsdException w:unhideWhenUsed="0" w:uiPriority="0" w:semiHidden="0" w:name="Body Text 3"/>
    <w:lsdException w:uiPriority="0" w:semiHidden="0" w:name="Body Text Indent 2"/>
    <w:lsdException w:unhideWhenUsed="0" w:uiPriority="0" w:semiHidden="0" w:name="Body Text Indent 3"/>
    <w:lsdException w:uiPriority="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iPriority="0" w:name="Document Map"/>
    <w:lsdException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spacing w:beforeLines="10" w:afterLines="10" w:line="240" w:lineRule="exact"/>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28"/>
    <w:qFormat/>
    <w:uiPriority w:val="0"/>
    <w:pPr>
      <w:keepNext/>
      <w:keepLines/>
      <w:spacing w:before="340" w:after="330" w:line="578" w:lineRule="auto"/>
      <w:outlineLvl w:val="0"/>
    </w:pPr>
    <w:rPr>
      <w:b/>
      <w:kern w:val="44"/>
      <w:sz w:val="44"/>
    </w:rPr>
  </w:style>
  <w:style w:type="paragraph" w:styleId="3">
    <w:name w:val="heading 2"/>
    <w:basedOn w:val="1"/>
    <w:next w:val="1"/>
    <w:link w:val="29"/>
    <w:qFormat/>
    <w:uiPriority w:val="0"/>
    <w:pPr>
      <w:keepNext/>
      <w:keepLines/>
      <w:spacing w:before="260" w:after="260" w:line="415" w:lineRule="auto"/>
      <w:ind w:left="210" w:hanging="210"/>
      <w:jc w:val="left"/>
      <w:outlineLvl w:val="1"/>
    </w:pPr>
    <w:rPr>
      <w:rFonts w:ascii="Arial" w:hAnsi="Arial" w:eastAsia="黑体"/>
      <w:b/>
      <w:kern w:val="0"/>
      <w:sz w:val="32"/>
    </w:rPr>
  </w:style>
  <w:style w:type="paragraph" w:styleId="4">
    <w:name w:val="heading 3"/>
    <w:basedOn w:val="1"/>
    <w:next w:val="1"/>
    <w:link w:val="30"/>
    <w:unhideWhenUsed/>
    <w:qFormat/>
    <w:uiPriority w:val="9"/>
    <w:pPr>
      <w:keepNext/>
      <w:keepLines/>
      <w:spacing w:before="260" w:after="260" w:line="416" w:lineRule="auto"/>
      <w:outlineLvl w:val="2"/>
    </w:pPr>
    <w:rPr>
      <w:rFonts w:ascii="Calibri" w:hAnsi="Calibri" w:eastAsia="宋体" w:cs="黑体"/>
      <w:b/>
      <w:bCs/>
      <w:sz w:val="32"/>
      <w:szCs w:val="32"/>
    </w:rPr>
  </w:style>
  <w:style w:type="character" w:default="1" w:styleId="19">
    <w:name w:val="Default Paragraph Font"/>
    <w:semiHidden/>
    <w:unhideWhenUsed/>
    <w:uiPriority w:val="1"/>
  </w:style>
  <w:style w:type="paragraph" w:styleId="5">
    <w:name w:val="annotation subject"/>
    <w:basedOn w:val="6"/>
    <w:next w:val="6"/>
    <w:link w:val="41"/>
    <w:uiPriority w:val="0"/>
    <w:rPr>
      <w:b/>
      <w:bCs/>
    </w:rPr>
  </w:style>
  <w:style w:type="paragraph" w:styleId="6">
    <w:name w:val="annotation text"/>
    <w:basedOn w:val="1"/>
    <w:link w:val="40"/>
    <w:uiPriority w:val="0"/>
    <w:pPr>
      <w:jc w:val="left"/>
    </w:pPr>
  </w:style>
  <w:style w:type="paragraph" w:styleId="7">
    <w:name w:val="Normal Indent"/>
    <w:basedOn w:val="1"/>
    <w:uiPriority w:val="0"/>
    <w:pPr>
      <w:ind w:left="210" w:firstLine="480"/>
      <w:jc w:val="left"/>
    </w:pPr>
    <w:rPr>
      <w:sz w:val="24"/>
    </w:rPr>
  </w:style>
  <w:style w:type="paragraph" w:styleId="8">
    <w:name w:val="Body Text 3"/>
    <w:basedOn w:val="1"/>
    <w:link w:val="38"/>
    <w:uiPriority w:val="0"/>
    <w:rPr>
      <w:b/>
      <w:sz w:val="28"/>
    </w:rPr>
  </w:style>
  <w:style w:type="paragraph" w:styleId="9">
    <w:name w:val="Body Text"/>
    <w:basedOn w:val="1"/>
    <w:link w:val="33"/>
    <w:uiPriority w:val="0"/>
    <w:rPr>
      <w:rFonts w:ascii="仿宋_GB2312" w:eastAsia="仿宋_GB2312"/>
      <w:color w:val="000000"/>
      <w:sz w:val="28"/>
    </w:rPr>
  </w:style>
  <w:style w:type="paragraph" w:styleId="10">
    <w:name w:val="Body Text Indent"/>
    <w:basedOn w:val="1"/>
    <w:link w:val="36"/>
    <w:unhideWhenUsed/>
    <w:uiPriority w:val="0"/>
    <w:pPr>
      <w:spacing w:after="120"/>
      <w:ind w:left="420" w:leftChars="200"/>
    </w:pPr>
  </w:style>
  <w:style w:type="paragraph" w:styleId="11">
    <w:name w:val="Plain Text"/>
    <w:basedOn w:val="1"/>
    <w:link w:val="42"/>
    <w:uiPriority w:val="0"/>
    <w:rPr>
      <w:rFonts w:ascii="宋体" w:hAnsi="Courier New" w:cs="Courier New"/>
      <w:szCs w:val="21"/>
    </w:rPr>
  </w:style>
  <w:style w:type="paragraph" w:styleId="12">
    <w:name w:val="Body Text Indent 2"/>
    <w:basedOn w:val="1"/>
    <w:link w:val="35"/>
    <w:unhideWhenUsed/>
    <w:uiPriority w:val="0"/>
    <w:pPr>
      <w:spacing w:after="120" w:line="480" w:lineRule="auto"/>
      <w:ind w:left="420" w:leftChars="200"/>
    </w:pPr>
  </w:style>
  <w:style w:type="paragraph" w:styleId="13">
    <w:name w:val="Balloon Text"/>
    <w:basedOn w:val="1"/>
    <w:link w:val="39"/>
    <w:uiPriority w:val="0"/>
    <w:rPr>
      <w:sz w:val="18"/>
      <w:szCs w:val="18"/>
    </w:rPr>
  </w:style>
  <w:style w:type="paragraph" w:styleId="14">
    <w:name w:val="footer"/>
    <w:basedOn w:val="1"/>
    <w:link w:val="32"/>
    <w:unhideWhenUsed/>
    <w:uiPriority w:val="99"/>
    <w:pPr>
      <w:tabs>
        <w:tab w:val="center" w:pos="4153"/>
        <w:tab w:val="right" w:pos="8306"/>
      </w:tabs>
      <w:snapToGrid w:val="0"/>
      <w:jc w:val="left"/>
    </w:pPr>
    <w:rPr>
      <w:sz w:val="18"/>
      <w:szCs w:val="18"/>
    </w:rPr>
  </w:style>
  <w:style w:type="paragraph" w:styleId="15">
    <w:name w:val="header"/>
    <w:basedOn w:val="1"/>
    <w:link w:val="31"/>
    <w:unhideWhenUsed/>
    <w:uiPriority w:val="0"/>
    <w:pPr>
      <w:pBdr>
        <w:bottom w:val="single" w:color="auto" w:sz="6" w:space="1"/>
      </w:pBdr>
      <w:tabs>
        <w:tab w:val="center" w:pos="4153"/>
        <w:tab w:val="right" w:pos="8306"/>
      </w:tabs>
      <w:snapToGrid w:val="0"/>
      <w:jc w:val="center"/>
    </w:pPr>
    <w:rPr>
      <w:sz w:val="18"/>
      <w:szCs w:val="18"/>
    </w:rPr>
  </w:style>
  <w:style w:type="paragraph" w:styleId="16">
    <w:name w:val="footnote text"/>
    <w:basedOn w:val="1"/>
    <w:link w:val="43"/>
    <w:uiPriority w:val="0"/>
    <w:pPr>
      <w:widowControl/>
      <w:snapToGrid w:val="0"/>
      <w:jc w:val="left"/>
    </w:pPr>
    <w:rPr>
      <w:kern w:val="0"/>
      <w:sz w:val="18"/>
      <w:szCs w:val="18"/>
    </w:rPr>
  </w:style>
  <w:style w:type="paragraph" w:styleId="17">
    <w:name w:val="Body Text Indent 3"/>
    <w:basedOn w:val="1"/>
    <w:link w:val="37"/>
    <w:uiPriority w:val="0"/>
    <w:pPr>
      <w:ind w:left="1080"/>
    </w:pPr>
    <w:rPr>
      <w:kern w:val="0"/>
      <w:sz w:val="28"/>
    </w:rPr>
  </w:style>
  <w:style w:type="paragraph" w:styleId="18">
    <w:name w:val="Body Text 2"/>
    <w:basedOn w:val="1"/>
    <w:link w:val="34"/>
    <w:uiPriority w:val="0"/>
    <w:rPr>
      <w:rFonts w:ascii="宋体"/>
      <w:color w:val="000000"/>
      <w:sz w:val="24"/>
    </w:rPr>
  </w:style>
  <w:style w:type="character" w:styleId="20">
    <w:name w:val="page number"/>
    <w:basedOn w:val="19"/>
    <w:uiPriority w:val="0"/>
    <w:rPr/>
  </w:style>
  <w:style w:type="character" w:styleId="21">
    <w:name w:val="FollowedHyperlink"/>
    <w:basedOn w:val="19"/>
    <w:uiPriority w:val="0"/>
    <w:rPr>
      <w:color w:val="800080"/>
      <w:u w:val="single"/>
    </w:rPr>
  </w:style>
  <w:style w:type="character" w:styleId="22">
    <w:name w:val="Hyperlink"/>
    <w:basedOn w:val="19"/>
    <w:uiPriority w:val="0"/>
    <w:rPr>
      <w:color w:val="0000FF"/>
      <w:u w:val="single"/>
    </w:rPr>
  </w:style>
  <w:style w:type="character" w:styleId="23">
    <w:name w:val="annotation reference"/>
    <w:basedOn w:val="19"/>
    <w:uiPriority w:val="0"/>
    <w:rPr>
      <w:sz w:val="21"/>
      <w:szCs w:val="21"/>
    </w:rPr>
  </w:style>
  <w:style w:type="character" w:styleId="24">
    <w:name w:val="footnote reference"/>
    <w:basedOn w:val="19"/>
    <w:uiPriority w:val="0"/>
    <w:rPr>
      <w:vertAlign w:val="superscript"/>
    </w:rPr>
  </w:style>
  <w:style w:type="paragraph" w:customStyle="1" w:styleId="25">
    <w:name w:val="xl28"/>
    <w:basedOn w:val="1"/>
    <w:uiPriority w:val="0"/>
    <w:pPr>
      <w:widowControl/>
      <w:pBdr>
        <w:right w:val="single" w:color="auto" w:sz="4" w:space="0"/>
      </w:pBdr>
      <w:spacing w:before="100" w:beforeAutospacing="1" w:after="100" w:afterAutospacing="1"/>
      <w:textAlignment w:val="top"/>
    </w:pPr>
    <w:rPr>
      <w:rFonts w:ascii="Arial Unicode MS" w:hAnsi="Arial Unicode MS" w:eastAsia="Arial Unicode MS" w:cs="Century"/>
      <w:kern w:val="0"/>
      <w:sz w:val="18"/>
      <w:szCs w:val="18"/>
    </w:rPr>
  </w:style>
  <w:style w:type="paragraph" w:customStyle="1" w:styleId="26">
    <w:name w:val="图表"/>
    <w:basedOn w:val="1"/>
    <w:link w:val="44"/>
    <w:qFormat/>
    <w:uiPriority w:val="0"/>
    <w:pPr>
      <w:jc w:val="center"/>
    </w:pPr>
    <w:rPr>
      <w:rFonts w:eastAsia="新宋体" w:cs="黑体"/>
      <w:sz w:val="24"/>
      <w:szCs w:val="24"/>
    </w:rPr>
  </w:style>
  <w:style w:type="paragraph" w:customStyle="1" w:styleId="27">
    <w:name w:val="List Paragraph"/>
    <w:basedOn w:val="1"/>
    <w:qFormat/>
    <w:uiPriority w:val="34"/>
    <w:pPr>
      <w:ind w:firstLine="420" w:firstLineChars="200"/>
    </w:pPr>
  </w:style>
  <w:style w:type="character" w:customStyle="1" w:styleId="28">
    <w:name w:val="标题 1 Char Char"/>
    <w:basedOn w:val="19"/>
    <w:link w:val="2"/>
    <w:uiPriority w:val="0"/>
    <w:rPr>
      <w:rFonts w:ascii="Times New Roman" w:hAnsi="Times New Roman" w:eastAsia="宋体" w:cs="Times New Roman"/>
      <w:b/>
      <w:kern w:val="44"/>
      <w:sz w:val="44"/>
      <w:szCs w:val="20"/>
    </w:rPr>
  </w:style>
  <w:style w:type="character" w:customStyle="1" w:styleId="29">
    <w:name w:val="标题 2 Char Char"/>
    <w:basedOn w:val="19"/>
    <w:link w:val="3"/>
    <w:uiPriority w:val="0"/>
    <w:rPr>
      <w:rFonts w:ascii="Arial" w:hAnsi="Arial" w:eastAsia="黑体" w:cs="Times New Roman"/>
      <w:b/>
      <w:kern w:val="0"/>
      <w:sz w:val="32"/>
      <w:szCs w:val="20"/>
    </w:rPr>
  </w:style>
  <w:style w:type="character" w:customStyle="1" w:styleId="30">
    <w:name w:val="标题 3 Char Char"/>
    <w:basedOn w:val="19"/>
    <w:link w:val="4"/>
    <w:uiPriority w:val="9"/>
    <w:rPr>
      <w:b/>
      <w:bCs/>
      <w:sz w:val="32"/>
      <w:szCs w:val="32"/>
    </w:rPr>
  </w:style>
  <w:style w:type="character" w:customStyle="1" w:styleId="31">
    <w:name w:val="页眉 Char Char"/>
    <w:basedOn w:val="19"/>
    <w:link w:val="15"/>
    <w:uiPriority w:val="99"/>
    <w:rPr>
      <w:sz w:val="18"/>
      <w:szCs w:val="18"/>
    </w:rPr>
  </w:style>
  <w:style w:type="character" w:customStyle="1" w:styleId="32">
    <w:name w:val="页脚 Char Char"/>
    <w:basedOn w:val="19"/>
    <w:link w:val="14"/>
    <w:uiPriority w:val="99"/>
    <w:rPr>
      <w:sz w:val="18"/>
      <w:szCs w:val="18"/>
    </w:rPr>
  </w:style>
  <w:style w:type="character" w:customStyle="1" w:styleId="33">
    <w:name w:val="正文文本 Char Char"/>
    <w:basedOn w:val="19"/>
    <w:link w:val="9"/>
    <w:uiPriority w:val="0"/>
    <w:rPr>
      <w:rFonts w:ascii="仿宋_GB2312" w:hAnsi="Times New Roman" w:eastAsia="仿宋_GB2312" w:cs="Times New Roman"/>
      <w:color w:val="000000"/>
      <w:sz w:val="28"/>
      <w:szCs w:val="20"/>
    </w:rPr>
  </w:style>
  <w:style w:type="character" w:customStyle="1" w:styleId="34">
    <w:name w:val="正文文本 2 Char Char"/>
    <w:basedOn w:val="19"/>
    <w:link w:val="18"/>
    <w:uiPriority w:val="0"/>
    <w:rPr>
      <w:rFonts w:ascii="宋体" w:hAnsi="Times New Roman" w:eastAsia="宋体" w:cs="Times New Roman"/>
      <w:color w:val="000000"/>
      <w:sz w:val="24"/>
      <w:szCs w:val="20"/>
    </w:rPr>
  </w:style>
  <w:style w:type="character" w:customStyle="1" w:styleId="35">
    <w:name w:val="正文文本缩进 2 Char Char"/>
    <w:basedOn w:val="19"/>
    <w:link w:val="12"/>
    <w:uiPriority w:val="99"/>
    <w:rPr>
      <w:rFonts w:ascii="Times New Roman" w:hAnsi="Times New Roman" w:eastAsia="宋体" w:cs="Times New Roman"/>
      <w:szCs w:val="20"/>
    </w:rPr>
  </w:style>
  <w:style w:type="character" w:customStyle="1" w:styleId="36">
    <w:name w:val="正文文本缩进 Char Char"/>
    <w:basedOn w:val="19"/>
    <w:link w:val="10"/>
    <w:uiPriority w:val="0"/>
    <w:rPr>
      <w:rFonts w:ascii="Times New Roman" w:hAnsi="Times New Roman" w:eastAsia="宋体" w:cs="Times New Roman"/>
      <w:szCs w:val="20"/>
    </w:rPr>
  </w:style>
  <w:style w:type="character" w:customStyle="1" w:styleId="37">
    <w:name w:val="正文文本缩进 3 Char Char"/>
    <w:basedOn w:val="19"/>
    <w:link w:val="17"/>
    <w:uiPriority w:val="0"/>
    <w:rPr>
      <w:rFonts w:ascii="Times New Roman" w:hAnsi="Times New Roman" w:eastAsia="宋体" w:cs="Times New Roman"/>
      <w:kern w:val="0"/>
      <w:sz w:val="28"/>
      <w:szCs w:val="20"/>
    </w:rPr>
  </w:style>
  <w:style w:type="character" w:customStyle="1" w:styleId="38">
    <w:name w:val="正文文本 3 Char Char"/>
    <w:basedOn w:val="19"/>
    <w:link w:val="8"/>
    <w:uiPriority w:val="0"/>
    <w:rPr>
      <w:rFonts w:ascii="Times New Roman" w:hAnsi="Times New Roman" w:eastAsia="宋体" w:cs="Times New Roman"/>
      <w:b/>
      <w:sz w:val="28"/>
      <w:szCs w:val="20"/>
    </w:rPr>
  </w:style>
  <w:style w:type="character" w:customStyle="1" w:styleId="39">
    <w:name w:val="批注框文本 Char Char"/>
    <w:basedOn w:val="19"/>
    <w:link w:val="13"/>
    <w:uiPriority w:val="0"/>
    <w:rPr>
      <w:rFonts w:ascii="Times New Roman" w:hAnsi="Times New Roman" w:eastAsia="宋体" w:cs="Times New Roman"/>
      <w:sz w:val="18"/>
      <w:szCs w:val="18"/>
    </w:rPr>
  </w:style>
  <w:style w:type="character" w:customStyle="1" w:styleId="40">
    <w:name w:val="批注文字 Char Char"/>
    <w:basedOn w:val="19"/>
    <w:link w:val="6"/>
    <w:uiPriority w:val="0"/>
    <w:rPr>
      <w:rFonts w:ascii="Times New Roman" w:hAnsi="Times New Roman" w:eastAsia="宋体" w:cs="Times New Roman"/>
      <w:szCs w:val="20"/>
    </w:rPr>
  </w:style>
  <w:style w:type="character" w:customStyle="1" w:styleId="41">
    <w:name w:val="批注主题 Char Char"/>
    <w:basedOn w:val="40"/>
    <w:link w:val="5"/>
    <w:uiPriority w:val="0"/>
    <w:rPr>
      <w:b/>
      <w:bCs/>
    </w:rPr>
  </w:style>
  <w:style w:type="character" w:customStyle="1" w:styleId="42">
    <w:name w:val="纯文本 Char Char"/>
    <w:basedOn w:val="19"/>
    <w:link w:val="11"/>
    <w:uiPriority w:val="0"/>
    <w:rPr>
      <w:rFonts w:ascii="宋体" w:hAnsi="Courier New" w:eastAsia="宋体" w:cs="Courier New"/>
      <w:szCs w:val="21"/>
    </w:rPr>
  </w:style>
  <w:style w:type="character" w:customStyle="1" w:styleId="43">
    <w:name w:val="脚注文本 Char Char"/>
    <w:basedOn w:val="19"/>
    <w:link w:val="16"/>
    <w:uiPriority w:val="0"/>
    <w:rPr>
      <w:rFonts w:ascii="Times New Roman" w:hAnsi="Times New Roman" w:eastAsia="宋体" w:cs="Times New Roman"/>
      <w:kern w:val="0"/>
      <w:sz w:val="18"/>
      <w:szCs w:val="18"/>
    </w:rPr>
  </w:style>
  <w:style w:type="character" w:customStyle="1" w:styleId="44">
    <w:name w:val="图表 Char Char"/>
    <w:basedOn w:val="19"/>
    <w:link w:val="26"/>
    <w:uiPriority w:val="0"/>
    <w:rPr>
      <w:rFonts w:ascii="Times New Roman" w:hAnsi="Times New Roman" w:eastAsia="新宋体"/>
      <w:sz w:val="24"/>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footer" Target="footer3.xml"/><Relationship Id="rId11" Type="http://schemas.openxmlformats.org/officeDocument/2006/relationships/theme" Target="theme/theme1.xml"/><Relationship Id="rId12"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notes" Target="footnot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1.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1990</Words>
  <Characters>11347</Characters>
  <Lines>94</Lines>
  <Paragraphs>26</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2015-05-19T06:19:00Z</dcterms:created>
  <dc:creator>user</dc:creator>
  <cp:lastModifiedBy>dingjie</cp:lastModifiedBy>
  <cp:lastPrinted>2015-06-29T06:19:00Z</cp:lastPrinted>
  <dcterms:modified xsi:type="dcterms:W3CDTF">2015-07-13T07:38:41Z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