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28"/>
        <w:gridCol w:w="932"/>
        <w:gridCol w:w="1040"/>
        <w:gridCol w:w="1020"/>
        <w:gridCol w:w="996"/>
        <w:gridCol w:w="1120"/>
        <w:gridCol w:w="1220"/>
        <w:gridCol w:w="12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bookmarkStart w:id="1" w:name="_GoBack"/>
            <w:bookmarkEnd w:id="1"/>
            <w:bookmarkStart w:id="0" w:name="RANGE!A1:I38"/>
            <w:r>
              <w:rPr>
                <w:b/>
                <w:bCs/>
                <w:kern w:val="0"/>
                <w:sz w:val="24"/>
                <w:szCs w:val="24"/>
              </w:rPr>
              <w:t>19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85</w:t>
            </w:r>
            <w:r>
              <w:rPr>
                <w:b/>
                <w:bCs/>
                <w:kern w:val="0"/>
                <w:sz w:val="24"/>
                <w:szCs w:val="24"/>
              </w:rPr>
              <w:t>-20</w:t>
            </w:r>
            <w:r>
              <w:rPr>
                <w:rFonts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default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hint="eastAsia" w:ascii="楷体_GB2312" w:eastAsia="楷体_GB2312"/>
                <w:b/>
                <w:bCs/>
                <w:kern w:val="0"/>
                <w:sz w:val="24"/>
                <w:szCs w:val="24"/>
              </w:rPr>
              <w:t>年中国长期与短期外债的结构与增长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项目/年度</w:t>
            </w:r>
          </w:p>
        </w:tc>
        <w:tc>
          <w:tcPr>
            <w:tcW w:w="11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外债余额（十亿美元）</w:t>
            </w:r>
          </w:p>
        </w:tc>
        <w:tc>
          <w:tcPr>
            <w:tcW w:w="2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中长期外债</w:t>
            </w:r>
          </w:p>
        </w:tc>
        <w:tc>
          <w:tcPr>
            <w:tcW w:w="33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短期外债与外汇储备的比例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比上年增长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余额（十亿美元）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比上年增长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占总余额的比例</w:t>
            </w: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15.83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9.41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color w:val="FF000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242.8%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21.48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16.71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77.8%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-25.7%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30.20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24.48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46.5%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5.72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40.00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32.69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33.5%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81.7%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7.31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27.8%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216.8%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4"/>
                <w:szCs w:val="24"/>
              </w:rPr>
            </w:pPr>
            <w:r>
              <w:t xml:space="preserve">1989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41.30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37.03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89.7%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4.27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-41.6%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10.3%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76.9%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52.55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45.78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60.56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50.26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10.30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69.32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58.47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84.3%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10.85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55.8%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83.57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70.02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19.8%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83.8%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13.55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63.9%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92.81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82.39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10.42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-23.1%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106.59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94.68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11.91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116.28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102.17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14.11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130.96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112.82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86.1%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18.14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28.6%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146.04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128.70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14.1%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88.1%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17.34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-4.4%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1999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151.83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136.65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90.0%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15.18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-12.5%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145.73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132.65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91.0%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-13.8%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203.30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119.53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83.77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202.63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115.55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87.08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43.0%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30.4%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219.36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116.59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53.2%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102.77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46.8%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262.99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124.29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47.3%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138.71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22.7%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296.54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124.90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171.64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23.7%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57.9%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2006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338.59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139.36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41.2%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199.23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2007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389.22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153.53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39.4%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235.68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18.3%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60.6%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15.4%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2008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390.16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163.88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6.7%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42.0%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226.28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58.0%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2009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428.65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169.39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3.4%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39.5%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259.26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60.5%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2010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548.94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173.24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375.70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44.9%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13.2%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2011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695.00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194.10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12.0%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500.90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33.3%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2012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736.99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196.06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1.0%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540.93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73.4%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16.3%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2013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863.17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186.54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-4.9%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21.6%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676.63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25.1%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78.4%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17.7%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2014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1779.90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481.70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27.1%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1298.20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—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72.9%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33.8%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2015 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1382.98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495.57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35.8%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887.41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-31.6%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64.2%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26.6%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2016 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14</w:t>
            </w:r>
            <w:r>
              <w:rPr>
                <w:rFonts w:hint="eastAsia"/>
                <w:kern w:val="0"/>
                <w:szCs w:val="21"/>
              </w:rPr>
              <w:t>15.80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 xml:space="preserve">549.76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10.9%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38.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866.04</w:t>
            </w:r>
            <w:r>
              <w:rPr>
                <w:kern w:val="0"/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-</w:t>
            </w:r>
            <w:r>
              <w:rPr>
                <w:rFonts w:hint="eastAsia"/>
                <w:kern w:val="0"/>
                <w:szCs w:val="21"/>
              </w:rPr>
              <w:t>2.4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61.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kern w:val="0"/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28.8</w:t>
            </w:r>
            <w:r>
              <w:rPr>
                <w:kern w:val="0"/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2017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1757.96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612.72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11.5%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34.9%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1145.24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32.2%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65.1%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36.5%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2018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1982.75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693.60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13.2%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35.0%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1289.15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12.6%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65.0%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42.0%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2019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2070.81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851.97 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22.8%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41.1</w:t>
            </w:r>
            <w:r>
              <w:rPr>
                <w:szCs w:val="21"/>
              </w:rPr>
              <w:t>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1218.84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.5%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58.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39.2</w:t>
            </w:r>
            <w:r>
              <w:rPr>
                <w:szCs w:val="21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7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2020</w:t>
            </w:r>
          </w:p>
        </w:tc>
        <w:tc>
          <w:tcPr>
            <w:tcW w:w="11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2400.81</w:t>
            </w:r>
          </w:p>
        </w:tc>
        <w:tc>
          <w:tcPr>
            <w:tcW w:w="9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1084.44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27.3%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45.2%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1316.37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8.0%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54.8%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40.9%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/>
                <w:color w:val="000000"/>
                <w:kern w:val="0"/>
                <w:sz w:val="24"/>
                <w:szCs w:val="24"/>
              </w:rPr>
              <w:t>2021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2746.56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1300.33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19.9%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47.3%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1446.23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9.9%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52.7%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Cs w:val="21"/>
              </w:rPr>
            </w:pPr>
            <w:r>
              <w:rPr>
                <w:rFonts w:hint="default"/>
                <w:szCs w:val="21"/>
              </w:rPr>
              <w:t>44.5%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2022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2452.76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1114.80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-14.3%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45.5%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1337.97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-7.5%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54.5%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sz w:val="21"/>
                <w:szCs w:val="21"/>
              </w:rPr>
              <w:t>42.8%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/>
                <w:color w:val="000000"/>
                <w:kern w:val="0"/>
                <w:sz w:val="21"/>
                <w:szCs w:val="21"/>
              </w:rPr>
              <w:t>2023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2447.54 </w:t>
            </w:r>
          </w:p>
        </w:tc>
        <w:tc>
          <w:tcPr>
            <w:tcW w:w="9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1084.69 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-2.7%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44.3%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1362.84 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1.9%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55.7%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</w:t>
            </w:r>
            <w:r>
              <w:rPr>
                <w:rFonts w:hint="default" w:cs="Times New Roman"/>
                <w:i w:val="0"/>
                <w:color w:val="000000"/>
                <w:kern w:val="0"/>
                <w:sz w:val="21"/>
                <w:szCs w:val="21"/>
                <w:u w:val="none"/>
                <w:lang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0"/>
              </w:rPr>
            </w:pPr>
          </w:p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 w:ascii="宋体" w:hAnsi="宋体"/>
                <w:kern w:val="0"/>
                <w:sz w:val="20"/>
              </w:rPr>
              <w:t>注：</w:t>
            </w:r>
            <w:r>
              <w:rPr>
                <w:kern w:val="0"/>
                <w:sz w:val="20"/>
              </w:rPr>
              <w:t xml:space="preserve">1. </w:t>
            </w:r>
            <w:r>
              <w:rPr>
                <w:rFonts w:hint="eastAsia" w:ascii="宋体" w:hAnsi="宋体"/>
                <w:kern w:val="0"/>
                <w:sz w:val="20"/>
              </w:rPr>
              <w:t>自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年起，我国按照当时的国际标准对原外债口径进行了调整，并将未来一年内到期的中长期外债纳入短期外债（剩余期限）统计，由于调整后的外债数据与</w:t>
            </w:r>
            <w:r>
              <w:rPr>
                <w:kern w:val="0"/>
                <w:sz w:val="20"/>
              </w:rPr>
              <w:t>2000</w:t>
            </w:r>
            <w:r>
              <w:rPr>
                <w:rFonts w:hint="eastAsia" w:ascii="宋体" w:hAnsi="宋体"/>
                <w:kern w:val="0"/>
                <w:sz w:val="20"/>
              </w:rPr>
              <w:t>年及以前年度的外债数据不具可比性，故未计算上表中</w:t>
            </w:r>
            <w:r>
              <w:rPr>
                <w:kern w:val="0"/>
                <w:sz w:val="20"/>
              </w:rPr>
              <w:t>2001</w:t>
            </w:r>
            <w:r>
              <w:rPr>
                <w:rFonts w:hint="eastAsia" w:ascii="宋体" w:hAnsi="宋体"/>
                <w:kern w:val="0"/>
                <w:sz w:val="20"/>
              </w:rPr>
              <w:t>年“外债余额比上年增长”项。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95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kern w:val="0"/>
                <w:sz w:val="20"/>
              </w:rPr>
              <w:t>2. 2015</w:t>
            </w:r>
            <w:r>
              <w:rPr>
                <w:rFonts w:hint="eastAsia" w:ascii="宋体" w:hAnsi="宋体"/>
                <w:kern w:val="0"/>
                <w:sz w:val="20"/>
              </w:rPr>
              <w:t>年，我国按照国际货币基金组织数据公布特殊标准（</w:t>
            </w:r>
            <w:r>
              <w:rPr>
                <w:kern w:val="0"/>
                <w:sz w:val="20"/>
              </w:rPr>
              <w:t>SDDS)</w:t>
            </w:r>
            <w:r>
              <w:rPr>
                <w:rFonts w:hint="eastAsia" w:ascii="宋体" w:hAnsi="宋体"/>
                <w:kern w:val="0"/>
                <w:sz w:val="20"/>
              </w:rPr>
              <w:t>调整了外债统计口径并对外公布全口径外债数据，将人民币外债纳入统计，并按签约期限划分中长期和短期外债。为保证数据的可比性，本表将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年末外债数据相应调整为全口径外债数据，由于全口径外债数据与此前外债数据（原口径为外币外债数据）不具可比性，故未计算上表中</w:t>
            </w:r>
            <w:r>
              <w:rPr>
                <w:kern w:val="0"/>
                <w:sz w:val="20"/>
              </w:rPr>
              <w:t>2014</w:t>
            </w:r>
            <w:r>
              <w:rPr>
                <w:rFonts w:hint="eastAsia" w:ascii="宋体" w:hAnsi="宋体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>“</w:t>
            </w:r>
            <w:r>
              <w:rPr>
                <w:rFonts w:hint="eastAsia" w:ascii="宋体" w:hAnsi="宋体"/>
                <w:kern w:val="0"/>
                <w:sz w:val="20"/>
              </w:rPr>
              <w:t>外债余额比上年增长</w:t>
            </w:r>
            <w:r>
              <w:rPr>
                <w:kern w:val="0"/>
                <w:sz w:val="20"/>
              </w:rPr>
              <w:t>”</w:t>
            </w:r>
            <w:r>
              <w:rPr>
                <w:rFonts w:hint="eastAsia" w:ascii="宋体" w:hAnsi="宋体"/>
                <w:kern w:val="0"/>
                <w:sz w:val="20"/>
              </w:rPr>
              <w:t>项。</w:t>
            </w:r>
          </w:p>
        </w:tc>
      </w:tr>
    </w:tbl>
    <w:p>
      <w:pPr>
        <w:ind w:firstLine="42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36F"/>
    <w:rsid w:val="0005399E"/>
    <w:rsid w:val="000740D4"/>
    <w:rsid w:val="000B4E5C"/>
    <w:rsid w:val="001A3A95"/>
    <w:rsid w:val="002F6341"/>
    <w:rsid w:val="0039036F"/>
    <w:rsid w:val="003B33BD"/>
    <w:rsid w:val="003D640D"/>
    <w:rsid w:val="004932FC"/>
    <w:rsid w:val="005D42D4"/>
    <w:rsid w:val="006D11D1"/>
    <w:rsid w:val="00726275"/>
    <w:rsid w:val="00766F03"/>
    <w:rsid w:val="0077761D"/>
    <w:rsid w:val="00804413"/>
    <w:rsid w:val="008A4EAE"/>
    <w:rsid w:val="00984B0E"/>
    <w:rsid w:val="00A2237C"/>
    <w:rsid w:val="00A24200"/>
    <w:rsid w:val="00BD02D7"/>
    <w:rsid w:val="00BE33DB"/>
    <w:rsid w:val="00C1493B"/>
    <w:rsid w:val="00C96A88"/>
    <w:rsid w:val="00D46A5B"/>
    <w:rsid w:val="00DE11F2"/>
    <w:rsid w:val="00E34BD0"/>
    <w:rsid w:val="00F3585A"/>
    <w:rsid w:val="1DFF84CE"/>
    <w:rsid w:val="1F387DB8"/>
    <w:rsid w:val="28EE747F"/>
    <w:rsid w:val="3FDE8B84"/>
    <w:rsid w:val="3FFFE809"/>
    <w:rsid w:val="5F5FCCB2"/>
    <w:rsid w:val="78FF48C8"/>
    <w:rsid w:val="8D063FCC"/>
    <w:rsid w:val="CFEF1E5E"/>
    <w:rsid w:val="DEEFA1EB"/>
    <w:rsid w:val="FCD6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395</Words>
  <Characters>2255</Characters>
  <Lines>18</Lines>
  <Paragraphs>5</Paragraphs>
  <TotalTime>3</TotalTime>
  <ScaleCrop>false</ScaleCrop>
  <LinksUpToDate>false</LinksUpToDate>
  <CharactersWithSpaces>2645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2020-03-26T14:24:00Z</dcterms:created>
  <dc:creator>user</dc:creator>
  <cp:lastModifiedBy>wz01</cp:lastModifiedBy>
  <cp:lastPrinted>2022-03-23T18:47:00Z</cp:lastPrinted>
  <dcterms:modified xsi:type="dcterms:W3CDTF">2024-04-02T02:28:32Z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