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特殊机构代码赋码业务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办事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指南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一、特殊机构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特殊机构是指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按照有关规定，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无法申领统一社会信用代码、</w:t>
      </w:r>
      <w:r>
        <w:rPr>
          <w:rFonts w:hint="eastAsia" w:ascii="仿宋_GB2312" w:hAnsi="仿宋_GB2312" w:eastAsia="仿宋_GB2312" w:cs="仿宋_GB2312"/>
          <w:sz w:val="32"/>
          <w:szCs w:val="32"/>
        </w:rPr>
        <w:t>确因办理涉外业务需要统一标识的机构，包括部分境内机构(军队、武警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部队</w:t>
      </w:r>
      <w:r>
        <w:rPr>
          <w:rFonts w:hint="eastAsia" w:ascii="仿宋_GB2312" w:hAnsi="仿宋_GB2312" w:eastAsia="仿宋_GB2312" w:cs="仿宋_GB2312"/>
          <w:sz w:val="32"/>
          <w:szCs w:val="32"/>
        </w:rPr>
        <w:t>等)，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驻华使领馆、国际组织驻华机构和</w:t>
      </w:r>
      <w:r>
        <w:rPr>
          <w:rFonts w:hint="eastAsia" w:ascii="仿宋_GB2312" w:hAnsi="仿宋_GB2312" w:eastAsia="仿宋_GB2312" w:cs="仿宋_GB2312"/>
          <w:sz w:val="32"/>
          <w:szCs w:val="32"/>
        </w:rPr>
        <w:t>有办理涉外业务需求的境外机构（包括香港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特别行政区</w:t>
      </w:r>
      <w:r>
        <w:rPr>
          <w:rFonts w:hint="eastAsia" w:ascii="仿宋_GB2312" w:hAnsi="仿宋_GB2312" w:eastAsia="仿宋_GB2312" w:cs="仿宋_GB2312"/>
          <w:sz w:val="32"/>
          <w:szCs w:val="32"/>
        </w:rPr>
        <w:t>、澳门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特别行政区和</w:t>
      </w:r>
      <w:r>
        <w:rPr>
          <w:rFonts w:hint="eastAsia" w:ascii="仿宋_GB2312" w:hAnsi="仿宋_GB2312" w:eastAsia="仿宋_GB2312" w:cs="仿宋_GB2312"/>
          <w:sz w:val="32"/>
          <w:szCs w:val="32"/>
        </w:rPr>
        <w:t>台湾的机构，以下简称境外机构）等。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二、特殊机构代码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特殊机构代码是指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外汇局</w:t>
      </w:r>
      <w:r>
        <w:rPr>
          <w:rFonts w:hint="eastAsia" w:ascii="仿宋_GB2312" w:hAnsi="仿宋_GB2312" w:eastAsia="仿宋_GB2312" w:cs="仿宋_GB2312"/>
          <w:sz w:val="32"/>
          <w:szCs w:val="32"/>
        </w:rPr>
        <w:t>向特殊机构统一赋予的、仅供该机构在办理涉外业务时使用的专用代码。</w:t>
      </w:r>
      <w:r>
        <w:rPr>
          <w:rFonts w:hint="eastAsia" w:ascii="仿宋" w:hAnsi="仿宋" w:eastAsia="仿宋" w:cs="仿宋"/>
          <w:sz w:val="30"/>
          <w:szCs w:val="30"/>
        </w:rPr>
        <w:t>涉外业务包括但不限于需要提供主体标识码的外汇管理登记或审批、外汇账户开立、国际收支统计申报和境内划转数据报送等。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特殊机构代码不作为认可特殊机构为有效机构的证明，同一机构不能重复申领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三、特殊机构代码申领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（一）辖内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无特殊机构代码的特殊机构在办理涉外业务时，应通过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辖内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银行或深圳市分局业务部门向深圳市分局外汇综合处提交申领申请。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收到申请材料后，在3个工作日完成审核、赋码。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（三）特殊机构代码申领需提交的材料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境外机构申领特殊机构代码需提交的材料：（1）《特殊机构代码申领/维护表》（见附件），银行加盖公章或业务章。（2）申领机构有效证明文件的复印件或电子扫描件，银行负责审核其真实性（因特殊机构所在国家和地区不同，其有效证明文件可能不同。以香港公司为例，需提交《公司注册证明书CERTIFICATE OF INCORPORATION》和有效的《商业/分行登记证Business/Branch Registration Certificate》）。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2.军队、武警部队等境内机构、驻华使领馆、国际组织驻华机构和其他境内机构申领特殊机构代码需提交的资料：（1）《特殊机构代码申领/维护表》，银行加盖公章或业务章。（2）申领机构有效证明文件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，银行审核其真实性。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特殊机构代码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的补领、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信息变更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、停用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（一）特殊机构如需补领赋码通知、变更信息、停用特殊机构代码等，由辖内银行提交申请资料，并参照申领流程办理。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深圳市分局外汇综合处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收到申请材料后，在3个工作日完成赋码通知补领、信息变更、特殊机构代码停用等工作。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（三）深圳市分局可直接办理全国的特殊机构代码补领赋码通知、信息变更、代码停用业务。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（四）特殊机构代码的补领、信息变更、停用需提交的材料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1.特殊机构代码的补领、信息变更:(1)申领所需的材料；（2）情况说明（加盖公章或业务章）。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2.特殊机构代码的停用：（1）《特殊机构代码申领/维护表》；（2）具体情况说明（加盖公章或业务章）；（3）特殊机构解散或注销相关证明材料。</w:t>
      </w:r>
    </w:p>
    <w:p>
      <w:pPr>
        <w:widowControl w:val="0"/>
        <w:numPr>
          <w:numId w:val="0"/>
        </w:numPr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五、特殊机构代码赋码通知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深圳市分局通过代码系统功能生成电子版《特殊机构代码赋码通知》。银行通知特殊机构及时领取并妥善保管《特殊机构代码赋码通知（特殊机构联）》，同时留存《特殊机构代码赋码通知（银行联）》。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（二）特殊机构持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《特殊机构代码赋码通知（特殊机构联）》办理相关业务时，银行或深圳市分局通过代码系统核验真实性后办理相关业务。</w:t>
      </w:r>
    </w:p>
    <w:p>
      <w:pPr>
        <w:widowControl w:val="0"/>
        <w:numPr>
          <w:numId w:val="0"/>
        </w:numPr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六、原全国组织机构代码管理中心出具的特殊机构代码仍然可以使用，无需重新申请特殊机构代码。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 xml:space="preserve">受理部门：国家外汇管理局深圳市分局外汇综合处  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0" w:firstLineChars="0"/>
        <w:jc w:val="left"/>
        <w:textAlignment w:val="auto"/>
        <w:outlineLvl w:val="9"/>
        <w:rPr>
          <w:sz w:val="19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办公地点：广东省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深圳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罗湖区深南东路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5006号北楼1704室</w:t>
      </w:r>
    </w:p>
    <w:p>
      <w:pPr>
        <w:tabs>
          <w:tab w:val="left" w:pos="579"/>
        </w:tabs>
        <w:spacing w:before="94"/>
        <w:ind w:right="0"/>
        <w:jc w:val="left"/>
        <w:rPr>
          <w:sz w:val="18"/>
        </w:rPr>
      </w:pPr>
    </w:p>
    <w:sectPr>
      <w:pgSz w:w="11910" w:h="16840"/>
      <w:pgMar w:top="1500" w:right="156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08B31AC"/>
    <w:rsid w:val="011608F7"/>
    <w:rsid w:val="03DD3E2D"/>
    <w:rsid w:val="0517666D"/>
    <w:rsid w:val="05A94A51"/>
    <w:rsid w:val="06AF16FF"/>
    <w:rsid w:val="0D2B51DF"/>
    <w:rsid w:val="0E534CE8"/>
    <w:rsid w:val="0F3A7E91"/>
    <w:rsid w:val="112C4F50"/>
    <w:rsid w:val="11EA3146"/>
    <w:rsid w:val="12F27B10"/>
    <w:rsid w:val="149F009A"/>
    <w:rsid w:val="15E9643F"/>
    <w:rsid w:val="19A73E2B"/>
    <w:rsid w:val="19B0420B"/>
    <w:rsid w:val="1EA91690"/>
    <w:rsid w:val="1F587E55"/>
    <w:rsid w:val="206F421F"/>
    <w:rsid w:val="22013132"/>
    <w:rsid w:val="22F2571A"/>
    <w:rsid w:val="23E87ECF"/>
    <w:rsid w:val="246F7096"/>
    <w:rsid w:val="24705362"/>
    <w:rsid w:val="25B93CF4"/>
    <w:rsid w:val="289C289E"/>
    <w:rsid w:val="29180B53"/>
    <w:rsid w:val="29370814"/>
    <w:rsid w:val="2A8C5F5B"/>
    <w:rsid w:val="2E084865"/>
    <w:rsid w:val="304D3C57"/>
    <w:rsid w:val="330326C6"/>
    <w:rsid w:val="339454DA"/>
    <w:rsid w:val="38B367F0"/>
    <w:rsid w:val="38E1085B"/>
    <w:rsid w:val="3923259A"/>
    <w:rsid w:val="3AAE2FCB"/>
    <w:rsid w:val="3D414EC7"/>
    <w:rsid w:val="3D655CF4"/>
    <w:rsid w:val="3DC2305F"/>
    <w:rsid w:val="46897080"/>
    <w:rsid w:val="4DE90D1D"/>
    <w:rsid w:val="4FA62299"/>
    <w:rsid w:val="510E6C2D"/>
    <w:rsid w:val="52525D5C"/>
    <w:rsid w:val="539A1BAC"/>
    <w:rsid w:val="54955408"/>
    <w:rsid w:val="560A5813"/>
    <w:rsid w:val="562B0A1D"/>
    <w:rsid w:val="56C02377"/>
    <w:rsid w:val="573F0A39"/>
    <w:rsid w:val="5B317E16"/>
    <w:rsid w:val="5BFE7051"/>
    <w:rsid w:val="5CC66D6C"/>
    <w:rsid w:val="5CED3F25"/>
    <w:rsid w:val="5D205349"/>
    <w:rsid w:val="5E820FD7"/>
    <w:rsid w:val="60A2431D"/>
    <w:rsid w:val="60F40884"/>
    <w:rsid w:val="66527530"/>
    <w:rsid w:val="6B054CBE"/>
    <w:rsid w:val="6B4236F7"/>
    <w:rsid w:val="6B506FBE"/>
    <w:rsid w:val="6C4D4981"/>
    <w:rsid w:val="6CE513E5"/>
    <w:rsid w:val="70EE155F"/>
    <w:rsid w:val="72FD1C09"/>
    <w:rsid w:val="730B30F2"/>
    <w:rsid w:val="73FF4898"/>
    <w:rsid w:val="741D368C"/>
    <w:rsid w:val="741E1170"/>
    <w:rsid w:val="74E0334B"/>
    <w:rsid w:val="750924A2"/>
    <w:rsid w:val="76AA1E09"/>
    <w:rsid w:val="7A091245"/>
    <w:rsid w:val="7AB53A0A"/>
    <w:rsid w:val="7AE0309E"/>
    <w:rsid w:val="7C394CF9"/>
    <w:rsid w:val="7F1A1D95"/>
    <w:rsid w:val="7F277955"/>
    <w:rsid w:val="7F3D1500"/>
    <w:rsid w:val="7FB74B3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20"/>
      <w:outlineLvl w:val="1"/>
    </w:pPr>
    <w:rPr>
      <w:rFonts w:ascii="微软雅黑" w:hAnsi="微软雅黑" w:eastAsia="微软雅黑" w:cs="微软雅黑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uiPriority w:val="59"/>
    <w:pPr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8">
    <w:name w:val="List Paragraph"/>
    <w:basedOn w:val="1"/>
    <w:qFormat/>
    <w:uiPriority w:val="1"/>
    <w:pPr>
      <w:spacing w:before="1"/>
      <w:ind w:left="22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table" w:customStyle="1" w:styleId="10">
    <w:name w:val="Table Normal"/>
    <w:unhideWhenUsed/>
    <w:qFormat/>
    <w:uiPriority w:val="2"/>
    <w:tblPr>
      <w:tblStyle w:val="6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2022-05-23T02:11:00Z</dcterms:created>
  <dc:creator>PBC</dc:creator>
  <cp:lastModifiedBy>蔡瑞文</cp:lastModifiedBy>
  <cp:lastPrinted>2022-06-02T08:52:00Z</cp:lastPrinted>
  <dcterms:modified xsi:type="dcterms:W3CDTF">2023-12-11T03:19:17Z</dcterms:modified>
  <dc:title>特殊机构代码赋码业务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2022-05-23T00:00:00Z</vt:filetime>
  </property>
  <property fmtid="{D5CDD505-2E9C-101B-9397-08002B2CF9AE}" pid="5" name="KSOProductBuildVer">
    <vt:lpwstr>2052-9.1.0.4795</vt:lpwstr>
  </property>
  <property fmtid="{D5CDD505-2E9C-101B-9397-08002B2CF9AE}" pid="6" name="ICV">
    <vt:lpwstr>647EE28C2EA046F3A3947CFB2A6A33E3</vt:lpwstr>
  </property>
</Properties>
</file>