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四、境内公司境外上市或发行境外存托凭证登记及变更、注销登记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2.《国家外汇管理局关于境外上市外汇管理有关问题的通知》（汇发〔2014〕54号）。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3.《H股公司境内未上市股份申请“全流通”业务指引》（证监会公告〔201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〕22号）。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 《存托凭证跨境资金管理办法（试行）》（中国人民银行 国家外汇管理局公告〔201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〕第8号）。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15个工作日内，到其所在地外汇局办理境外上市登记。</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w:t>
      </w:r>
      <w:r>
        <w:rPr>
          <w:rFonts w:hint="eastAsia" w:ascii="Times New Roman" w:hAnsi="Times New Roman" w:eastAsia="黑体" w:cs="Times New Roman"/>
          <w:sz w:val="30"/>
          <w:szCs w:val="30"/>
        </w:rPr>
        <w:t>或发行境外存托凭证</w:t>
      </w:r>
      <w:r>
        <w:rPr>
          <w:rFonts w:ascii="Times New Roman" w:hAnsi="Times New Roman" w:eastAsia="黑体" w:cs="Times New Roman"/>
          <w:sz w:val="30"/>
          <w:szCs w:val="30"/>
        </w:rPr>
        <w:t>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中国证监会许可境内公司境外上市</w:t>
            </w:r>
            <w:r>
              <w:rPr>
                <w:rFonts w:hint="eastAsia" w:ascii="Times New Roman" w:hAnsi="Times New Roman" w:eastAsia="仿宋_GB2312" w:cs="Times New Roman"/>
                <w:kern w:val="0"/>
                <w:sz w:val="24"/>
                <w:szCs w:val="24"/>
              </w:rPr>
              <w:t>或发行境外存托凭证</w:t>
            </w:r>
            <w:r>
              <w:rPr>
                <w:rFonts w:ascii="Times New Roman" w:hAnsi="Times New Roman" w:eastAsia="仿宋_GB2312" w:cs="Times New Roman"/>
                <w:kern w:val="0"/>
                <w:sz w:val="24"/>
                <w:szCs w:val="24"/>
              </w:rPr>
              <w:t>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境外发行结束的公告文件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国家外汇管理局关于境内投资者参与境外上市购付汇的批准文件（如有）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w:t>
      </w:r>
      <w:r>
        <w:rPr>
          <w:rFonts w:ascii="Times New Roman" w:hAnsi="Times New Roman" w:eastAsia="黑体" w:cs="Times New Roman"/>
          <w:sz w:val="30"/>
          <w:szCs w:val="30"/>
        </w:rPr>
        <w:t>H</w:t>
      </w:r>
      <w:r>
        <w:rPr>
          <w:rFonts w:hint="eastAsia" w:ascii="Times New Roman" w:hAnsi="Times New Roman" w:eastAsia="黑体" w:cs="Times New Roman"/>
          <w:sz w:val="30"/>
          <w:szCs w:val="30"/>
        </w:rPr>
        <w:t>股</w:t>
      </w:r>
      <w:r>
        <w:rPr>
          <w:rFonts w:ascii="Times New Roman" w:hAnsi="Times New Roman" w:eastAsia="黑体" w:cs="Times New Roman"/>
          <w:sz w:val="30"/>
          <w:szCs w:val="30"/>
        </w:rPr>
        <w:t>“</w:t>
      </w:r>
      <w:r>
        <w:rPr>
          <w:rFonts w:hint="eastAsia" w:ascii="Times New Roman" w:hAnsi="Times New Roman" w:eastAsia="黑体" w:cs="Times New Roman"/>
          <w:sz w:val="30"/>
          <w:szCs w:val="30"/>
        </w:rPr>
        <w:t>全流通</w:t>
      </w:r>
      <w:r>
        <w:rPr>
          <w:rFonts w:ascii="Times New Roman" w:hAnsi="Times New Roman" w:eastAsia="黑体" w:cs="Times New Roman"/>
          <w:sz w:val="30"/>
          <w:szCs w:val="30"/>
        </w:rPr>
        <w:t>”</w:t>
      </w:r>
      <w:r>
        <w:rPr>
          <w:rFonts w:hint="eastAsia" w:ascii="Times New Roman" w:hAnsi="Times New Roman" w:eastAsia="黑体" w:cs="Times New Roman"/>
          <w:sz w:val="30"/>
          <w:szCs w:val="30"/>
        </w:rPr>
        <w:t>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中国证监会批准参加</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业务的许可文件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境外上市公司关于开展</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境内公司境外上市其他变更登记申请材料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主管部门关于变更事项的相关批复或备案文件（如有）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相关公告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4</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境内公司境外上市注销登记申请材料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ascii="Times New Roman" w:hAnsi="Times New Roman" w:eastAsia="仿宋_GB2312" w:cs="Times New Roman"/>
                <w:color w:val="000000"/>
                <w:sz w:val="24"/>
                <w:szCs w:val="24"/>
              </w:rPr>
              <w:t>，并附</w:t>
            </w:r>
            <w:r>
              <w:rPr>
                <w:rFonts w:ascii="Times New Roman" w:hAnsi="Times New Roman" w:eastAsia="仿宋_GB2312" w:cs="Times New Roman"/>
                <w:kern w:val="0"/>
                <w:sz w:val="24"/>
                <w:szCs w:val="24"/>
              </w:rPr>
              <w:t>《境外上市登记表》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退市公告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主管部门关于注销事项的相关批复或备案文件（如有）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highlight w:val="none"/>
        </w:rPr>
        <w:t>或国家外汇管理局政务服务网上办理系统</w:t>
      </w:r>
      <w:r>
        <w:rPr>
          <w:rFonts w:ascii="Times New Roman" w:hAnsi="Times New Roman" w:eastAsia="仿宋_GB2312" w:cs="Times New Roman"/>
          <w:sz w:val="30"/>
          <w:szCs w:val="30"/>
        </w:rPr>
        <w:t>提交材料</w:t>
      </w:r>
      <w:r>
        <w:rPr>
          <w:rFonts w:hint="eastAsia" w:ascii="Times New Roman" w:hAnsi="Times New Roman" w:eastAsia="仿宋_GB2312" w:cs="Times New Roman"/>
          <w:sz w:val="30"/>
          <w:szCs w:val="30"/>
        </w:rPr>
        <w:t>。</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540" w:lineRule="exact"/>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bookmarkStart w:id="3" w:name="_GoBack"/>
      <w:bookmarkEnd w:id="3"/>
      <w:r>
        <w:rPr>
          <w:rFonts w:hint="eastAsia" w:ascii="Times New Roman" w:hAnsi="Times New Roman" w:eastAsia="黑体" w:cs="Times New Roman"/>
          <w:sz w:val="30"/>
          <w:szCs w:val="30"/>
          <w:lang w:eastAsia="zh-CN"/>
        </w:rPr>
        <w:t>）</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680" o:spid="_x0000_s1027" style="position:absolute;left:0;margin-left:-21pt;margin-top:14.85pt;height:586.05pt;width:455.05pt;rotation:0f;z-index:251659264;"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宋体" w:cs="Times New Roman"/>
          <w:kern w:val="2"/>
          <w:sz w:val="21"/>
          <w:szCs w:val="22"/>
          <w:lang w:val="en-US" w:eastAsia="zh-CN" w:bidi="ar-SA"/>
        </w:rPr>
        <w:pict>
          <v:roundrect id="AutoShape 667" o:spid="_x0000_s1061" style="position:absolute;left:0;margin-left:202.4pt;margin-top:277.65pt;height:71.35pt;width:180.85pt;rotation:0f;z-index:251658240;"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kern w:val="0"/>
          <w:sz w:val="30"/>
          <w:szCs w:val="30"/>
        </w:rPr>
        <w:t>附录二</w:t>
      </w:r>
      <w:bookmarkStart w:id="0" w:name="_Toc495992544"/>
      <w:bookmarkStart w:id="1" w:name="_Toc492328427"/>
      <w:bookmarkStart w:id="2" w:name="_Toc487492185"/>
    </w:p>
    <w:p>
      <w:pPr>
        <w:ind w:right="300"/>
        <w:jc w:val="center"/>
        <w:rPr>
          <w:rFonts w:ascii="Times New Roman" w:hAnsi="Times New Roman" w:eastAsia="仿宋_GB2312" w:cs="Times New Roman"/>
          <w:kern w:val="0"/>
          <w:sz w:val="30"/>
          <w:szCs w:val="30"/>
        </w:rPr>
      </w:pPr>
      <w:r>
        <w:rPr>
          <w:rFonts w:ascii="Times New Roman" w:hAnsi="Times New Roman" w:eastAsia="黑体" w:cs="Times New Roman"/>
          <w:sz w:val="30"/>
          <w:szCs w:val="30"/>
        </w:rPr>
        <w:t>境外上市登记表</w:t>
      </w:r>
      <w:bookmarkEnd w:id="0"/>
      <w:bookmarkEnd w:id="1"/>
      <w:bookmarkEnd w:id="2"/>
      <w:r>
        <w:rPr>
          <w:rFonts w:ascii="Times New Roman" w:hAnsi="Times New Roman" w:eastAsia="黑体" w:cs="Times New Roman"/>
          <w:sz w:val="30"/>
          <w:szCs w:val="30"/>
        </w:rPr>
        <w:t>（示范文本）</w:t>
      </w:r>
    </w:p>
    <w:p>
      <w:pPr>
        <w:spacing w:line="400" w:lineRule="exact"/>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hint="eastAsia" w:ascii="Times New Roman" w:hAnsi="Times New Roman" w:eastAsia="华文楷体" w:cs="Times New Roman"/>
          <w:sz w:val="24"/>
        </w:rPr>
        <w:t xml:space="preserve"> </w:t>
      </w:r>
      <w:r>
        <w:rPr>
          <w:rFonts w:ascii="Times New Roman" w:hAnsi="Times New Roman" w:eastAsia="华文楷体" w:cs="Times New Roman"/>
          <w:sz w:val="24"/>
        </w:rPr>
        <w:t>□</w:t>
      </w:r>
      <w:r>
        <w:rPr>
          <w:rFonts w:ascii="Times New Roman" w:hAnsi="华文楷体" w:eastAsia="华文楷体" w:cs="Times New Roman"/>
          <w:sz w:val="24"/>
        </w:rPr>
        <w:t>注销登记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401" w:type="dxa"/>
            <w:gridSpan w:val="21"/>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3187" w:type="dxa"/>
            <w:gridSpan w:val="12"/>
            <w:tcBorders>
              <w:left w:val="single" w:color="auto" w:sz="4" w:space="0"/>
            </w:tcBorders>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530" w:type="dxa"/>
            <w:gridSpan w:val="6"/>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039" w:type="dxa"/>
            <w:gridSpan w:val="4"/>
            <w:tcBorders>
              <w:lef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增发（含超额配售）</w:t>
            </w:r>
            <w:r>
              <w:rPr>
                <w:rFonts w:ascii="Times New Roman" w:hAnsi="Times New Roman" w:eastAsia="华文楷体" w:cs="Times New Roman"/>
                <w:sz w:val="24"/>
              </w:rPr>
              <w:t xml:space="preserve">      □</w:t>
            </w:r>
            <w:r>
              <w:rPr>
                <w:rFonts w:ascii="Times New Roman" w:hAnsi="华文楷体" w:eastAsia="华文楷体" w:cs="Times New Roman"/>
                <w:sz w:val="24"/>
              </w:rPr>
              <w:t>回购</w:t>
            </w:r>
            <w:r>
              <w:rPr>
                <w:rFonts w:ascii="Times New Roman" w:hAnsi="Times New Roman" w:eastAsia="华文楷体" w:cs="Times New Roman"/>
                <w:sz w:val="24"/>
              </w:rPr>
              <w:t xml:space="preserve">      □</w:t>
            </w:r>
            <w:r>
              <w:rPr>
                <w:rFonts w:ascii="Times New Roman" w:hAnsi="华文楷体" w:eastAsia="华文楷体" w:cs="Times New Roman"/>
                <w:sz w:val="24"/>
              </w:rPr>
              <w:t>可转债转股</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资本公积、盈余公积、未分配利润转增股本</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其他</w:t>
            </w:r>
            <w:r>
              <w:rPr>
                <w:rFonts w:ascii="Times New Roman" w:hAnsi="华文楷体" w:eastAsia="华文楷体" w:cs="Times New Roman"/>
                <w:sz w:val="24"/>
                <w:u w:val="single"/>
              </w:rPr>
              <w:t>（具体说明：</w:t>
            </w:r>
            <w:r>
              <w:rPr>
                <w:rFonts w:ascii="Times New Roman" w:hAnsi="Times New Roman" w:eastAsia="华文楷体" w:cs="Times New Roman"/>
                <w:sz w:val="24"/>
                <w:u w:val="single"/>
              </w:rPr>
              <w:t xml:space="preserve">                                 </w:t>
            </w:r>
            <w:r>
              <w:rPr>
                <w:rFonts w:ascii="Times New Roman" w:hAnsi="华文楷体" w:eastAsia="华文楷体" w:cs="Times New Roman"/>
                <w:sz w:val="24"/>
                <w:u w:val="single"/>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4037" w:type="dxa"/>
            <w:gridSpan w:val="16"/>
            <w:vAlign w:val="center"/>
          </w:tcPr>
          <w:p>
            <w:pPr>
              <w:spacing w:line="340" w:lineRule="exact"/>
              <w:jc w:val="center"/>
              <w:rPr>
                <w:rFonts w:ascii="Times New Roman" w:hAnsi="Times New Roman" w:eastAsia="华文楷体" w:cs="Times New Roman"/>
                <w:sz w:val="24"/>
              </w:rPr>
            </w:pPr>
          </w:p>
        </w:tc>
        <w:tc>
          <w:tcPr>
            <w:tcW w:w="851" w:type="dxa"/>
            <w:gridSpan w:val="2"/>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4"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p>
        </w:tc>
        <w:tc>
          <w:tcPr>
            <w:tcW w:w="1482"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名称（或姓名）</w:t>
            </w:r>
          </w:p>
        </w:tc>
        <w:tc>
          <w:tcPr>
            <w:tcW w:w="1825"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26" w:type="dxa"/>
            <w:gridSpan w:val="5"/>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持股比例</w:t>
            </w:r>
          </w:p>
        </w:tc>
        <w:tc>
          <w:tcPr>
            <w:tcW w:w="1513" w:type="dxa"/>
            <w:gridSpan w:val="3"/>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1</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2</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（可加行）</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发行方式</w:t>
            </w:r>
          </w:p>
        </w:tc>
        <w:tc>
          <w:tcPr>
            <w:tcW w:w="7385" w:type="dxa"/>
            <w:gridSpan w:val="24"/>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首次发行</w:t>
            </w:r>
            <w:r>
              <w:rPr>
                <w:rFonts w:ascii="Times New Roman" w:hAnsi="Times New Roman" w:eastAsia="华文楷体" w:cs="Times New Roman"/>
                <w:sz w:val="24"/>
              </w:rPr>
              <w:t xml:space="preserve">           □</w:t>
            </w:r>
            <w:r>
              <w:rPr>
                <w:rFonts w:ascii="Times New Roman" w:hAnsi="华文楷体" w:eastAsia="华文楷体" w:cs="Times New Roman"/>
                <w:sz w:val="24"/>
              </w:rPr>
              <w:t>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发行种类</w:t>
            </w:r>
          </w:p>
        </w:tc>
        <w:tc>
          <w:tcPr>
            <w:tcW w:w="3462" w:type="dxa"/>
            <w:gridSpan w:val="14"/>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股票</w:t>
            </w:r>
          </w:p>
        </w:tc>
        <w:tc>
          <w:tcPr>
            <w:tcW w:w="1559"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存托凭证</w:t>
            </w:r>
          </w:p>
        </w:tc>
        <w:tc>
          <w:tcPr>
            <w:tcW w:w="2364"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continue"/>
            <w:vAlign w:val="center"/>
          </w:tcPr>
          <w:p>
            <w:pPr>
              <w:spacing w:line="340" w:lineRule="exact"/>
              <w:jc w:val="left"/>
              <w:rPr>
                <w:rFonts w:ascii="Times New Roman" w:hAnsi="Times New Roman" w:eastAsia="华文楷体" w:cs="Times New Roman"/>
                <w:sz w:val="24"/>
              </w:rPr>
            </w:pPr>
          </w:p>
        </w:tc>
        <w:tc>
          <w:tcPr>
            <w:tcW w:w="1761"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普通股</w:t>
            </w:r>
          </w:p>
        </w:tc>
        <w:tc>
          <w:tcPr>
            <w:tcW w:w="170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优先股</w:t>
            </w:r>
          </w:p>
        </w:tc>
        <w:tc>
          <w:tcPr>
            <w:tcW w:w="1559" w:type="dxa"/>
            <w:gridSpan w:val="5"/>
            <w:vMerge w:val="continue"/>
            <w:vAlign w:val="center"/>
          </w:tcPr>
          <w:p>
            <w:pPr>
              <w:spacing w:line="340" w:lineRule="exact"/>
              <w:jc w:val="center"/>
              <w:rPr>
                <w:rFonts w:ascii="Times New Roman" w:hAnsi="Times New Roman" w:eastAsia="华文楷体" w:cs="Times New Roman"/>
                <w:sz w:val="24"/>
              </w:rPr>
            </w:pPr>
          </w:p>
        </w:tc>
        <w:tc>
          <w:tcPr>
            <w:tcW w:w="2364" w:type="dxa"/>
            <w:gridSpan w:val="5"/>
            <w:vMerge w:val="continue"/>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名称及代码</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发行时间</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发行数量</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实际募集资金</w:t>
            </w:r>
          </w:p>
        </w:tc>
        <w:tc>
          <w:tcPr>
            <w:tcW w:w="746"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金额</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746"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61" w:type="dxa"/>
            <w:gridSpan w:val="6"/>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701"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559"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364"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4208" w:type="dxa"/>
            <w:gridSpan w:val="17"/>
            <w:tcBorders>
              <w:top w:val="single" w:color="auto" w:sz="4" w:space="0"/>
            </w:tcBorders>
            <w:vAlign w:val="center"/>
          </w:tcPr>
          <w:p>
            <w:pPr>
              <w:jc w:val="center"/>
              <w:rPr>
                <w:rFonts w:ascii="Times New Roman" w:hAnsi="Times New Roman" w:eastAsia="华文楷体" w:cs="Times New Roman"/>
                <w:sz w:val="24"/>
              </w:rPr>
            </w:pPr>
            <w:r>
              <w:rPr>
                <w:rFonts w:ascii="Times New Roman" w:hAnsi="华文楷体" w:eastAsia="华文楷体" w:cs="Times New Roman"/>
                <w:sz w:val="24"/>
              </w:rPr>
              <w:t>合计金额（折美元）</w:t>
            </w:r>
          </w:p>
        </w:tc>
        <w:tc>
          <w:tcPr>
            <w:tcW w:w="3923"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国有股减持上缴社保基金情况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国有股东上缴社保基金股数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上缴社保基金金额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账户信息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境外上市专用外汇账户账号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结汇待支付账户账号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调回境内</w:t>
            </w:r>
            <w:r>
              <w:rPr>
                <w:rFonts w:ascii="Times New Roman" w:hAnsi="Times New Roman" w:eastAsia="华文楷体" w:cs="Times New Roman"/>
                <w:sz w:val="24"/>
              </w:rPr>
              <w:t xml:space="preserve">     </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5340" w:type="dxa"/>
            <w:gridSpan w:val="16"/>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vMerge w:val="continue"/>
            <w:tcBorders>
              <w:left w:val="single" w:color="auto" w:sz="4" w:space="0"/>
            </w:tcBorders>
            <w:vAlign w:val="center"/>
          </w:tcPr>
          <w:p>
            <w:pPr>
              <w:spacing w:line="280" w:lineRule="exact"/>
              <w:jc w:val="left"/>
              <w:rPr>
                <w:rFonts w:ascii="Times New Roman" w:hAnsi="Times New Roman" w:eastAsia="华文楷体" w:cs="Times New Roman"/>
                <w:sz w:val="24"/>
              </w:rPr>
            </w:pP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tcBorders>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5340" w:type="dxa"/>
            <w:gridSpan w:val="16"/>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4915" w:type="dxa"/>
            <w:gridSpan w:val="1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tcBorders>
              <w:top w:val="single" w:color="auto" w:sz="4"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98" w:hRule="atLeast"/>
          <w:jc w:val="center"/>
        </w:trPr>
        <w:tc>
          <w:tcPr>
            <w:tcW w:w="8897" w:type="dxa"/>
            <w:gridSpan w:val="28"/>
            <w:tcBorders>
              <w:bottom w:val="single" w:color="auto" w:sz="4" w:space="0"/>
            </w:tcBorders>
            <w:vAlign w:val="center"/>
          </w:tcPr>
          <w:p>
            <w:pPr>
              <w:spacing w:line="52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Times New Roman" w:hAnsi="Times New Roman" w:eastAsia="华文楷体" w:cs="Times New Roman"/>
                <w:b/>
                <w:sz w:val="24"/>
              </w:rPr>
            </w:pPr>
          </w:p>
          <w:p>
            <w:pPr>
              <w:spacing w:line="460" w:lineRule="exact"/>
              <w:ind w:firstLine="1922" w:firstLineChars="800"/>
              <w:rPr>
                <w:rFonts w:ascii="Times New Roman" w:hAnsi="Times New Roman" w:eastAsia="华文楷体" w:cs="Times New Roman"/>
                <w:b/>
                <w:sz w:val="24"/>
              </w:rPr>
            </w:pPr>
            <w:r>
              <w:rPr>
                <w:rFonts w:ascii="Times New Roman" w:hAnsi="华文楷体" w:eastAsia="华文楷体" w:cs="Times New Roman"/>
                <w:b/>
                <w:sz w:val="24"/>
              </w:rPr>
              <w:t>境外上市的境内公司（名称及公章）：</w:t>
            </w:r>
          </w:p>
          <w:p>
            <w:pPr>
              <w:spacing w:line="460" w:lineRule="exact"/>
              <w:jc w:val="center"/>
              <w:rPr>
                <w:rFonts w:ascii="Times New Roman" w:hAnsi="Times New Roman" w:eastAsia="华文楷体" w:cs="Times New Roman"/>
                <w:b/>
                <w:sz w:val="24"/>
              </w:rPr>
            </w:pP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、境内公司填报本登记表，外汇局审核无误并在资本项目信息系统办理登记后，将加盖业务印章的《业务登记凭证》交境内公司。</w:t>
      </w:r>
    </w:p>
    <w:p>
      <w:pPr>
        <w:rPr>
          <w:rFonts w:ascii="Times New Roman" w:hAnsi="Times New Roman" w:eastAsia="华文仿宋" w:cs="Times New Roman"/>
        </w:rPr>
      </w:pPr>
      <w:r>
        <w:rPr>
          <w:rFonts w:ascii="Times New Roman" w:hAnsi="Times New Roman" w:cs="Times New Roman"/>
        </w:rPr>
        <w:t>2</w:t>
      </w:r>
      <w:r>
        <w:rPr>
          <w:rFonts w:ascii="Times New Roman" w:hAnsi="宋体" w:cs="Times New Roman"/>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rPr>
        <w:t>。</w:t>
      </w:r>
    </w:p>
    <w:p>
      <w:pPr>
        <w:rPr>
          <w:rFonts w:ascii="Times New Roman" w:hAnsi="Times New Roman" w:eastAsia="华文仿宋" w:cs="Times New Roman"/>
        </w:rPr>
      </w:pPr>
    </w:p>
    <w:p>
      <w:pPr>
        <w:widowControl/>
        <w:jc w:val="left"/>
        <w:rPr>
          <w:rFonts w:ascii="Times New Roman" w:hAnsi="Times New Roman" w:eastAsia="华文仿宋" w:cs="Times New Roman"/>
        </w:rPr>
      </w:pPr>
      <w:r>
        <w:rPr>
          <w:rFonts w:ascii="Times New Roman" w:hAnsi="Times New Roman" w:eastAsia="华文仿宋" w:cs="Times New Roman"/>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境外上市登记表（错误示例）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登记类别：　□登记　□变更登记  □注销登记　　　编号（外汇局填写）：</w:t>
      </w:r>
    </w:p>
    <w:tbl>
      <w:tblPr>
        <w:tblStyle w:val="17"/>
        <w:tblW w:w="88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4"/>
        <w:gridCol w:w="565"/>
        <w:gridCol w:w="863"/>
        <w:gridCol w:w="413"/>
        <w:gridCol w:w="709"/>
        <w:gridCol w:w="307"/>
        <w:gridCol w:w="118"/>
        <w:gridCol w:w="992"/>
        <w:gridCol w:w="283"/>
        <w:gridCol w:w="51"/>
        <w:gridCol w:w="942"/>
        <w:gridCol w:w="213"/>
        <w:gridCol w:w="1063"/>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境外上市的境内公司（以下简称境内公司）基本信息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境内公司名称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上市地及证券交易</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上市时间</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证监会批准文号</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证券名</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总股数</w:t>
            </w:r>
          </w:p>
          <w:p>
            <w:pPr>
              <w:autoSpaceDE w:val="0"/>
              <w:autoSpaceDN w:val="0"/>
              <w:adjustRightInd w:val="0"/>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总股本变更原因</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□增发（含超额配售）　　　□回购　　　□可转债转股</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□资本公积、盈余公积、未分配利润转增股本</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r>
              <w:rPr>
                <w:rFonts w:ascii="Times New Roman" w:hAnsi="Times New Roman" w:eastAsia="仿宋_GB2312" w:cs="Times New Roman"/>
                <w:kern w:val="0"/>
                <w:sz w:val="24"/>
                <w:szCs w:val="24"/>
                <w:u w:val="single"/>
              </w:rPr>
              <w:t>具体说明　　　　　　　　　　　　　　　　　　　</w:t>
            </w:r>
            <w:r>
              <w:rPr>
                <w:rFonts w:ascii="Times New Roman" w:hAnsi="Times New Roman" w:eastAsia="仿宋_GB2312" w:cs="Times New Roman"/>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主要境内股东的基本信息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名称（或姓名）</w:t>
            </w:r>
          </w:p>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统一社会信用代码（或身份证号码）</w:t>
            </w: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持股比例</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境内股东1</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境内股东2</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发行方式</w:t>
            </w:r>
          </w:p>
        </w:tc>
        <w:tc>
          <w:tcPr>
            <w:tcW w:w="5720" w:type="dxa"/>
            <w:gridSpan w:val="10"/>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□首次发行　　　　　　　□增发（含超额配售）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发行种类</w:t>
            </w:r>
          </w:p>
        </w:tc>
        <w:tc>
          <w:tcPr>
            <w:tcW w:w="2409"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股票</w:t>
            </w:r>
          </w:p>
        </w:tc>
        <w:tc>
          <w:tcPr>
            <w:tcW w:w="120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存托凭证</w:t>
            </w:r>
          </w:p>
        </w:tc>
        <w:tc>
          <w:tcPr>
            <w:tcW w:w="210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普通股</w:t>
            </w: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优先股</w:t>
            </w:r>
          </w:p>
        </w:tc>
        <w:tc>
          <w:tcPr>
            <w:tcW w:w="120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名称及代码</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发行时间　</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Text Box 1763" o:spid="_x0000_s1062" type="#_x0000_t202" style="position:absolute;left:0;margin-left:-75.75pt;margin-top:12.45pt;height:66.7pt;width:43.7pt;rotation:0f;z-index:251663360;"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rFonts w:ascii="楷体_GB2312" w:eastAsia="楷体_GB2312"/>
                          </w:rPr>
                        </w:pPr>
                        <w:r>
                          <w:rPr>
                            <w:rFonts w:hint="eastAsia" w:ascii="楷体_GB2312" w:eastAsia="楷体_GB2312"/>
                          </w:rPr>
                          <w:t>金额与币种不匹配</w:t>
                        </w:r>
                      </w:p>
                    </w:txbxContent>
                  </v:textbox>
                </v:shape>
              </w:pict>
            </w:r>
            <w:r>
              <w:rPr>
                <w:rFonts w:ascii="Times New Roman" w:hAnsi="Times New Roman" w:eastAsia="宋体" w:cs="Times New Roman"/>
                <w:kern w:val="2"/>
                <w:sz w:val="21"/>
                <w:szCs w:val="22"/>
                <w:lang w:val="en-US" w:eastAsia="zh-CN" w:bidi="ar-SA"/>
              </w:rPr>
              <w:pict>
                <v:rect id="Rectangle 1761" o:spid="_x0000_s1063" style="position:absolute;left:0;margin-left:-84pt;margin-top:0.45pt;height:91.5pt;width:59.35pt;rotation:0f;z-index:251661312;"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shape id="Oval 1760" o:spid="_x0000_s1064" type="#_x0000_t3" style="position:absolute;left:0;margin-left:72.75pt;margin-top:11.5pt;height:25.5pt;width:62.25pt;rotation:0f;z-index:251660288;"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发行数量</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AutoShape 1762" o:spid="_x0000_s1065" type="#_x0000_t32" style="position:absolute;left:0;flip:x;margin-left:-24.75pt;margin-top:8.9pt;height:12pt;width:97.5pt;rotation:0f;z-index:251662336;"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实际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685"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合计金额（折美元）</w:t>
            </w: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发行募集资金运用信息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国有股减持上缴社保基金情况</w:t>
            </w: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国有股东减持股数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减持金额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国有股东上缴社保基金股数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上缴社保基金金额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运用计划</w:t>
            </w: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账户信息</w:t>
            </w: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开户银行</w:t>
            </w: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境外上市专用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外汇账户账号</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结汇待支付账户账号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实际运用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回购境外股份信息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11" w:type="dxa"/>
            <w:gridSpan w:val="8"/>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3594"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使用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p>
            <w:pPr>
              <w:autoSpaceDE w:val="0"/>
              <w:autoSpaceDN w:val="0"/>
              <w:adjustRightInd w:val="0"/>
              <w:jc w:val="left"/>
              <w:rPr>
                <w:rFonts w:ascii="Times New Roman" w:hAnsi="Times New Roman" w:eastAsia="仿宋_GB2312" w:cs="Times New Roman"/>
                <w:kern w:val="0"/>
                <w:sz w:val="24"/>
                <w:szCs w:val="24"/>
              </w:rPr>
            </w:pP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汇出</w:t>
            </w:r>
          </w:p>
          <w:p>
            <w:pPr>
              <w:autoSpaceDE w:val="0"/>
              <w:autoSpaceDN w:val="0"/>
              <w:adjustRightInd w:val="0"/>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完成</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计划使用金额</w:t>
            </w: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境内汇出</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回购剩余资金调回</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可转债转股信息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501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外债登记编号</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转换比例</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trP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债转股前债券总数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债转股前总股数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本次转换债券数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其他需要说明的信息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境外上市的境内公司（名称及公章）：</w:t>
            </w:r>
          </w:p>
          <w:p>
            <w:pPr>
              <w:autoSpaceDE w:val="0"/>
              <w:autoSpaceDN w:val="0"/>
              <w:adjustRightInd w:val="0"/>
              <w:ind w:right="96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　　月　　日　</w:t>
            </w:r>
          </w:p>
          <w:p>
            <w:pPr>
              <w:autoSpaceDE w:val="0"/>
              <w:autoSpaceDN w:val="0"/>
              <w:adjustRightInd w:val="0"/>
              <w:jc w:val="left"/>
              <w:rPr>
                <w:rFonts w:ascii="Times New Roman" w:hAnsi="Times New Roman" w:eastAsia="仿宋_GB2312" w:cs="Times New Roman"/>
                <w:kern w:val="0"/>
                <w:sz w:val="24"/>
                <w:szCs w:val="24"/>
              </w:rPr>
            </w:pPr>
          </w:p>
        </w:tc>
      </w:tr>
    </w:tbl>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填表说明：</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１</w:t>
      </w:r>
      <w:r>
        <w:rPr>
          <w:rFonts w:hint="eastAsia" w:ascii="Times New Roman" w:hAnsi="宋体" w:cs="Times New Roman"/>
          <w:kern w:val="0"/>
          <w:szCs w:val="21"/>
        </w:rPr>
        <w:t>.</w:t>
      </w:r>
      <w:r>
        <w:rPr>
          <w:rFonts w:ascii="Times New Roman" w:hAnsi="宋体" w:cs="Times New Roman"/>
          <w:kern w:val="0"/>
          <w:szCs w:val="21"/>
        </w:rPr>
        <w:t>境内公司填报本登记表，外汇局审核无误并在资本项目信息系统办理登记后，</w:t>
      </w:r>
      <w:r>
        <w:rPr>
          <w:rFonts w:ascii="Times New Roman" w:hAnsi="Times New Roman" w:cs="Times New Roman"/>
          <w:kern w:val="0"/>
          <w:szCs w:val="21"/>
        </w:rPr>
        <w:t xml:space="preserve"> </w:t>
      </w:r>
      <w:r>
        <w:rPr>
          <w:rFonts w:ascii="Times New Roman" w:hAnsi="宋体" w:cs="Times New Roman"/>
          <w:kern w:val="0"/>
          <w:szCs w:val="21"/>
        </w:rPr>
        <w:t>将加盖业务印章的业务登记凭证交境内公司。</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２</w:t>
      </w:r>
      <w:r>
        <w:rPr>
          <w:rFonts w:hint="eastAsia" w:ascii="Times New Roman" w:hAnsi="宋体" w:cs="Times New Roman"/>
          <w:kern w:val="0"/>
          <w:szCs w:val="21"/>
        </w:rPr>
        <w:t>.</w:t>
      </w:r>
      <w:r>
        <w:rPr>
          <w:rFonts w:ascii="Times New Roman" w:hAnsi="宋体" w:cs="Times New Roman"/>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kern w:val="0"/>
          <w:szCs w:val="21"/>
        </w:rPr>
        <w:t>。</w:t>
      </w: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cs="Times New Roman"/>
        </w:rPr>
        <w:br w:type="page"/>
      </w:r>
      <w:r>
        <w:rPr>
          <w:rFonts w:ascii="Times New Roman" w:hAnsi="Times New Roman" w:eastAsia="仿宋_GB2312" w:cs="Times New Roman"/>
          <w:kern w:val="0"/>
          <w:sz w:val="30"/>
          <w:szCs w:val="30"/>
        </w:rPr>
        <w:t xml:space="preserve">附录四            </w:t>
      </w:r>
    </w:p>
    <w:p>
      <w:pPr>
        <w:adjustRightInd w:val="0"/>
        <w:snapToGrid w:val="0"/>
        <w:spacing w:line="360" w:lineRule="auto"/>
        <w:rPr>
          <w:rFonts w:ascii="Times New Roman" w:hAnsi="Times New Roman" w:eastAsia="仿宋_GB2312" w:cs="Times New Roman"/>
          <w:b/>
          <w:kern w:val="0"/>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highlight w:val="yellow"/>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问：境内公司回购其境外股份的，应在拟回购前多少个工作日内办理回购相关信息登记？</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答：境内公司回购其境外股份的，应在拟回购前20个工作日内办理回购相关信息登记。</w:t>
      </w:r>
    </w:p>
    <w:p>
      <w:pPr>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7827"/>
    <w:rsid w:val="00022191"/>
    <w:rsid w:val="0002378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2F26"/>
    <w:rsid w:val="000D1995"/>
    <w:rsid w:val="000D586D"/>
    <w:rsid w:val="000D7478"/>
    <w:rsid w:val="000F007A"/>
    <w:rsid w:val="001166D7"/>
    <w:rsid w:val="0012267E"/>
    <w:rsid w:val="0012271F"/>
    <w:rsid w:val="00130519"/>
    <w:rsid w:val="00135BEE"/>
    <w:rsid w:val="0014667A"/>
    <w:rsid w:val="00154B58"/>
    <w:rsid w:val="00157C64"/>
    <w:rsid w:val="00157E26"/>
    <w:rsid w:val="00157E81"/>
    <w:rsid w:val="00170126"/>
    <w:rsid w:val="00177059"/>
    <w:rsid w:val="00181D3E"/>
    <w:rsid w:val="00182ADE"/>
    <w:rsid w:val="00196FAE"/>
    <w:rsid w:val="001A3E49"/>
    <w:rsid w:val="001A72AA"/>
    <w:rsid w:val="001B1E2C"/>
    <w:rsid w:val="001C44C7"/>
    <w:rsid w:val="001D65A2"/>
    <w:rsid w:val="001E1407"/>
    <w:rsid w:val="001E6F07"/>
    <w:rsid w:val="001F4BD4"/>
    <w:rsid w:val="001F7297"/>
    <w:rsid w:val="00205D07"/>
    <w:rsid w:val="00212F39"/>
    <w:rsid w:val="00217116"/>
    <w:rsid w:val="00222C90"/>
    <w:rsid w:val="00231EED"/>
    <w:rsid w:val="00233841"/>
    <w:rsid w:val="002344B4"/>
    <w:rsid w:val="00235F24"/>
    <w:rsid w:val="002417D2"/>
    <w:rsid w:val="00241FE8"/>
    <w:rsid w:val="0024527E"/>
    <w:rsid w:val="00252C70"/>
    <w:rsid w:val="00253F7B"/>
    <w:rsid w:val="00254704"/>
    <w:rsid w:val="00256239"/>
    <w:rsid w:val="00263B1F"/>
    <w:rsid w:val="00282244"/>
    <w:rsid w:val="00291C17"/>
    <w:rsid w:val="00291DA3"/>
    <w:rsid w:val="0029313A"/>
    <w:rsid w:val="002B0B1C"/>
    <w:rsid w:val="002B0DDE"/>
    <w:rsid w:val="002B598D"/>
    <w:rsid w:val="002B61C1"/>
    <w:rsid w:val="002D75E4"/>
    <w:rsid w:val="002D7C0E"/>
    <w:rsid w:val="002E126C"/>
    <w:rsid w:val="002E1323"/>
    <w:rsid w:val="002E4F44"/>
    <w:rsid w:val="002F232E"/>
    <w:rsid w:val="002F3868"/>
    <w:rsid w:val="002F5184"/>
    <w:rsid w:val="00300907"/>
    <w:rsid w:val="00302119"/>
    <w:rsid w:val="00302E87"/>
    <w:rsid w:val="00310261"/>
    <w:rsid w:val="00343044"/>
    <w:rsid w:val="00344B01"/>
    <w:rsid w:val="00353AC4"/>
    <w:rsid w:val="003616B4"/>
    <w:rsid w:val="003A57B2"/>
    <w:rsid w:val="003C7132"/>
    <w:rsid w:val="003D77A5"/>
    <w:rsid w:val="003E627D"/>
    <w:rsid w:val="003E6317"/>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52110"/>
    <w:rsid w:val="00460436"/>
    <w:rsid w:val="00460458"/>
    <w:rsid w:val="0046792D"/>
    <w:rsid w:val="004767DF"/>
    <w:rsid w:val="004913DB"/>
    <w:rsid w:val="00493CCC"/>
    <w:rsid w:val="004A0218"/>
    <w:rsid w:val="004A7840"/>
    <w:rsid w:val="004B545A"/>
    <w:rsid w:val="004B7E80"/>
    <w:rsid w:val="004C1B4C"/>
    <w:rsid w:val="004C3A53"/>
    <w:rsid w:val="004C457E"/>
    <w:rsid w:val="004C48D5"/>
    <w:rsid w:val="004C512D"/>
    <w:rsid w:val="004D03B7"/>
    <w:rsid w:val="004D1436"/>
    <w:rsid w:val="004D57AE"/>
    <w:rsid w:val="004D5EE3"/>
    <w:rsid w:val="004E4854"/>
    <w:rsid w:val="004F190F"/>
    <w:rsid w:val="005056D4"/>
    <w:rsid w:val="005062CB"/>
    <w:rsid w:val="00526B2B"/>
    <w:rsid w:val="005362B0"/>
    <w:rsid w:val="00542447"/>
    <w:rsid w:val="00557FD0"/>
    <w:rsid w:val="00564312"/>
    <w:rsid w:val="005A2981"/>
    <w:rsid w:val="005C1C2B"/>
    <w:rsid w:val="005C6937"/>
    <w:rsid w:val="005C7F02"/>
    <w:rsid w:val="005F0A86"/>
    <w:rsid w:val="005F144A"/>
    <w:rsid w:val="005F1C00"/>
    <w:rsid w:val="0060083D"/>
    <w:rsid w:val="0061621E"/>
    <w:rsid w:val="00617271"/>
    <w:rsid w:val="00630AA8"/>
    <w:rsid w:val="00630B2E"/>
    <w:rsid w:val="00643D2A"/>
    <w:rsid w:val="00664E11"/>
    <w:rsid w:val="00673B30"/>
    <w:rsid w:val="00696D87"/>
    <w:rsid w:val="00696E5D"/>
    <w:rsid w:val="006B5B86"/>
    <w:rsid w:val="006C2905"/>
    <w:rsid w:val="006C5908"/>
    <w:rsid w:val="006C633E"/>
    <w:rsid w:val="006D734F"/>
    <w:rsid w:val="006E043F"/>
    <w:rsid w:val="006E4695"/>
    <w:rsid w:val="006E4B8B"/>
    <w:rsid w:val="006E5901"/>
    <w:rsid w:val="006F449A"/>
    <w:rsid w:val="0071091C"/>
    <w:rsid w:val="00714961"/>
    <w:rsid w:val="007337C5"/>
    <w:rsid w:val="00744BD5"/>
    <w:rsid w:val="00745748"/>
    <w:rsid w:val="007501D5"/>
    <w:rsid w:val="00750E36"/>
    <w:rsid w:val="00753CB0"/>
    <w:rsid w:val="00755460"/>
    <w:rsid w:val="00757813"/>
    <w:rsid w:val="00761FB7"/>
    <w:rsid w:val="00762107"/>
    <w:rsid w:val="00764CB9"/>
    <w:rsid w:val="00765B05"/>
    <w:rsid w:val="00777E9C"/>
    <w:rsid w:val="00785F45"/>
    <w:rsid w:val="007A2780"/>
    <w:rsid w:val="007A5A50"/>
    <w:rsid w:val="007A68EA"/>
    <w:rsid w:val="007B06FC"/>
    <w:rsid w:val="007B0FEF"/>
    <w:rsid w:val="007B2DB5"/>
    <w:rsid w:val="007D102D"/>
    <w:rsid w:val="007D2C11"/>
    <w:rsid w:val="007D3E8F"/>
    <w:rsid w:val="007D6171"/>
    <w:rsid w:val="007D69EA"/>
    <w:rsid w:val="007E2C7B"/>
    <w:rsid w:val="007E411B"/>
    <w:rsid w:val="007F0863"/>
    <w:rsid w:val="007F2F3B"/>
    <w:rsid w:val="00802307"/>
    <w:rsid w:val="00803798"/>
    <w:rsid w:val="0082168E"/>
    <w:rsid w:val="00821968"/>
    <w:rsid w:val="00822C2D"/>
    <w:rsid w:val="008471B6"/>
    <w:rsid w:val="00851521"/>
    <w:rsid w:val="0085686A"/>
    <w:rsid w:val="00860878"/>
    <w:rsid w:val="008731FF"/>
    <w:rsid w:val="00873713"/>
    <w:rsid w:val="0088294A"/>
    <w:rsid w:val="00886BB8"/>
    <w:rsid w:val="0089282A"/>
    <w:rsid w:val="008A4538"/>
    <w:rsid w:val="008A6890"/>
    <w:rsid w:val="008A704B"/>
    <w:rsid w:val="008B08D2"/>
    <w:rsid w:val="008B48EC"/>
    <w:rsid w:val="008B4EE5"/>
    <w:rsid w:val="008B5807"/>
    <w:rsid w:val="008B686F"/>
    <w:rsid w:val="008D1EAE"/>
    <w:rsid w:val="008D5FA0"/>
    <w:rsid w:val="008E2D38"/>
    <w:rsid w:val="008E7D2A"/>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4C3F"/>
    <w:rsid w:val="009664BC"/>
    <w:rsid w:val="00980F02"/>
    <w:rsid w:val="00991B77"/>
    <w:rsid w:val="00997523"/>
    <w:rsid w:val="009A0C5D"/>
    <w:rsid w:val="009C4672"/>
    <w:rsid w:val="009C491B"/>
    <w:rsid w:val="009D0911"/>
    <w:rsid w:val="009D1AB5"/>
    <w:rsid w:val="009D24F8"/>
    <w:rsid w:val="009D688C"/>
    <w:rsid w:val="009D73D6"/>
    <w:rsid w:val="009F307A"/>
    <w:rsid w:val="009F52BB"/>
    <w:rsid w:val="009F7A36"/>
    <w:rsid w:val="00A249C2"/>
    <w:rsid w:val="00A24FAB"/>
    <w:rsid w:val="00A301E7"/>
    <w:rsid w:val="00A33676"/>
    <w:rsid w:val="00A40838"/>
    <w:rsid w:val="00A42E69"/>
    <w:rsid w:val="00A45CA7"/>
    <w:rsid w:val="00A51415"/>
    <w:rsid w:val="00A6014E"/>
    <w:rsid w:val="00A60356"/>
    <w:rsid w:val="00A71B3E"/>
    <w:rsid w:val="00A80324"/>
    <w:rsid w:val="00A81DF1"/>
    <w:rsid w:val="00A90EF3"/>
    <w:rsid w:val="00AA7717"/>
    <w:rsid w:val="00AB131E"/>
    <w:rsid w:val="00AB142C"/>
    <w:rsid w:val="00AB644F"/>
    <w:rsid w:val="00AC0141"/>
    <w:rsid w:val="00AC3F5E"/>
    <w:rsid w:val="00AD2F86"/>
    <w:rsid w:val="00AE7ACF"/>
    <w:rsid w:val="00B06409"/>
    <w:rsid w:val="00B06964"/>
    <w:rsid w:val="00B14509"/>
    <w:rsid w:val="00B1454D"/>
    <w:rsid w:val="00B17D66"/>
    <w:rsid w:val="00B35D3A"/>
    <w:rsid w:val="00B422F1"/>
    <w:rsid w:val="00B4652E"/>
    <w:rsid w:val="00B71531"/>
    <w:rsid w:val="00B7456C"/>
    <w:rsid w:val="00B84131"/>
    <w:rsid w:val="00B8630E"/>
    <w:rsid w:val="00B931F4"/>
    <w:rsid w:val="00B95573"/>
    <w:rsid w:val="00B96395"/>
    <w:rsid w:val="00BA2AF8"/>
    <w:rsid w:val="00BB2650"/>
    <w:rsid w:val="00BB5BDC"/>
    <w:rsid w:val="00BB7B76"/>
    <w:rsid w:val="00BD0A1C"/>
    <w:rsid w:val="00BD233D"/>
    <w:rsid w:val="00BF039C"/>
    <w:rsid w:val="00BF4EF0"/>
    <w:rsid w:val="00C02E44"/>
    <w:rsid w:val="00C1021F"/>
    <w:rsid w:val="00C147D2"/>
    <w:rsid w:val="00C2075F"/>
    <w:rsid w:val="00C23799"/>
    <w:rsid w:val="00C274C9"/>
    <w:rsid w:val="00C31E02"/>
    <w:rsid w:val="00C4770C"/>
    <w:rsid w:val="00C54291"/>
    <w:rsid w:val="00C57793"/>
    <w:rsid w:val="00C635AE"/>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23B58"/>
    <w:rsid w:val="00D33A4D"/>
    <w:rsid w:val="00D33F76"/>
    <w:rsid w:val="00D41F5E"/>
    <w:rsid w:val="00D43DC0"/>
    <w:rsid w:val="00D54E56"/>
    <w:rsid w:val="00D6407D"/>
    <w:rsid w:val="00D67B78"/>
    <w:rsid w:val="00D67CAC"/>
    <w:rsid w:val="00D76AE6"/>
    <w:rsid w:val="00D91444"/>
    <w:rsid w:val="00D93E78"/>
    <w:rsid w:val="00D9778D"/>
    <w:rsid w:val="00DA6FF9"/>
    <w:rsid w:val="00DB304F"/>
    <w:rsid w:val="00DB331E"/>
    <w:rsid w:val="00DC6E91"/>
    <w:rsid w:val="00DC700C"/>
    <w:rsid w:val="00DC7514"/>
    <w:rsid w:val="00DC7BE2"/>
    <w:rsid w:val="00DD3845"/>
    <w:rsid w:val="00E002F1"/>
    <w:rsid w:val="00E13A54"/>
    <w:rsid w:val="00E1687A"/>
    <w:rsid w:val="00E20A2E"/>
    <w:rsid w:val="00E277DE"/>
    <w:rsid w:val="00E27EE9"/>
    <w:rsid w:val="00E31969"/>
    <w:rsid w:val="00E3239D"/>
    <w:rsid w:val="00E3439B"/>
    <w:rsid w:val="00E42C5F"/>
    <w:rsid w:val="00E65A1B"/>
    <w:rsid w:val="00E70AA6"/>
    <w:rsid w:val="00E72F1F"/>
    <w:rsid w:val="00E8718B"/>
    <w:rsid w:val="00E934AB"/>
    <w:rsid w:val="00EA06AC"/>
    <w:rsid w:val="00EA08BF"/>
    <w:rsid w:val="00EA24FB"/>
    <w:rsid w:val="00EB13BE"/>
    <w:rsid w:val="00EB3204"/>
    <w:rsid w:val="00EB50BA"/>
    <w:rsid w:val="00EC33F3"/>
    <w:rsid w:val="00EC3D33"/>
    <w:rsid w:val="00ED1D45"/>
    <w:rsid w:val="00ED302A"/>
    <w:rsid w:val="00ED3A42"/>
    <w:rsid w:val="00EE02BC"/>
    <w:rsid w:val="00EE6970"/>
    <w:rsid w:val="00EF38D0"/>
    <w:rsid w:val="00EF3DDF"/>
    <w:rsid w:val="00EF4A8C"/>
    <w:rsid w:val="00F07AFF"/>
    <w:rsid w:val="00F2678C"/>
    <w:rsid w:val="00F27B38"/>
    <w:rsid w:val="00F40278"/>
    <w:rsid w:val="00F41832"/>
    <w:rsid w:val="00F41ABD"/>
    <w:rsid w:val="00F56988"/>
    <w:rsid w:val="00F620FB"/>
    <w:rsid w:val="00F6571F"/>
    <w:rsid w:val="00F8255C"/>
    <w:rsid w:val="00F8687E"/>
    <w:rsid w:val="00F90E20"/>
    <w:rsid w:val="00F93331"/>
    <w:rsid w:val="00F95549"/>
    <w:rsid w:val="00F969A0"/>
    <w:rsid w:val="00FA1E24"/>
    <w:rsid w:val="00FA24FB"/>
    <w:rsid w:val="00FA632B"/>
    <w:rsid w:val="00FB38EA"/>
    <w:rsid w:val="00FB5E0F"/>
    <w:rsid w:val="00FB6AFF"/>
    <w:rsid w:val="00FC4D8F"/>
    <w:rsid w:val="00FD06D3"/>
    <w:rsid w:val="00FE3157"/>
    <w:rsid w:val="00FE6865"/>
    <w:rsid w:val="00FE6993"/>
    <w:rsid w:val="295273FA"/>
    <w:rsid w:val="2986587C"/>
    <w:rsid w:val="430C6EF0"/>
    <w:rsid w:val="44BF3467"/>
    <w:rsid w:val="6CF73AD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855</Words>
  <Characters>4876</Characters>
  <Lines>40</Lines>
  <Paragraphs>11</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2020-02-26T06:12:00Z</dcterms:created>
  <dc:creator>裴建君2</dc:creator>
  <cp:lastModifiedBy>史学岗</cp:lastModifiedBy>
  <cp:lastPrinted>2017-11-24T00:22:00Z</cp:lastPrinted>
  <dcterms:modified xsi:type="dcterms:W3CDTF">2021-05-27T07:09:36Z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