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方正小标宋_GBK" w:hAnsi="方正小标宋_GBK" w:eastAsia="方正小标宋_GBK" w:cs="方正小标宋_GBK"/>
          <w:sz w:val="40"/>
          <w:szCs w:val="40"/>
          <w:highlight w:val="none"/>
        </w:rPr>
      </w:pPr>
      <w:bookmarkStart w:id="0" w:name="_GoBack"/>
      <w:bookmarkEnd w:id="0"/>
      <w:r>
        <w:rPr>
          <w:rFonts w:hint="eastAsia" w:ascii="方正小标宋_GBK" w:hAnsi="方正小标宋_GBK" w:eastAsia="方正小标宋_GBK" w:cs="方正小标宋_GBK"/>
          <w:sz w:val="40"/>
          <w:szCs w:val="40"/>
          <w:highlight w:val="none"/>
        </w:rPr>
        <w:t>省级分局和计划单列市分局办理的外籍员工参与境内上市公司股权激励计划登记</w:t>
      </w:r>
    </w:p>
    <w:p>
      <w:pPr>
        <w:jc w:val="center"/>
        <w:rPr>
          <w:rFonts w:ascii="方正小标宋_GBK" w:hAnsi="方正小标宋_GBK" w:eastAsia="方正小标宋_GBK" w:cs="方正小标宋_GBK"/>
          <w:sz w:val="40"/>
          <w:szCs w:val="40"/>
          <w:highlight w:val="none"/>
        </w:rPr>
      </w:pPr>
      <w:r>
        <w:rPr>
          <w:rFonts w:hint="eastAsia" w:ascii="方正小标宋_GBK" w:hAnsi="方正小标宋_GBK" w:eastAsia="方正小标宋_GBK" w:cs="方正小标宋_GBK"/>
          <w:sz w:val="40"/>
          <w:szCs w:val="40"/>
          <w:highlight w:val="none"/>
        </w:rPr>
        <w:t>【000171107005】</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一、基本要素</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1.</w:t>
      </w:r>
      <w:r>
        <w:rPr>
          <w:rFonts w:ascii="Times New Roman" w:hAnsi="Times New Roman" w:eastAsia="仿宋GB2312"/>
          <w:b/>
          <w:bCs/>
          <w:sz w:val="28"/>
          <w:szCs w:val="28"/>
          <w:highlight w:val="none"/>
        </w:rPr>
        <w:t>行政许可事项名称</w:t>
      </w:r>
      <w:r>
        <w:rPr>
          <w:rFonts w:hint="eastAsia" w:ascii="Times New Roman" w:hAnsi="Times New Roman" w:eastAsia="仿宋GB2312"/>
          <w:b/>
          <w:bCs/>
          <w:sz w:val="28"/>
          <w:szCs w:val="28"/>
          <w:highlight w:val="none"/>
        </w:rPr>
        <w:t>及编码</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跨境证券、衍生产品外汇业务核准【00017110700Y】</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2.</w:t>
      </w:r>
      <w:r>
        <w:rPr>
          <w:rFonts w:ascii="Times New Roman" w:hAnsi="Times New Roman" w:eastAsia="仿宋GB2312"/>
          <w:b/>
          <w:bCs/>
          <w:sz w:val="28"/>
          <w:szCs w:val="28"/>
          <w:highlight w:val="none"/>
        </w:rPr>
        <w:t>行政许可</w:t>
      </w:r>
      <w:r>
        <w:rPr>
          <w:rFonts w:hint="eastAsia" w:ascii="Times New Roman" w:hAnsi="Times New Roman" w:eastAsia="仿宋GB2312"/>
          <w:b/>
          <w:bCs/>
          <w:sz w:val="28"/>
          <w:szCs w:val="28"/>
          <w:highlight w:val="none"/>
        </w:rPr>
        <w:t>事项子项名称及编码</w:t>
      </w:r>
    </w:p>
    <w:p>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省级分局和计划单列市分局办理的外籍员工参与境内上市公司股权激励计划登记【000171107005】</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3.行政许可事项业务办理项名称及编码</w:t>
      </w:r>
    </w:p>
    <w:p>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1.省级分局和计划单列市分局办理的外籍员工参与境内上市公司股权激励计划新办登记(00017110700501)</w:t>
      </w:r>
    </w:p>
    <w:p>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2.省级分局和计划单列市分局办理的外籍员工参与境内上市公司股权激励计划变更登记(00017110700502)</w:t>
      </w:r>
    </w:p>
    <w:p>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3.省级分局和计划单列市分局办理的外籍员工参与境内上市公司股权激励计划注销登记(00017110700503)</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4.设定依据</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（1）《中华人民共和国外汇管理条例》第十六条</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5.实施依据</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（1）《境内上市公司外籍员工参与股权激励资金管理办法》（银发〔2019〕25号文印发）第四条</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（2）《国家外汇管理局行政许可实施办法》（国家外汇管理局公告2021年第1号）</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6.监管依据</w:t>
      </w:r>
    </w:p>
    <w:p>
      <w:pPr>
        <w:spacing w:line="540" w:lineRule="exact"/>
        <w:ind w:firstLine="560" w:firstLineChars="200"/>
        <w:outlineLvl w:val="2"/>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（1）《中华人民共和国外汇管理条例》</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7.</w:t>
      </w:r>
      <w:r>
        <w:rPr>
          <w:rFonts w:ascii="Times New Roman" w:hAnsi="Times New Roman" w:eastAsia="仿宋GB2312"/>
          <w:b/>
          <w:bCs/>
          <w:sz w:val="28"/>
          <w:szCs w:val="28"/>
          <w:highlight w:val="none"/>
        </w:rPr>
        <w:t>实施机关</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国家外汇局省级分局和计划单列市分局</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8.</w:t>
      </w:r>
      <w:r>
        <w:rPr>
          <w:rFonts w:ascii="Times New Roman" w:hAnsi="Times New Roman" w:eastAsia="仿宋GB2312"/>
          <w:b/>
          <w:bCs/>
          <w:sz w:val="28"/>
          <w:szCs w:val="28"/>
          <w:highlight w:val="none"/>
        </w:rPr>
        <w:t>审批层级</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国家级</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9.行使</w:t>
      </w:r>
      <w:r>
        <w:rPr>
          <w:rFonts w:ascii="Times New Roman" w:hAnsi="Times New Roman" w:eastAsia="仿宋GB2312"/>
          <w:b/>
          <w:bCs/>
          <w:sz w:val="28"/>
          <w:szCs w:val="28"/>
          <w:highlight w:val="none"/>
        </w:rPr>
        <w:t>层级</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省级/直属</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10.</w:t>
      </w:r>
      <w:r>
        <w:rPr>
          <w:rFonts w:ascii="Times New Roman" w:hAnsi="Times New Roman" w:eastAsia="仿宋GB2312"/>
          <w:b/>
          <w:bCs/>
          <w:sz w:val="28"/>
          <w:szCs w:val="28"/>
          <w:highlight w:val="none"/>
        </w:rPr>
        <w:t>是否由审批机关受理</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是</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11.</w:t>
      </w:r>
      <w:r>
        <w:rPr>
          <w:rFonts w:ascii="Times New Roman" w:hAnsi="Times New Roman" w:eastAsia="仿宋GB2312"/>
          <w:b/>
          <w:bCs/>
          <w:sz w:val="28"/>
          <w:szCs w:val="28"/>
          <w:highlight w:val="none"/>
        </w:rPr>
        <w:t>受理层级</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省级</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12.</w:t>
      </w:r>
      <w:r>
        <w:rPr>
          <w:rFonts w:ascii="Times New Roman" w:hAnsi="Times New Roman" w:eastAsia="仿宋GB2312"/>
          <w:b/>
          <w:bCs/>
          <w:sz w:val="28"/>
          <w:szCs w:val="28"/>
          <w:highlight w:val="none"/>
        </w:rPr>
        <w:t>是否存在初审环节</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13.</w:t>
      </w:r>
      <w:r>
        <w:rPr>
          <w:rFonts w:ascii="Times New Roman" w:hAnsi="Times New Roman" w:eastAsia="仿宋GB2312"/>
          <w:b/>
          <w:bCs/>
          <w:sz w:val="28"/>
          <w:szCs w:val="28"/>
          <w:highlight w:val="none"/>
        </w:rPr>
        <w:t>初审层级</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无</w:t>
      </w:r>
    </w:p>
    <w:p>
      <w:pPr>
        <w:spacing w:line="600" w:lineRule="exact"/>
        <w:ind w:firstLine="562" w:firstLineChars="200"/>
        <w:jc w:val="left"/>
        <w:rPr>
          <w:rFonts w:ascii="方正仿宋_GBK" w:hAnsi="方正仿宋_GBK" w:eastAsia="方正仿宋_GBK" w:cs="方正仿宋_GBK"/>
          <w:sz w:val="28"/>
          <w:szCs w:val="28"/>
          <w:highlight w:val="none"/>
        </w:rPr>
      </w:pPr>
      <w:r>
        <w:rPr>
          <w:rFonts w:hint="eastAsia" w:ascii="Times New Roman" w:hAnsi="Times New Roman" w:eastAsia="仿宋GB2312"/>
          <w:b/>
          <w:bCs/>
          <w:sz w:val="28"/>
          <w:szCs w:val="28"/>
          <w:highlight w:val="none"/>
        </w:rPr>
        <w:t>14.</w:t>
      </w:r>
      <w:r>
        <w:rPr>
          <w:rFonts w:ascii="Times New Roman" w:hAnsi="Times New Roman" w:eastAsia="仿宋GB2312"/>
          <w:b/>
          <w:bCs/>
          <w:sz w:val="28"/>
          <w:szCs w:val="28"/>
          <w:highlight w:val="none"/>
        </w:rPr>
        <w:t>对应政务服务事项国家级基本目录名称</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无对应政务服务事项</w:t>
      </w:r>
    </w:p>
    <w:p>
      <w:pPr>
        <w:spacing w:line="600" w:lineRule="exact"/>
        <w:ind w:firstLine="562" w:firstLineChars="200"/>
        <w:jc w:val="left"/>
        <w:rPr>
          <w:rFonts w:ascii="方正仿宋_GBK" w:hAnsi="方正仿宋_GBK" w:eastAsia="方正仿宋_GBK" w:cs="方正仿宋_GBK"/>
          <w:sz w:val="28"/>
          <w:szCs w:val="28"/>
          <w:highlight w:val="none"/>
        </w:rPr>
      </w:pPr>
      <w:r>
        <w:rPr>
          <w:rFonts w:hint="eastAsia" w:ascii="Times New Roman" w:hAnsi="Times New Roman" w:eastAsia="仿宋GB2312"/>
          <w:b/>
          <w:bCs/>
          <w:sz w:val="28"/>
          <w:szCs w:val="28"/>
          <w:highlight w:val="none"/>
        </w:rPr>
        <w:t>15.要素统一情况：</w:t>
      </w:r>
      <w:r>
        <w:rPr>
          <w:rFonts w:hint="eastAsia" w:ascii="方正仿宋_GBK" w:hAnsi="方正仿宋_GBK" w:eastAsia="方正仿宋_GBK" w:cs="方正仿宋_GBK"/>
          <w:sz w:val="28"/>
          <w:szCs w:val="28"/>
          <w:highlight w:val="none"/>
        </w:rPr>
        <w:t>全部要素全国统一</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二、行政许可事项类型</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条件型</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三、行政许可条件</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1.准予行政许可的条件</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1.省级分局和计划单列市分局办理的外籍员工参与境内上市公司股权激励计划新办登记</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委托实施股权激励的境内上市公司统一办理相关登记；对股权激励计划进行公告；具备真实的雇佣或劳务关系。</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2.省级分局和计划单列市分局办理的外籍员工参与境内上市公司股权激励计划变更登记</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股权激励计划发生已公告的重大变更或参与该股权激励计划的境内上市公司外籍员工信息发生变化。</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3.省级分局和计划单列市分局办理的外籍员工参与境内上市公司股权激励计划注销登记</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终止实施股权激励且无外籍员工行使权益的；完成相关上市公司公告。</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2.</w:t>
      </w:r>
      <w:r>
        <w:rPr>
          <w:rFonts w:ascii="Times New Roman" w:hAnsi="Times New Roman" w:eastAsia="仿宋GB2312"/>
          <w:b/>
          <w:bCs/>
          <w:sz w:val="28"/>
          <w:szCs w:val="28"/>
          <w:highlight w:val="none"/>
        </w:rPr>
        <w:t>规定行政许可条件的依据</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1）《境内上市公司外籍员工参与股权激励资金管理办法》（银发〔2019〕25号文印发）第四条、第五条、第十一条、第十二条国家外汇管理局对境内上市公司外籍员工参与股权激励实行登记管理。境内上市公司外籍员工应当集中委托实施股权激励的境内上市公司统一办理相关登记。</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第五条境内上市公司外籍员工参与股权激励的，境内上市公司应当在对股权激励计划进行公告后的 30 日内，持以下材料，……，统一办理境内上市公司外籍员工参与股权激励登记：（一）书面申请，包括但不限于境内上市公司基本情况，股权激励计划基本情况，境内上市公司外籍员工参与股权激励的计划汇入金额等。（二）《境内上市公司外籍员工参与股权激励登记表》。（三）境内上市公司相关公告等能够证明股权激励计划真实性的证明材。（四）境内上市公司出具的外籍员工与其雇佣或劳务关系属实的承诺函（附参与股权激励计划的外籍员工名单、身份证件类型、身份证件号码、所涉及股权激励类型等）。</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股权激励计划发生已公告的重大变更或参与该股权激励计划的境内上市公司外籍员工信息发生变化的，境内上市公司应当在公告后 30 日内，持书面申请、原业务登记凭证、最新填写的《境内上市公司外籍员工参与股权激励登记表》以及相关公告等真实性证明材料，到所在地外汇局办理境内上市公司外籍员工参与股权激励变更登记。</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境内上市公司终止实施股权激励且无外籍员工行使权益的，境内上市公司应当在公告后30日内，持书面申请、原业务登记凭证、相关公告等真实性证明材料，到所在地外汇局办理境内上市公司外籍员工参与股权激励注销登记。</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四、</w:t>
      </w:r>
      <w:r>
        <w:rPr>
          <w:rFonts w:ascii="Times New Roman" w:hAnsi="Times New Roman" w:eastAsia="黑体"/>
          <w:sz w:val="28"/>
          <w:szCs w:val="28"/>
          <w:highlight w:val="none"/>
        </w:rPr>
        <w:t>行政许可服务对象类型</w:t>
      </w:r>
      <w:r>
        <w:rPr>
          <w:rFonts w:hint="eastAsia" w:ascii="Times New Roman" w:hAnsi="Times New Roman" w:eastAsia="黑体"/>
          <w:sz w:val="28"/>
          <w:szCs w:val="28"/>
          <w:highlight w:val="none"/>
        </w:rPr>
        <w:t>与改革举措</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1.服务对象类型：</w:t>
      </w:r>
      <w:r>
        <w:rPr>
          <w:rFonts w:ascii="方正仿宋_GBK" w:hAnsi="方正仿宋_GBK" w:eastAsia="方正仿宋_GBK" w:cs="方正仿宋_GBK"/>
          <w:sz w:val="28"/>
          <w:szCs w:val="28"/>
          <w:highlight w:val="none"/>
        </w:rPr>
        <w:t>企业法人</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2.是否为涉企许可事项：</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3.涉企经营许可事项名称：</w:t>
      </w:r>
      <w:r>
        <w:rPr>
          <w:rFonts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4.许可证件名称：</w:t>
      </w:r>
      <w:r>
        <w:rPr>
          <w:rFonts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5.改革方式：</w:t>
      </w:r>
      <w:r>
        <w:rPr>
          <w:rFonts w:ascii="方正仿宋_GBK" w:hAnsi="方正仿宋_GBK" w:eastAsia="方正仿宋_GBK" w:cs="方正仿宋_GBK"/>
          <w:sz w:val="28"/>
          <w:szCs w:val="28"/>
          <w:highlight w:val="none"/>
        </w:rPr>
        <w:t>无</w:t>
      </w:r>
    </w:p>
    <w:p>
      <w:pPr>
        <w:spacing w:line="540" w:lineRule="exact"/>
        <w:ind w:firstLine="562" w:firstLineChars="200"/>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6.具体改革举措：</w:t>
      </w:r>
      <w:r>
        <w:rPr>
          <w:rFonts w:ascii="方正仿宋_GBK" w:hAnsi="方正仿宋_GBK" w:eastAsia="方正仿宋_GBK" w:cs="方正仿宋_GBK"/>
          <w:sz w:val="28"/>
          <w:szCs w:val="28"/>
          <w:highlight w:val="none"/>
        </w:rPr>
        <w:t>无</w:t>
      </w:r>
    </w:p>
    <w:p>
      <w:pPr>
        <w:spacing w:line="540" w:lineRule="exact"/>
        <w:ind w:firstLine="562" w:firstLineChars="200"/>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7.加强事中事后监管措施</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1.开展“双随机、一公开”监管，依法查处违规行为，适时公开相关案例。2.依法及时处理投诉举报。3.开展数据统计与监测，掌握外汇业务情况。</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五、申请材料</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1.申请材料名称</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1.省级分局和计划单列市分局办理的外籍员工参与境内上市公司股权激励计划新办登记</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（1）营业执照。</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（2）书面申请，并附《外籍员工参与境内上市公司股权激励计划登记表》。</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（3）股权激励计划真实性证明材料（包括境内上市公司相关公告等）。</w:t>
      </w:r>
    </w:p>
    <w:p>
      <w:pPr>
        <w:spacing w:line="6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（4）境内上市公司出具的对外籍员工股权激励发放范围符合证券监督管理部门相关规定的承诺函。</w:t>
      </w:r>
      <w:r>
        <w:rPr>
          <w:rFonts w:hint="eastAsia" w:ascii="方正仿宋_GBK" w:hAnsi="方正仿宋_GBK" w:eastAsia="方正仿宋_GBK" w:cs="方正仿宋_GBK"/>
          <w:sz w:val="28"/>
          <w:szCs w:val="28"/>
          <w:highlight w:val="none"/>
        </w:rPr>
        <w:tab/>
      </w:r>
    </w:p>
    <w:p>
      <w:pPr>
        <w:spacing w:line="600" w:lineRule="exact"/>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lang w:eastAsia="zh-CN"/>
        </w:rPr>
        <w:t>）配合业务办理的其他电子版材料。请自行在网站上下载并正确填写，</w:t>
      </w:r>
      <w:r>
        <w:rPr>
          <w:rFonts w:hint="eastAsia" w:ascii="方正仿宋_GBK" w:hAnsi="方正仿宋_GBK" w:eastAsia="方正仿宋_GBK" w:cs="方正仿宋_GBK"/>
          <w:sz w:val="28"/>
          <w:szCs w:val="28"/>
          <w:highlight w:val="none"/>
          <w:lang w:val="en-US" w:eastAsia="zh-CN"/>
        </w:rPr>
        <w:t>办理登记时同步提交至上海市分局外汇市场公共邮箱（</w:t>
      </w:r>
      <w:r>
        <w:rPr>
          <w:rFonts w:hint="eastAsia" w:ascii="方正仿宋_GBK" w:hAnsi="方正仿宋_GBK" w:eastAsia="方正仿宋_GBK" w:cs="方正仿宋_GBK"/>
          <w:sz w:val="28"/>
          <w:szCs w:val="28"/>
          <w:highlight w:val="none"/>
          <w:lang w:val="en-US" w:eastAsia="zh-CN"/>
        </w:rPr>
        <w:fldChar w:fldCharType="begin"/>
      </w:r>
      <w:r>
        <w:rPr>
          <w:rFonts w:hint="eastAsia" w:ascii="方正仿宋_GBK" w:hAnsi="方正仿宋_GBK" w:eastAsia="方正仿宋_GBK" w:cs="方正仿宋_GBK"/>
          <w:sz w:val="28"/>
          <w:szCs w:val="28"/>
          <w:highlight w:val="none"/>
          <w:lang w:val="en-US" w:eastAsia="zh-CN"/>
        </w:rPr>
        <w:instrText xml:space="preserve"> HYPERLINK "mailto:safeshichang@sh.pbc.gov.cn" </w:instrText>
      </w:r>
      <w:r>
        <w:rPr>
          <w:rFonts w:hint="eastAsia" w:ascii="方正仿宋_GBK" w:hAnsi="方正仿宋_GBK" w:eastAsia="方正仿宋_GBK" w:cs="方正仿宋_GBK"/>
          <w:sz w:val="28"/>
          <w:szCs w:val="28"/>
          <w:highlight w:val="none"/>
          <w:lang w:val="en-US" w:eastAsia="zh-CN"/>
        </w:rPr>
        <w:fldChar w:fldCharType="separate"/>
      </w:r>
      <w:r>
        <w:rPr>
          <w:rFonts w:hint="eastAsia" w:ascii="方正仿宋_GBK" w:hAnsi="方正仿宋_GBK" w:eastAsia="方正仿宋_GBK" w:cs="方正仿宋_GBK"/>
          <w:sz w:val="28"/>
          <w:szCs w:val="28"/>
          <w:highlight w:val="none"/>
          <w:lang w:val="en-US" w:eastAsia="zh-CN"/>
        </w:rPr>
        <w:t>safeshichang@sh.pbc.gov.cn</w:t>
      </w:r>
      <w:r>
        <w:rPr>
          <w:rFonts w:hint="eastAsia" w:ascii="方正仿宋_GBK" w:hAnsi="方正仿宋_GBK" w:eastAsia="方正仿宋_GBK" w:cs="方正仿宋_GBK"/>
          <w:sz w:val="28"/>
          <w:szCs w:val="28"/>
          <w:highlight w:val="none"/>
          <w:lang w:val="en-US" w:eastAsia="zh-CN"/>
        </w:rPr>
        <w:fldChar w:fldCharType="end"/>
      </w:r>
      <w:r>
        <w:rPr>
          <w:rFonts w:hint="eastAsia" w:ascii="方正仿宋_GBK" w:hAnsi="方正仿宋_GBK" w:eastAsia="方正仿宋_GBK" w:cs="方正仿宋_GBK"/>
          <w:sz w:val="28"/>
          <w:szCs w:val="28"/>
          <w:highlight w:val="none"/>
          <w:lang w:val="en-US" w:eastAsia="zh-CN"/>
        </w:rPr>
        <w:t>）。</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2.省级分局和计划单列市分局办理的外籍员工参与境内上市公司股权激励计划变更登记</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（1）营业执照。</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（2）书面申请，并附《外籍员工参与境内上市公司股权激励计划登记表》。</w:t>
      </w:r>
      <w:r>
        <w:rPr>
          <w:rFonts w:hint="eastAsia" w:ascii="方正仿宋_GBK" w:hAnsi="方正仿宋_GBK" w:eastAsia="方正仿宋_GBK" w:cs="方正仿宋_GBK"/>
          <w:sz w:val="28"/>
          <w:szCs w:val="28"/>
          <w:highlight w:val="none"/>
        </w:rPr>
        <w:tab/>
      </w:r>
    </w:p>
    <w:p>
      <w:pPr>
        <w:spacing w:line="6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（3）变更事项相关真实性证明材料。</w:t>
      </w:r>
    </w:p>
    <w:p>
      <w:pPr>
        <w:spacing w:line="600" w:lineRule="exact"/>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（4）</w:t>
      </w:r>
      <w:r>
        <w:rPr>
          <w:rFonts w:hint="eastAsia" w:ascii="方正仿宋_GBK" w:hAnsi="方正仿宋_GBK" w:eastAsia="方正仿宋_GBK" w:cs="方正仿宋_GBK"/>
          <w:sz w:val="28"/>
          <w:szCs w:val="28"/>
          <w:highlight w:val="none"/>
          <w:lang w:eastAsia="zh-CN"/>
        </w:rPr>
        <w:t>配合业务办理的其他电子版材料。请自行在网站上下载并正确填写，</w:t>
      </w:r>
      <w:r>
        <w:rPr>
          <w:rFonts w:hint="eastAsia" w:ascii="方正仿宋_GBK" w:hAnsi="方正仿宋_GBK" w:eastAsia="方正仿宋_GBK" w:cs="方正仿宋_GBK"/>
          <w:sz w:val="28"/>
          <w:szCs w:val="28"/>
          <w:highlight w:val="none"/>
          <w:lang w:val="en-US" w:eastAsia="zh-CN"/>
        </w:rPr>
        <w:t>办理登记时同步提交至上海市分局外汇市场公共邮箱（</w:t>
      </w:r>
      <w:r>
        <w:rPr>
          <w:rFonts w:hint="eastAsia" w:ascii="方正仿宋_GBK" w:hAnsi="方正仿宋_GBK" w:eastAsia="方正仿宋_GBK" w:cs="方正仿宋_GBK"/>
          <w:sz w:val="28"/>
          <w:szCs w:val="28"/>
          <w:highlight w:val="none"/>
          <w:lang w:val="en-US" w:eastAsia="zh-CN"/>
        </w:rPr>
        <w:fldChar w:fldCharType="begin"/>
      </w:r>
      <w:r>
        <w:rPr>
          <w:rFonts w:hint="eastAsia" w:ascii="方正仿宋_GBK" w:hAnsi="方正仿宋_GBK" w:eastAsia="方正仿宋_GBK" w:cs="方正仿宋_GBK"/>
          <w:sz w:val="28"/>
          <w:szCs w:val="28"/>
          <w:highlight w:val="none"/>
          <w:lang w:val="en-US" w:eastAsia="zh-CN"/>
        </w:rPr>
        <w:instrText xml:space="preserve"> HYPERLINK "mailto:safeshichang@sh.pbc.gov.cn" </w:instrText>
      </w:r>
      <w:r>
        <w:rPr>
          <w:rFonts w:hint="eastAsia" w:ascii="方正仿宋_GBK" w:hAnsi="方正仿宋_GBK" w:eastAsia="方正仿宋_GBK" w:cs="方正仿宋_GBK"/>
          <w:sz w:val="28"/>
          <w:szCs w:val="28"/>
          <w:highlight w:val="none"/>
          <w:lang w:val="en-US" w:eastAsia="zh-CN"/>
        </w:rPr>
        <w:fldChar w:fldCharType="separate"/>
      </w:r>
      <w:r>
        <w:rPr>
          <w:rFonts w:hint="eastAsia" w:ascii="方正仿宋_GBK" w:hAnsi="方正仿宋_GBK" w:eastAsia="方正仿宋_GBK" w:cs="方正仿宋_GBK"/>
          <w:sz w:val="28"/>
          <w:szCs w:val="28"/>
          <w:highlight w:val="none"/>
          <w:lang w:val="en-US" w:eastAsia="zh-CN"/>
        </w:rPr>
        <w:t>safeshichang@sh.pbc.gov.cn</w:t>
      </w:r>
      <w:r>
        <w:rPr>
          <w:rFonts w:hint="eastAsia" w:ascii="方正仿宋_GBK" w:hAnsi="方正仿宋_GBK" w:eastAsia="方正仿宋_GBK" w:cs="方正仿宋_GBK"/>
          <w:sz w:val="28"/>
          <w:szCs w:val="28"/>
          <w:highlight w:val="none"/>
          <w:lang w:val="en-US" w:eastAsia="zh-CN"/>
        </w:rPr>
        <w:fldChar w:fldCharType="end"/>
      </w:r>
      <w:r>
        <w:rPr>
          <w:rFonts w:hint="eastAsia" w:ascii="方正仿宋_GBK" w:hAnsi="方正仿宋_GBK" w:eastAsia="方正仿宋_GBK" w:cs="方正仿宋_GBK"/>
          <w:sz w:val="28"/>
          <w:szCs w:val="28"/>
          <w:highlight w:val="none"/>
          <w:lang w:val="en-US" w:eastAsia="zh-CN"/>
        </w:rPr>
        <w:t>）。</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3.省级分局和计划单列市分局办理的外籍员工参与境内上市公司股权激励计划注销登记</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（1）营业执照。</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（2）书面申请。</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（3）与股权激励计划终止相关的真实性证明材料。</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2.</w:t>
      </w:r>
      <w:r>
        <w:rPr>
          <w:rFonts w:ascii="Times New Roman" w:hAnsi="Times New Roman" w:eastAsia="仿宋GB2312"/>
          <w:b/>
          <w:bCs/>
          <w:sz w:val="28"/>
          <w:szCs w:val="28"/>
          <w:highlight w:val="none"/>
        </w:rPr>
        <w:t>规定申请材料的依据</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境内上市公司外籍员工参与股权激励资金管理办法》（银发〔2019〕25号文印发）第五条、第十一条、第十二条境内上市公司外籍员工参与股权激励的，境内上市公司应当在对股权激励计划进行公告后的30日内，持以下材料，在境内上市公司所在地国家外汇管理局分局、外汇管理部（以下简称所在地外汇局），统一办理境内上市公司外籍员工参与股权激励登记：（一）书面申请，包括但不限于境内上市公司基本情况，股权激励计划基本情况，境内上市公司外籍员工参与股权激励的计划汇入金额等。（二）《境内上市公司外籍员工参与股权激励登记表》（见附1）。（三）境内上市公司相关公告等能够证明股权激励计划真实性的证明材。（四）境内上市公司出具的外籍员工与其雇佣或劳务关系属实的承诺函（附参与股权激励计划的外籍员工名单、身份证件类型、身份证件号码、所涉及股权激励类型等）。</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股权激励计划发生已公告的重大变更或参与该股权激励计划的境内上市公司外籍员工信息发生变化的，境内上市公司应当在公告后 30 日内，持书面申请、原业务登记凭证、最新填写的《境内上市公司外籍员工参与股权激励登记表》以及相关公告等真实性证明材料，到所在地外汇局办理境内上市公司外籍员工参与股权激励变更登记。</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境内上市公司终止实施股权激励且无外籍员工行使权益的，境内上市公司应当在公告后30日内，持书面申请、原业务登记凭证、相关公告等真实性证明材料，到所在地外汇局办理境内上市公司外籍员工参与股权激励注销登记。</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（2）《国家外汇管理局行政许可实施办法》（国家外汇管理局公告2021年第1号）第八条……申请人为机构的，应出示统一社会信用代码证或营业执照原件，或加盖公章的上述证件复印件……。</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六、中介服务</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1.有无法定中介服务事项：</w:t>
      </w:r>
      <w:r>
        <w:rPr>
          <w:rFonts w:ascii="方正仿宋_GBK" w:hAnsi="方正仿宋_GBK" w:eastAsia="方正仿宋_GBK" w:cs="方正仿宋_GBK"/>
          <w:sz w:val="28"/>
          <w:szCs w:val="28"/>
          <w:highlight w:val="none"/>
        </w:rPr>
        <w:t>无</w:t>
      </w:r>
    </w:p>
    <w:p>
      <w:pPr>
        <w:spacing w:line="600" w:lineRule="exact"/>
        <w:ind w:firstLine="562" w:firstLineChars="200"/>
        <w:rPr>
          <w:rFonts w:ascii="方正仿宋_GBK" w:hAnsi="方正仿宋_GBK" w:eastAsia="方正仿宋_GBK" w:cs="方正仿宋_GBK"/>
          <w:sz w:val="28"/>
          <w:szCs w:val="28"/>
          <w:highlight w:val="none"/>
        </w:rPr>
      </w:pPr>
      <w:r>
        <w:rPr>
          <w:rFonts w:hint="eastAsia" w:ascii="Times New Roman" w:hAnsi="Times New Roman" w:eastAsia="仿宋GB2312"/>
          <w:b/>
          <w:bCs/>
          <w:sz w:val="28"/>
          <w:szCs w:val="28"/>
          <w:highlight w:val="none"/>
        </w:rPr>
        <w:t>2.</w:t>
      </w:r>
      <w:r>
        <w:rPr>
          <w:rFonts w:ascii="Times New Roman" w:hAnsi="Times New Roman" w:eastAsia="仿宋GB2312"/>
          <w:b/>
          <w:bCs/>
          <w:sz w:val="28"/>
          <w:szCs w:val="28"/>
          <w:highlight w:val="none"/>
        </w:rPr>
        <w:t>中介服务事项名称</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3.</w:t>
      </w:r>
      <w:r>
        <w:rPr>
          <w:rFonts w:ascii="Times New Roman" w:hAnsi="Times New Roman" w:eastAsia="仿宋GB2312"/>
          <w:b/>
          <w:bCs/>
          <w:sz w:val="28"/>
          <w:szCs w:val="28"/>
          <w:highlight w:val="none"/>
        </w:rPr>
        <w:t>设定中介服务事项的依据</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4.</w:t>
      </w:r>
      <w:r>
        <w:rPr>
          <w:rFonts w:ascii="Times New Roman" w:hAnsi="Times New Roman" w:eastAsia="仿宋GB2312"/>
          <w:b/>
          <w:bCs/>
          <w:sz w:val="28"/>
          <w:szCs w:val="28"/>
          <w:highlight w:val="none"/>
        </w:rPr>
        <w:t>提供中介服务的机构</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5.</w:t>
      </w:r>
      <w:r>
        <w:rPr>
          <w:rFonts w:ascii="Times New Roman" w:hAnsi="Times New Roman" w:eastAsia="仿宋GB2312"/>
          <w:b/>
          <w:bCs/>
          <w:sz w:val="28"/>
          <w:szCs w:val="28"/>
          <w:highlight w:val="none"/>
        </w:rPr>
        <w:t>中介服务事项的收费性质</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无</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七、审批程序</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1.办理行政许可的程序环节</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（1）申请人申请；</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（2）审批机构受理/不予受理；</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（3）审批机构审查；</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（4）决定作出许可决定书/不予许可决定书</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2.规定行政许可程序的依据</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（1）《国家外汇管理局行政许可实施办法》（国家外汇管理局公告2021年第1号）第十条外汇局收到行政许可申请后，应区分下列情况分别作出处理：</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（一）申请事项属于本局职责范围，但依法不需要取得行政许可的，应即时告知申请人不受理，出具不予受理行政许可通知书；</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（二）申请事项不属于本局职责范围，应即时作出不予受理的决定，出具不予受理行政许可通知书，并告知申请人向有关行政机关申请；</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三）申请事项属于本局职责范围，但申请材料不齐全或不符合法定形式的，应当场或在收到申请材料之日起5个工作日内作出要求申请人补正材料的决定，出具补正告知书，一次性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申请人拒不补正，或者自补正告知书送达之日起30日内未能提交全部且符合法定形式的补正材料的，应不予受理，出具不予受理行政许可通知书；</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申请材料存在文字笔误等可当场更正的错误的，应允许申请人当场更正，并告知其在修改处签字或盖章确认；</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（四）申请事项属于本局职责范围，申请材料齐全、符合法定形式，或者申请人按照要求提交全部补正申请材料的，应受理行政许可申请，出具行政许可受理通知书。</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（2）《国家外汇管理局行政许可实施办法》（国家外汇管理局公告2021年第1号）第十四条外汇局对行政许可申请审查后，应区分下列情况分别作出处理：</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（一）申请符合法定条件、拟准予行政许可的，应出具准予行政许可的书面决定。准予行政许可的书面决定应载明名称、出具单位、被许可人姓名或名称、行政许可事项、颁发日期、有效期（如有）等；</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（二）申请不符合法定条件、拟不予行政许可的，应出具不予行政许可决定书，并说明不予行政许可的理由，告知申请人享有依法申请行政复议的权利。</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3.</w:t>
      </w:r>
      <w:r>
        <w:rPr>
          <w:rFonts w:ascii="Times New Roman" w:hAnsi="Times New Roman" w:eastAsia="仿宋GB2312"/>
          <w:b/>
          <w:bCs/>
          <w:sz w:val="28"/>
          <w:szCs w:val="28"/>
          <w:highlight w:val="none"/>
        </w:rPr>
        <w:t>是否需要现场勘验</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4.</w:t>
      </w:r>
      <w:r>
        <w:rPr>
          <w:rFonts w:ascii="Times New Roman" w:hAnsi="Times New Roman" w:eastAsia="仿宋GB2312"/>
          <w:b/>
          <w:bCs/>
          <w:sz w:val="28"/>
          <w:szCs w:val="28"/>
          <w:highlight w:val="none"/>
        </w:rPr>
        <w:t>是否需要组织听证</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5.</w:t>
      </w:r>
      <w:r>
        <w:rPr>
          <w:rFonts w:ascii="Times New Roman" w:hAnsi="Times New Roman" w:eastAsia="仿宋GB2312"/>
          <w:b/>
          <w:bCs/>
          <w:sz w:val="28"/>
          <w:szCs w:val="28"/>
          <w:highlight w:val="none"/>
        </w:rPr>
        <w:t>是否需要招标、拍卖、挂牌交易</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6.</w:t>
      </w:r>
      <w:r>
        <w:rPr>
          <w:rFonts w:ascii="Times New Roman" w:hAnsi="Times New Roman" w:eastAsia="仿宋GB2312"/>
          <w:b/>
          <w:bCs/>
          <w:sz w:val="28"/>
          <w:szCs w:val="28"/>
          <w:highlight w:val="none"/>
        </w:rPr>
        <w:t>是否需要检验、检测、检疫</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7.</w:t>
      </w:r>
      <w:r>
        <w:rPr>
          <w:rFonts w:ascii="Times New Roman" w:hAnsi="Times New Roman" w:eastAsia="仿宋GB2312"/>
          <w:b/>
          <w:bCs/>
          <w:sz w:val="28"/>
          <w:szCs w:val="28"/>
          <w:highlight w:val="none"/>
        </w:rPr>
        <w:t>是否需要鉴定</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8.</w:t>
      </w:r>
      <w:r>
        <w:rPr>
          <w:rFonts w:ascii="Times New Roman" w:hAnsi="Times New Roman" w:eastAsia="仿宋GB2312"/>
          <w:b/>
          <w:bCs/>
          <w:sz w:val="28"/>
          <w:szCs w:val="28"/>
          <w:highlight w:val="none"/>
        </w:rPr>
        <w:t>是否需要专家评审</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9.</w:t>
      </w:r>
      <w:r>
        <w:rPr>
          <w:rFonts w:ascii="Times New Roman" w:hAnsi="Times New Roman" w:eastAsia="仿宋GB2312"/>
          <w:b/>
          <w:bCs/>
          <w:sz w:val="28"/>
          <w:szCs w:val="28"/>
          <w:highlight w:val="none"/>
        </w:rPr>
        <w:t>是否需要向社会公示</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10.</w:t>
      </w:r>
      <w:r>
        <w:rPr>
          <w:rFonts w:ascii="Times New Roman" w:hAnsi="Times New Roman" w:eastAsia="仿宋GB2312"/>
          <w:b/>
          <w:bCs/>
          <w:sz w:val="28"/>
          <w:szCs w:val="28"/>
          <w:highlight w:val="none"/>
        </w:rPr>
        <w:t>是否实行告知承诺办理</w:t>
      </w:r>
      <w:r>
        <w:rPr>
          <w:rFonts w:hint="eastAsia" w:ascii="Times New Roman" w:hAnsi="Times New Roman" w:eastAsia="仿宋GB2312"/>
          <w:b/>
          <w:bCs/>
          <w:sz w:val="28"/>
          <w:szCs w:val="28"/>
          <w:highlight w:val="none"/>
        </w:rPr>
        <w:t>：</w:t>
      </w:r>
      <w:r>
        <w:rPr>
          <w:rFonts w:ascii="方正仿宋_GBK" w:hAnsi="方正仿宋_GBK" w:eastAsia="方正仿宋_GBK" w:cs="方正仿宋_GBK"/>
          <w:sz w:val="28"/>
          <w:szCs w:val="28"/>
          <w:highlight w:val="none"/>
        </w:rPr>
        <w:t>否</w:t>
      </w:r>
    </w:p>
    <w:p>
      <w:pPr>
        <w:spacing w:line="600" w:lineRule="exact"/>
        <w:ind w:firstLine="562" w:firstLineChars="200"/>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11.审批机关是否委托服务机构开展技术性服务：</w:t>
      </w:r>
      <w:r>
        <w:rPr>
          <w:rFonts w:hint="eastAsia" w:ascii="方正仿宋_GBK" w:hAnsi="方正仿宋_GBK" w:eastAsia="方正仿宋_GBK" w:cs="方正仿宋_GBK"/>
          <w:sz w:val="28"/>
          <w:szCs w:val="28"/>
          <w:highlight w:val="none"/>
        </w:rPr>
        <w:t>否</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八、受理和审批时限</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1.承诺受理时限：</w:t>
      </w:r>
      <w:r>
        <w:rPr>
          <w:rFonts w:ascii="方正仿宋_GBK" w:hAnsi="方正仿宋_GBK" w:eastAsia="方正仿宋_GBK" w:cs="方正仿宋_GBK"/>
          <w:sz w:val="28"/>
          <w:szCs w:val="28"/>
          <w:highlight w:val="none"/>
        </w:rPr>
        <w:t>5个工作日</w:t>
      </w:r>
    </w:p>
    <w:p>
      <w:pPr>
        <w:spacing w:line="540" w:lineRule="exact"/>
        <w:ind w:firstLine="562" w:firstLineChars="200"/>
        <w:outlineLvl w:val="2"/>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2.法定审批时限：</w:t>
      </w:r>
      <w:r>
        <w:rPr>
          <w:rFonts w:hint="eastAsia" w:ascii="方正仿宋_GBK" w:hAnsi="方正仿宋_GBK" w:eastAsia="方正仿宋_GBK" w:cs="方正仿宋_GBK"/>
          <w:sz w:val="28"/>
          <w:szCs w:val="28"/>
          <w:highlight w:val="none"/>
        </w:rPr>
        <w:t>20个工作日</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3.规定法定审批时限依据</w:t>
      </w:r>
    </w:p>
    <w:p>
      <w:pPr>
        <w:spacing w:line="600" w:lineRule="exact"/>
        <w:ind w:firstLine="560" w:firstLineChars="200"/>
        <w:rPr>
          <w:rFonts w:ascii="Times New Roman" w:hAnsi="Times New Roman" w:eastAsia="仿宋GB2312"/>
          <w:sz w:val="32"/>
          <w:szCs w:val="32"/>
          <w:highlight w:val="none"/>
        </w:rPr>
      </w:pPr>
      <w:r>
        <w:rPr>
          <w:rFonts w:ascii="方正仿宋_GBK" w:hAnsi="方正仿宋_GBK" w:eastAsia="方正仿宋_GBK" w:cs="方正仿宋_GBK"/>
          <w:sz w:val="28"/>
          <w:szCs w:val="28"/>
          <w:highlight w:val="none"/>
        </w:rPr>
        <w:t>（1）《国家外汇管理局行政许可实施办法》（国家外汇管理局公告2021年第1号）第十五条外汇局应根据以下要求确保行政许可依法按时完成：</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（一）能当场作出决定的，应当场作出行政许可决定。当场作出行政许可决定的，可不出具行政许可受理通知书；</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二）不能当场作出决定的，应自受理之日起20个工作日内作出决定；20个工作日内不能作出决定的，经本级外汇局局长或者主管副局长批准，可延长10个工作日，并向申请人出具延长行政许可办理期限通知书，说明延长期限的理由。行政许可办理期限只能延长一次。</w:t>
      </w:r>
    </w:p>
    <w:p>
      <w:pPr>
        <w:spacing w:line="60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外汇局征求其他部门意见的时间计算在以上办理时限内；依法需要听证、检验、检测、鉴定、专家评审等的时间，不计算在上述办理时限内。</w:t>
      </w:r>
    </w:p>
    <w:p>
      <w:pPr>
        <w:spacing w:line="600" w:lineRule="exact"/>
        <w:ind w:firstLine="560" w:firstLineChars="200"/>
        <w:rPr>
          <w:rFonts w:ascii="Times New Roman" w:hAnsi="Times New Roman" w:eastAsia="仿宋GB2312"/>
          <w:sz w:val="32"/>
          <w:szCs w:val="32"/>
          <w:highlight w:val="none"/>
        </w:rPr>
      </w:pPr>
      <w:r>
        <w:rPr>
          <w:rFonts w:ascii="方正仿宋_GBK" w:hAnsi="方正仿宋_GBK" w:eastAsia="方正仿宋_GBK" w:cs="方正仿宋_GBK"/>
          <w:sz w:val="28"/>
          <w:szCs w:val="28"/>
          <w:highlight w:val="none"/>
        </w:rPr>
        <w:t>各级外汇局对行政许可办理时限具有对外承诺的，应按照其承诺的时限完成；对外承诺的时限应短于20个工作日。</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4.承诺审批时限：</w:t>
      </w:r>
      <w:r>
        <w:rPr>
          <w:rFonts w:ascii="方正仿宋_GBK" w:hAnsi="方正仿宋_GBK" w:eastAsia="方正仿宋_GBK" w:cs="方正仿宋_GBK"/>
          <w:sz w:val="28"/>
          <w:szCs w:val="28"/>
          <w:highlight w:val="none"/>
        </w:rPr>
        <w:t>20个工作日</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九、收费</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1.办理行政许可是否收费：</w:t>
      </w:r>
      <w:r>
        <w:rPr>
          <w:rFonts w:hint="eastAsia" w:ascii="方正仿宋_GBK" w:hAnsi="方正仿宋_GBK" w:eastAsia="方正仿宋_GBK" w:cs="方正仿宋_GBK"/>
          <w:sz w:val="28"/>
          <w:szCs w:val="28"/>
          <w:highlight w:val="none"/>
        </w:rPr>
        <w:t>否</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2.收费项目的名称、收费项目的标准、设定收费项目的依据、规定收费标准的依据：</w:t>
      </w:r>
      <w:r>
        <w:rPr>
          <w:rFonts w:hint="eastAsia" w:ascii="方正仿宋_GBK" w:hAnsi="方正仿宋_GBK" w:eastAsia="方正仿宋_GBK" w:cs="方正仿宋_GBK"/>
          <w:sz w:val="28"/>
          <w:szCs w:val="28"/>
          <w:highlight w:val="none"/>
        </w:rPr>
        <w:t>无</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十、行政许可证件</w:t>
      </w:r>
    </w:p>
    <w:p>
      <w:pPr>
        <w:spacing w:line="540" w:lineRule="exact"/>
        <w:ind w:firstLine="562" w:firstLineChars="200"/>
        <w:outlineLvl w:val="2"/>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1.审批结果类型：</w:t>
      </w:r>
      <w:r>
        <w:rPr>
          <w:rFonts w:ascii="方正仿宋_GBK" w:hAnsi="方正仿宋_GBK" w:eastAsia="方正仿宋_GBK" w:cs="方正仿宋_GBK"/>
          <w:sz w:val="28"/>
          <w:szCs w:val="28"/>
          <w:highlight w:val="none"/>
        </w:rPr>
        <w:t>批文</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2.审批结果名称：</w:t>
      </w:r>
      <w:r>
        <w:rPr>
          <w:rFonts w:hint="eastAsia" w:ascii="方正仿宋_GBK" w:hAnsi="方正仿宋_GBK" w:eastAsia="方正仿宋_GBK" w:cs="方正仿宋_GBK"/>
          <w:sz w:val="28"/>
          <w:szCs w:val="28"/>
          <w:highlight w:val="none"/>
        </w:rPr>
        <w:t>《业务登记凭证》</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3.审批结果的有效期限：</w:t>
      </w:r>
      <w:r>
        <w:rPr>
          <w:rFonts w:hint="eastAsia" w:ascii="方正仿宋_GBK" w:hAnsi="方正仿宋_GBK" w:eastAsia="方正仿宋_GBK" w:cs="方正仿宋_GBK"/>
          <w:sz w:val="28"/>
          <w:szCs w:val="28"/>
          <w:highlight w:val="none"/>
        </w:rPr>
        <w:t>当次</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4.规定审批结果有效期限的依据：</w:t>
      </w:r>
      <w:r>
        <w:rPr>
          <w:rFonts w:hint="eastAsia"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5.是否需要办理审批结果变更手续：</w:t>
      </w:r>
      <w:r>
        <w:rPr>
          <w:rFonts w:ascii="方正仿宋_GBK" w:hAnsi="方正仿宋_GBK" w:eastAsia="方正仿宋_GBK" w:cs="方正仿宋_GBK"/>
          <w:sz w:val="28"/>
          <w:szCs w:val="28"/>
          <w:highlight w:val="none"/>
        </w:rPr>
        <w:t>否</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6.办理审批结果变更手续的要求：</w:t>
      </w:r>
      <w:r>
        <w:rPr>
          <w:rFonts w:hint="eastAsia"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7.是否需要办理审批结果延续手续：</w:t>
      </w:r>
      <w:r>
        <w:rPr>
          <w:rFonts w:hint="eastAsia" w:ascii="方正仿宋_GBK" w:hAnsi="方正仿宋_GBK" w:eastAsia="方正仿宋_GBK" w:cs="方正仿宋_GBK"/>
          <w:sz w:val="28"/>
          <w:szCs w:val="28"/>
          <w:highlight w:val="none"/>
        </w:rPr>
        <w:t>否</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8.办理审批结果延续手续的要求：</w:t>
      </w:r>
      <w:r>
        <w:rPr>
          <w:rFonts w:hint="eastAsia" w:ascii="方正仿宋_GBK" w:hAnsi="方正仿宋_GBK" w:eastAsia="方正仿宋_GBK" w:cs="方正仿宋_GBK"/>
          <w:sz w:val="28"/>
          <w:szCs w:val="28"/>
          <w:highlight w:val="none"/>
        </w:rPr>
        <w:t>无</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9.审批结果的有效地域范围：</w:t>
      </w:r>
      <w:r>
        <w:rPr>
          <w:rFonts w:hint="eastAsia" w:ascii="方正仿宋_GBK" w:hAnsi="方正仿宋_GBK" w:eastAsia="方正仿宋_GBK" w:cs="方正仿宋_GBK"/>
          <w:sz w:val="28"/>
          <w:szCs w:val="28"/>
          <w:highlight w:val="none"/>
        </w:rPr>
        <w:t>全国</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10.规定审批结果有效地域范围的依据：</w:t>
      </w:r>
      <w:r>
        <w:rPr>
          <w:rFonts w:hint="eastAsia" w:ascii="方正仿宋_GBK" w:hAnsi="方正仿宋_GBK" w:eastAsia="方正仿宋_GBK" w:cs="方正仿宋_GBK"/>
          <w:sz w:val="28"/>
          <w:szCs w:val="28"/>
          <w:highlight w:val="none"/>
        </w:rPr>
        <w:t>无</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十一、行政许可数量限制</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1.有无行政许可数量限制：</w:t>
      </w:r>
      <w:r>
        <w:rPr>
          <w:rFonts w:hint="eastAsia" w:ascii="方正仿宋_GBK" w:hAnsi="方正仿宋_GBK" w:eastAsia="方正仿宋_GBK" w:cs="方正仿宋_GBK"/>
          <w:sz w:val="28"/>
          <w:szCs w:val="28"/>
          <w:highlight w:val="none"/>
        </w:rPr>
        <w:t>无</w:t>
      </w:r>
    </w:p>
    <w:p>
      <w:pPr>
        <w:spacing w:line="540" w:lineRule="exact"/>
        <w:ind w:firstLine="562" w:firstLineChars="200"/>
        <w:outlineLvl w:val="2"/>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2.公布数量限制的方式：</w:t>
      </w:r>
      <w:r>
        <w:rPr>
          <w:rFonts w:hint="eastAsia" w:ascii="方正仿宋_GBK" w:hAnsi="方正仿宋_GBK" w:eastAsia="方正仿宋_GBK" w:cs="方正仿宋_GBK"/>
          <w:sz w:val="28"/>
          <w:szCs w:val="28"/>
          <w:highlight w:val="none"/>
        </w:rPr>
        <w:t>无</w:t>
      </w:r>
    </w:p>
    <w:p>
      <w:pPr>
        <w:spacing w:line="540" w:lineRule="exact"/>
        <w:ind w:firstLine="562" w:firstLineChars="200"/>
        <w:outlineLvl w:val="2"/>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3.公布数量限制的周期：</w:t>
      </w:r>
      <w:r>
        <w:rPr>
          <w:rFonts w:hint="eastAsia"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4.在数量限制条件下实施行政许可的方式：</w:t>
      </w:r>
      <w:r>
        <w:rPr>
          <w:rFonts w:hint="eastAsia" w:ascii="方正仿宋_GBK" w:hAnsi="方正仿宋_GBK" w:eastAsia="方正仿宋_GBK" w:cs="方正仿宋_GBK"/>
          <w:sz w:val="28"/>
          <w:szCs w:val="28"/>
          <w:highlight w:val="none"/>
        </w:rPr>
        <w:t>无</w:t>
      </w:r>
    </w:p>
    <w:p>
      <w:pPr>
        <w:spacing w:line="600" w:lineRule="exact"/>
        <w:ind w:firstLine="562" w:firstLineChars="200"/>
        <w:jc w:val="left"/>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5.规定在数量限制条件下实施行政许可方式的依据：</w:t>
      </w:r>
      <w:r>
        <w:rPr>
          <w:rFonts w:hint="eastAsia" w:ascii="方正仿宋_GBK" w:hAnsi="方正仿宋_GBK" w:eastAsia="方正仿宋_GBK" w:cs="方正仿宋_GBK"/>
          <w:sz w:val="28"/>
          <w:szCs w:val="28"/>
          <w:highlight w:val="none"/>
        </w:rPr>
        <w:t>无</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十二、行政许可后年检</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1.有无年检要求：</w:t>
      </w:r>
      <w:r>
        <w:rPr>
          <w:rFonts w:hint="eastAsia" w:ascii="方正仿宋_GBK" w:hAnsi="方正仿宋_GBK" w:eastAsia="方正仿宋_GBK" w:cs="方正仿宋_GBK"/>
          <w:sz w:val="28"/>
          <w:szCs w:val="28"/>
          <w:highlight w:val="none"/>
        </w:rPr>
        <w:t>无</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2.设定年检要求的依据：</w:t>
      </w:r>
      <w:r>
        <w:rPr>
          <w:rFonts w:hint="eastAsia" w:ascii="方正仿宋_GBK" w:hAnsi="方正仿宋_GBK" w:eastAsia="方正仿宋_GBK" w:cs="方正仿宋_GBK"/>
          <w:sz w:val="28"/>
          <w:szCs w:val="28"/>
          <w:highlight w:val="none"/>
        </w:rPr>
        <w:t>无</w:t>
      </w:r>
    </w:p>
    <w:p>
      <w:pPr>
        <w:spacing w:line="540" w:lineRule="exact"/>
        <w:ind w:firstLine="562" w:firstLineChars="200"/>
        <w:outlineLvl w:val="2"/>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3.年检周期：</w:t>
      </w:r>
      <w:r>
        <w:rPr>
          <w:rFonts w:hint="eastAsia"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4.年检是否要求报送材料：</w:t>
      </w:r>
      <w:r>
        <w:rPr>
          <w:rFonts w:hint="eastAsia"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5.年检报送材料名称：</w:t>
      </w:r>
      <w:r>
        <w:rPr>
          <w:rFonts w:hint="eastAsia"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6.年检是否收费：</w:t>
      </w:r>
      <w:r>
        <w:rPr>
          <w:rFonts w:hint="eastAsia"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7.年检收费项目的名称、年检收费项目的标准、设定年检收费项目的依据、规定年检项目收费标准的依据：</w:t>
      </w:r>
      <w:r>
        <w:rPr>
          <w:rFonts w:hint="eastAsia" w:ascii="方正仿宋_GBK" w:hAnsi="方正仿宋_GBK" w:eastAsia="方正仿宋_GBK" w:cs="方正仿宋_GBK"/>
          <w:sz w:val="28"/>
          <w:szCs w:val="28"/>
          <w:highlight w:val="none"/>
        </w:rPr>
        <w:t>无</w:t>
      </w:r>
    </w:p>
    <w:p>
      <w:pPr>
        <w:spacing w:line="540" w:lineRule="exact"/>
        <w:ind w:firstLine="562" w:firstLineChars="200"/>
        <w:outlineLvl w:val="2"/>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8.通过年检的证明或者标志：</w:t>
      </w:r>
      <w:r>
        <w:rPr>
          <w:rFonts w:hint="eastAsia" w:ascii="方正仿宋_GBK" w:hAnsi="方正仿宋_GBK" w:eastAsia="方正仿宋_GBK" w:cs="方正仿宋_GBK"/>
          <w:sz w:val="28"/>
          <w:szCs w:val="28"/>
          <w:highlight w:val="none"/>
        </w:rPr>
        <w:t>无</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十三、行政许可后年报</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1.</w:t>
      </w:r>
      <w:r>
        <w:rPr>
          <w:rFonts w:ascii="Times New Roman" w:hAnsi="Times New Roman" w:eastAsia="仿宋GB2312"/>
          <w:b/>
          <w:bCs/>
          <w:sz w:val="28"/>
          <w:szCs w:val="28"/>
          <w:highlight w:val="none"/>
        </w:rPr>
        <w:t>有无年报要求</w:t>
      </w:r>
      <w:r>
        <w:rPr>
          <w:rFonts w:hint="eastAsia" w:ascii="Times New Roman" w:hAnsi="Times New Roman" w:eastAsia="仿宋GB2312"/>
          <w:b/>
          <w:bCs/>
          <w:sz w:val="28"/>
          <w:szCs w:val="28"/>
          <w:highlight w:val="none"/>
        </w:rPr>
        <w:t>：</w:t>
      </w:r>
      <w:r>
        <w:rPr>
          <w:rFonts w:hint="eastAsia"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2.</w:t>
      </w:r>
      <w:r>
        <w:rPr>
          <w:rFonts w:ascii="Times New Roman" w:hAnsi="Times New Roman" w:eastAsia="仿宋GB2312"/>
          <w:b/>
          <w:bCs/>
          <w:sz w:val="28"/>
          <w:szCs w:val="28"/>
          <w:highlight w:val="none"/>
        </w:rPr>
        <w:t>年报报送材料名称</w:t>
      </w:r>
      <w:r>
        <w:rPr>
          <w:rFonts w:hint="eastAsia" w:ascii="Times New Roman" w:hAnsi="Times New Roman" w:eastAsia="仿宋GB2312"/>
          <w:b/>
          <w:bCs/>
          <w:sz w:val="28"/>
          <w:szCs w:val="28"/>
          <w:highlight w:val="none"/>
        </w:rPr>
        <w:t>：</w:t>
      </w:r>
      <w:r>
        <w:rPr>
          <w:rFonts w:hint="eastAsia" w:ascii="方正仿宋_GBK" w:hAnsi="方正仿宋_GBK" w:eastAsia="方正仿宋_GBK" w:cs="方正仿宋_GBK"/>
          <w:sz w:val="28"/>
          <w:szCs w:val="28"/>
          <w:highlight w:val="none"/>
        </w:rPr>
        <w:t>无</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3.</w:t>
      </w:r>
      <w:r>
        <w:rPr>
          <w:rFonts w:ascii="Times New Roman" w:hAnsi="Times New Roman" w:eastAsia="仿宋GB2312"/>
          <w:b/>
          <w:bCs/>
          <w:sz w:val="28"/>
          <w:szCs w:val="28"/>
          <w:highlight w:val="none"/>
        </w:rPr>
        <w:t>设定年报要求的依据</w:t>
      </w:r>
      <w:r>
        <w:rPr>
          <w:rFonts w:hint="eastAsia" w:ascii="Times New Roman" w:hAnsi="Times New Roman" w:eastAsia="仿宋GB2312"/>
          <w:b/>
          <w:bCs/>
          <w:sz w:val="28"/>
          <w:szCs w:val="28"/>
          <w:highlight w:val="none"/>
        </w:rPr>
        <w:t>：</w:t>
      </w:r>
      <w:r>
        <w:rPr>
          <w:rFonts w:hint="eastAsia" w:ascii="方正仿宋_GBK" w:hAnsi="方正仿宋_GBK" w:eastAsia="方正仿宋_GBK" w:cs="方正仿宋_GBK"/>
          <w:sz w:val="28"/>
          <w:szCs w:val="28"/>
          <w:highlight w:val="none"/>
        </w:rPr>
        <w:t>无</w:t>
      </w:r>
    </w:p>
    <w:p>
      <w:pPr>
        <w:spacing w:line="600" w:lineRule="exact"/>
        <w:ind w:firstLine="562" w:firstLineChars="200"/>
        <w:rPr>
          <w:rFonts w:ascii="Times New Roman" w:hAnsi="Times New Roman" w:eastAsia="仿宋GB2312"/>
          <w:sz w:val="28"/>
          <w:szCs w:val="28"/>
          <w:highlight w:val="none"/>
        </w:rPr>
      </w:pPr>
      <w:r>
        <w:rPr>
          <w:rFonts w:hint="eastAsia" w:ascii="Times New Roman" w:hAnsi="Times New Roman" w:eastAsia="仿宋GB2312"/>
          <w:b/>
          <w:bCs/>
          <w:sz w:val="28"/>
          <w:szCs w:val="28"/>
          <w:highlight w:val="none"/>
        </w:rPr>
        <w:t>4.</w:t>
      </w:r>
      <w:r>
        <w:rPr>
          <w:rFonts w:ascii="Times New Roman" w:hAnsi="Times New Roman" w:eastAsia="仿宋GB2312"/>
          <w:b/>
          <w:bCs/>
          <w:sz w:val="28"/>
          <w:szCs w:val="28"/>
          <w:highlight w:val="none"/>
        </w:rPr>
        <w:t>年报周期</w:t>
      </w:r>
      <w:r>
        <w:rPr>
          <w:rFonts w:hint="eastAsia" w:ascii="Times New Roman" w:hAnsi="Times New Roman" w:eastAsia="仿宋GB2312"/>
          <w:b/>
          <w:bCs/>
          <w:sz w:val="28"/>
          <w:szCs w:val="28"/>
          <w:highlight w:val="none"/>
        </w:rPr>
        <w:t>：</w:t>
      </w:r>
      <w:r>
        <w:rPr>
          <w:rFonts w:hint="eastAsia" w:ascii="方正仿宋_GBK" w:hAnsi="方正仿宋_GBK" w:eastAsia="方正仿宋_GBK" w:cs="方正仿宋_GBK"/>
          <w:sz w:val="28"/>
          <w:szCs w:val="28"/>
          <w:highlight w:val="none"/>
        </w:rPr>
        <w:t>无</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十四、监管主体</w:t>
      </w:r>
    </w:p>
    <w:p>
      <w:pPr>
        <w:spacing w:line="600" w:lineRule="exact"/>
        <w:ind w:firstLine="560" w:firstLineChars="200"/>
        <w:rPr>
          <w:rFonts w:ascii="Times New Roman" w:hAnsi="Times New Roman" w:eastAsia="方正仿宋_GBK" w:cs="方正仿宋_GBK"/>
          <w:color w:val="000000"/>
          <w:sz w:val="28"/>
          <w:szCs w:val="28"/>
          <w:highlight w:val="none"/>
        </w:rPr>
      </w:pPr>
      <w:r>
        <w:rPr>
          <w:rFonts w:hint="eastAsia" w:ascii="Times New Roman" w:hAnsi="方正仿宋_GBK" w:eastAsia="方正仿宋_GBK" w:cs="方正仿宋_GBK"/>
          <w:color w:val="000000"/>
          <w:sz w:val="28"/>
          <w:szCs w:val="28"/>
          <w:highlight w:val="none"/>
        </w:rPr>
        <w:t>国家外汇管理局</w:t>
      </w:r>
      <w:r>
        <w:rPr>
          <w:rFonts w:hint="eastAsia" w:ascii="Times New Roman" w:hAnsi="方正仿宋_GBK" w:eastAsia="方正仿宋_GBK" w:cs="方正仿宋_GBK"/>
          <w:color w:val="000000"/>
          <w:sz w:val="28"/>
          <w:szCs w:val="28"/>
          <w:highlight w:val="none"/>
          <w:lang w:eastAsia="zh-CN"/>
        </w:rPr>
        <w:t>上海市</w:t>
      </w:r>
      <w:r>
        <w:rPr>
          <w:rFonts w:hint="eastAsia" w:ascii="Times New Roman" w:hAnsi="方正仿宋_GBK" w:eastAsia="方正仿宋_GBK" w:cs="方正仿宋_GBK"/>
          <w:color w:val="000000"/>
          <w:sz w:val="28"/>
          <w:szCs w:val="28"/>
          <w:highlight w:val="none"/>
        </w:rPr>
        <w:t>分局</w:t>
      </w:r>
    </w:p>
    <w:p>
      <w:pPr>
        <w:spacing w:line="540" w:lineRule="exact"/>
        <w:outlineLvl w:val="1"/>
        <w:rPr>
          <w:rFonts w:ascii="Times New Roman" w:hAnsi="Times New Roman" w:eastAsia="黑体"/>
          <w:sz w:val="28"/>
          <w:szCs w:val="28"/>
          <w:highlight w:val="none"/>
        </w:rPr>
      </w:pPr>
      <w:r>
        <w:rPr>
          <w:rFonts w:hint="eastAsia" w:ascii="Times New Roman" w:hAnsi="Times New Roman" w:eastAsia="黑体"/>
          <w:sz w:val="28"/>
          <w:szCs w:val="28"/>
          <w:highlight w:val="none"/>
        </w:rPr>
        <w:t>十五、备注</w:t>
      </w:r>
    </w:p>
    <w:p>
      <w:pPr>
        <w:spacing w:line="600" w:lineRule="exact"/>
        <w:ind w:firstLine="560" w:firstLineChars="200"/>
        <w:rPr>
          <w:rFonts w:ascii="Times New Roman" w:hAnsi="Times New Roman" w:eastAsia="方正仿宋_GBK" w:cs="方正仿宋_GBK"/>
          <w:color w:val="000000"/>
          <w:sz w:val="28"/>
          <w:szCs w:val="28"/>
          <w:highlight w:val="none"/>
        </w:rPr>
      </w:pPr>
      <w:r>
        <w:rPr>
          <w:rFonts w:hint="eastAsia" w:ascii="Times New Roman" w:hAnsi="方正仿宋_GBK" w:eastAsia="方正仿宋_GBK" w:cs="方正仿宋_GBK"/>
          <w:color w:val="000000"/>
          <w:sz w:val="28"/>
          <w:szCs w:val="28"/>
          <w:highlight w:val="none"/>
        </w:rPr>
        <w:t>国家外汇管理局</w:t>
      </w:r>
      <w:r>
        <w:rPr>
          <w:rFonts w:hint="eastAsia" w:ascii="Times New Roman" w:hAnsi="方正仿宋_GBK" w:eastAsia="方正仿宋_GBK" w:cs="方正仿宋_GBK"/>
          <w:color w:val="000000"/>
          <w:sz w:val="28"/>
          <w:szCs w:val="28"/>
          <w:highlight w:val="none"/>
          <w:lang w:eastAsia="zh-CN"/>
        </w:rPr>
        <w:t>上海市</w:t>
      </w:r>
      <w:r>
        <w:rPr>
          <w:rFonts w:hint="eastAsia" w:ascii="Times New Roman" w:hAnsi="方正仿宋_GBK" w:eastAsia="方正仿宋_GBK" w:cs="方正仿宋_GBK"/>
          <w:color w:val="000000"/>
          <w:sz w:val="28"/>
          <w:szCs w:val="28"/>
          <w:highlight w:val="none"/>
        </w:rPr>
        <w:t>分局</w:t>
      </w:r>
    </w:p>
    <w:p>
      <w:pPr>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办理地址：</w:t>
      </w:r>
    </w:p>
    <w:p>
      <w:pPr>
        <w:spacing w:line="600" w:lineRule="exact"/>
        <w:ind w:firstLine="560" w:firstLineChars="200"/>
        <w:rPr>
          <w:rFonts w:hint="eastAsia" w:ascii="Times New Roman" w:hAnsi="方正仿宋_GBK" w:eastAsia="方正仿宋_GBK" w:cs="方正仿宋_GBK"/>
          <w:color w:val="000000"/>
          <w:sz w:val="28"/>
          <w:szCs w:val="28"/>
          <w:highlight w:val="none"/>
        </w:rPr>
      </w:pPr>
      <w:r>
        <w:rPr>
          <w:rFonts w:hint="eastAsia" w:ascii="Times New Roman" w:hAnsi="方正仿宋_GBK" w:eastAsia="方正仿宋_GBK" w:cs="方正仿宋_GBK"/>
          <w:color w:val="000000"/>
          <w:sz w:val="28"/>
          <w:szCs w:val="28"/>
          <w:highlight w:val="none"/>
          <w:lang w:eastAsia="zh-CN"/>
        </w:rPr>
        <w:t>上海</w:t>
      </w:r>
      <w:r>
        <w:rPr>
          <w:rFonts w:hint="eastAsia" w:ascii="Times New Roman" w:hAnsi="方正仿宋_GBK" w:eastAsia="方正仿宋_GBK" w:cs="方正仿宋_GBK"/>
          <w:color w:val="000000"/>
          <w:sz w:val="28"/>
          <w:szCs w:val="28"/>
          <w:highlight w:val="none"/>
        </w:rPr>
        <w:t>市</w:t>
      </w:r>
      <w:r>
        <w:rPr>
          <w:rFonts w:hint="eastAsia" w:ascii="Times New Roman" w:hAnsi="方正仿宋_GBK" w:eastAsia="方正仿宋_GBK" w:cs="方正仿宋_GBK"/>
          <w:color w:val="000000"/>
          <w:sz w:val="28"/>
          <w:szCs w:val="28"/>
          <w:highlight w:val="none"/>
          <w:lang w:eastAsia="zh-CN"/>
        </w:rPr>
        <w:t>浦东新区陆家嘴东路</w:t>
      </w:r>
      <w:r>
        <w:rPr>
          <w:rFonts w:hint="eastAsia" w:ascii="Times New Roman" w:hAnsi="方正仿宋_GBK" w:eastAsia="方正仿宋_GBK" w:cs="方正仿宋_GBK"/>
          <w:color w:val="000000"/>
          <w:sz w:val="28"/>
          <w:szCs w:val="28"/>
          <w:highlight w:val="none"/>
          <w:lang w:val="en-US" w:eastAsia="zh-CN"/>
        </w:rPr>
        <w:t>181号</w:t>
      </w:r>
      <w:r>
        <w:rPr>
          <w:rFonts w:hint="eastAsia" w:ascii="Times New Roman" w:hAnsi="方正仿宋_GBK" w:eastAsia="方正仿宋_GBK" w:cs="方正仿宋_GBK"/>
          <w:color w:val="000000"/>
          <w:sz w:val="28"/>
          <w:szCs w:val="28"/>
          <w:highlight w:val="none"/>
        </w:rPr>
        <w:t>，邮编</w:t>
      </w:r>
      <w:r>
        <w:rPr>
          <w:rFonts w:hint="eastAsia" w:ascii="Times New Roman" w:hAnsi="方正仿宋_GBK" w:eastAsia="方正仿宋_GBK" w:cs="方正仿宋_GBK"/>
          <w:color w:val="000000"/>
          <w:sz w:val="28"/>
          <w:szCs w:val="28"/>
          <w:highlight w:val="none"/>
          <w:lang w:val="en-US" w:eastAsia="zh-CN"/>
        </w:rPr>
        <w:t>200120</w:t>
      </w:r>
    </w:p>
    <w:p>
      <w:pPr>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办理时间：</w:t>
      </w:r>
    </w:p>
    <w:p>
      <w:pPr>
        <w:ind w:firstLine="560" w:firstLineChars="200"/>
        <w:contextualSpacing/>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周一至周五（法定节假日除外）上午</w:t>
      </w:r>
      <w:r>
        <w:rPr>
          <w:rFonts w:hint="default" w:ascii="方正仿宋_GBK" w:hAnsi="方正仿宋_GBK" w:eastAsia="方正仿宋_GBK" w:cs="方正仿宋_GBK"/>
          <w:sz w:val="28"/>
          <w:szCs w:val="28"/>
          <w:highlight w:val="none"/>
          <w:lang w:val="en-US"/>
        </w:rPr>
        <w:t>9</w:t>
      </w:r>
      <w:r>
        <w:rPr>
          <w:rFonts w:hint="eastAsia" w:ascii="方正仿宋_GBK" w:hAnsi="方正仿宋_GBK" w:eastAsia="方正仿宋_GBK" w:cs="方正仿宋_GBK"/>
          <w:sz w:val="28"/>
          <w:szCs w:val="28"/>
          <w:highlight w:val="none"/>
        </w:rPr>
        <w:t>：</w:t>
      </w:r>
      <w:r>
        <w:rPr>
          <w:rFonts w:hint="default" w:ascii="方正仿宋_GBK" w:hAnsi="方正仿宋_GBK" w:eastAsia="方正仿宋_GBK" w:cs="方正仿宋_GBK"/>
          <w:sz w:val="28"/>
          <w:szCs w:val="28"/>
          <w:highlight w:val="none"/>
          <w:lang w:val="en-US"/>
        </w:rPr>
        <w:t>0</w:t>
      </w:r>
      <w:r>
        <w:rPr>
          <w:rFonts w:hint="eastAsia" w:ascii="方正仿宋_GBK" w:hAnsi="方正仿宋_GBK" w:eastAsia="方正仿宋_GBK" w:cs="方正仿宋_GBK"/>
          <w:sz w:val="28"/>
          <w:szCs w:val="28"/>
          <w:highlight w:val="none"/>
        </w:rPr>
        <w:t>0-11：30，下午13：</w:t>
      </w:r>
      <w:r>
        <w:rPr>
          <w:rFonts w:hint="default" w:ascii="方正仿宋_GBK" w:hAnsi="方正仿宋_GBK" w:eastAsia="方正仿宋_GBK" w:cs="方正仿宋_GBK"/>
          <w:sz w:val="28"/>
          <w:szCs w:val="28"/>
          <w:highlight w:val="none"/>
          <w:lang w:val="en-US"/>
        </w:rPr>
        <w:t>3</w:t>
      </w:r>
      <w:r>
        <w:rPr>
          <w:rFonts w:hint="eastAsia" w:ascii="方正仿宋_GBK" w:hAnsi="方正仿宋_GBK" w:eastAsia="方正仿宋_GBK" w:cs="方正仿宋_GBK"/>
          <w:sz w:val="28"/>
          <w:szCs w:val="28"/>
          <w:highlight w:val="none"/>
        </w:rPr>
        <w:t>0-1</w:t>
      </w:r>
      <w:r>
        <w:rPr>
          <w:rFonts w:hint="eastAsia" w:ascii="方正仿宋_GBK" w:hAnsi="方正仿宋_GBK" w:eastAsia="方正仿宋_GBK" w:cs="方正仿宋_GBK"/>
          <w:sz w:val="28"/>
          <w:szCs w:val="28"/>
          <w:highlight w:val="none"/>
          <w:lang w:val="en-US" w:eastAsia="zh-CN"/>
        </w:rPr>
        <w:t>7</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val="en-US" w:eastAsia="zh-CN"/>
        </w:rPr>
        <w:t>0</w:t>
      </w:r>
      <w:r>
        <w:rPr>
          <w:rFonts w:hint="eastAsia" w:ascii="方正仿宋_GBK" w:hAnsi="方正仿宋_GBK" w:eastAsia="方正仿宋_GBK" w:cs="方正仿宋_GBK"/>
          <w:sz w:val="28"/>
          <w:szCs w:val="28"/>
          <w:highlight w:val="none"/>
        </w:rPr>
        <w:t>0</w:t>
      </w:r>
    </w:p>
    <w:p>
      <w:pPr>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咨询方式：</w:t>
      </w:r>
    </w:p>
    <w:p>
      <w:pPr>
        <w:ind w:firstLine="560" w:firstLineChars="200"/>
        <w:contextualSpacing/>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（一）咨询窗口：国家外汇管理局</w:t>
      </w:r>
      <w:r>
        <w:rPr>
          <w:rFonts w:hint="eastAsia" w:ascii="方正仿宋_GBK" w:hAnsi="方正仿宋_GBK" w:eastAsia="方正仿宋_GBK" w:cs="方正仿宋_GBK"/>
          <w:sz w:val="28"/>
          <w:szCs w:val="28"/>
          <w:highlight w:val="none"/>
          <w:lang w:eastAsia="zh-CN"/>
        </w:rPr>
        <w:t>上海</w:t>
      </w:r>
      <w:r>
        <w:rPr>
          <w:rFonts w:hint="eastAsia" w:ascii="方正仿宋_GBK" w:hAnsi="方正仿宋_GBK" w:eastAsia="方正仿宋_GBK" w:cs="方正仿宋_GBK"/>
          <w:sz w:val="28"/>
          <w:szCs w:val="28"/>
          <w:highlight w:val="none"/>
        </w:rPr>
        <w:t>市分局</w:t>
      </w:r>
      <w:r>
        <w:rPr>
          <w:rFonts w:hint="eastAsia" w:ascii="方正仿宋_GBK" w:hAnsi="方正仿宋_GBK" w:eastAsia="方正仿宋_GBK" w:cs="方正仿宋_GBK"/>
          <w:sz w:val="28"/>
          <w:szCs w:val="28"/>
          <w:highlight w:val="none"/>
          <w:lang w:val="en-US" w:eastAsia="zh-CN"/>
        </w:rPr>
        <w:t>51-52</w:t>
      </w:r>
      <w:r>
        <w:rPr>
          <w:rFonts w:hint="eastAsia" w:ascii="方正仿宋_GBK" w:hAnsi="方正仿宋_GBK" w:eastAsia="方正仿宋_GBK" w:cs="方正仿宋_GBK"/>
          <w:sz w:val="28"/>
          <w:szCs w:val="28"/>
          <w:highlight w:val="none"/>
        </w:rPr>
        <w:t>窗口</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53-54窗口、71窗口</w:t>
      </w:r>
    </w:p>
    <w:p>
      <w:pPr>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t>（二）咨询电话：（</w:t>
      </w:r>
      <w:r>
        <w:rPr>
          <w:rFonts w:hint="default" w:ascii="方正仿宋_GBK" w:hAnsi="方正仿宋_GBK" w:eastAsia="方正仿宋_GBK" w:cs="方正仿宋_GBK"/>
          <w:sz w:val="28"/>
          <w:szCs w:val="28"/>
          <w:highlight w:val="none"/>
          <w:lang w:val="en-US"/>
        </w:rPr>
        <w:t>021</w:t>
      </w:r>
      <w:r>
        <w:rPr>
          <w:rFonts w:hint="eastAsia" w:ascii="方正仿宋_GBK" w:hAnsi="方正仿宋_GBK" w:eastAsia="方正仿宋_GBK" w:cs="方正仿宋_GBK"/>
          <w:sz w:val="28"/>
          <w:szCs w:val="28"/>
          <w:highlight w:val="none"/>
        </w:rPr>
        <w:t>）</w:t>
      </w:r>
      <w:r>
        <w:rPr>
          <w:rFonts w:hint="default" w:ascii="方正仿宋_GBK" w:hAnsi="方正仿宋_GBK" w:eastAsia="方正仿宋_GBK" w:cs="方正仿宋_GBK"/>
          <w:sz w:val="28"/>
          <w:szCs w:val="28"/>
          <w:highlight w:val="none"/>
          <w:lang w:val="en-US"/>
        </w:rPr>
        <w:t>58845</w:t>
      </w:r>
      <w:r>
        <w:rPr>
          <w:rFonts w:hint="eastAsia" w:ascii="方正仿宋_GBK" w:hAnsi="方正仿宋_GBK" w:eastAsia="方正仿宋_GBK" w:cs="方正仿宋_GBK"/>
          <w:sz w:val="28"/>
          <w:szCs w:val="28"/>
          <w:highlight w:val="none"/>
          <w:lang w:val="en-US" w:eastAsia="zh-CN"/>
        </w:rPr>
        <w:t>470</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w:t>
      </w:r>
      <w:r>
        <w:rPr>
          <w:rFonts w:hint="default" w:ascii="方正仿宋_GBK" w:hAnsi="方正仿宋_GBK" w:eastAsia="方正仿宋_GBK" w:cs="方正仿宋_GBK"/>
          <w:sz w:val="28"/>
          <w:szCs w:val="28"/>
          <w:highlight w:val="none"/>
          <w:lang w:val="en-US"/>
        </w:rPr>
        <w:t>021</w:t>
      </w:r>
      <w:r>
        <w:rPr>
          <w:rFonts w:hint="eastAsia" w:ascii="方正仿宋_GBK" w:hAnsi="方正仿宋_GBK" w:eastAsia="方正仿宋_GBK" w:cs="方正仿宋_GBK"/>
          <w:sz w:val="28"/>
          <w:szCs w:val="28"/>
          <w:highlight w:val="none"/>
        </w:rPr>
        <w:t>）</w:t>
      </w:r>
      <w:r>
        <w:rPr>
          <w:rFonts w:hint="default" w:ascii="方正仿宋_GBK" w:hAnsi="方正仿宋_GBK" w:eastAsia="方正仿宋_GBK" w:cs="方正仿宋_GBK"/>
          <w:sz w:val="28"/>
          <w:szCs w:val="28"/>
          <w:highlight w:val="none"/>
          <w:lang w:val="en-US"/>
        </w:rPr>
        <w:t>5884526</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w:t>
      </w:r>
      <w:r>
        <w:rPr>
          <w:rFonts w:hint="default" w:ascii="方正仿宋_GBK" w:hAnsi="方正仿宋_GBK" w:eastAsia="方正仿宋_GBK" w:cs="方正仿宋_GBK"/>
          <w:sz w:val="28"/>
          <w:szCs w:val="28"/>
          <w:highlight w:val="none"/>
          <w:lang w:val="en-US"/>
        </w:rPr>
        <w:t>021</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val="en-US" w:eastAsia="zh-CN"/>
        </w:rPr>
        <w:t>58845585</w:t>
      </w:r>
    </w:p>
    <w:p>
      <w:pPr>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（三）咨询网址：http://www.safe.gov.cn/beijing（留言反馈）</w:t>
      </w:r>
    </w:p>
    <w:p>
      <w:pPr>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监督投诉方式：</w:t>
      </w:r>
    </w:p>
    <w:p>
      <w:pPr>
        <w:ind w:firstLine="560" w:firstLineChars="200"/>
        <w:contextualSpacing/>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http://www.safe.gov.cn/</w:t>
      </w:r>
      <w:r>
        <w:rPr>
          <w:rFonts w:hint="default" w:ascii="方正仿宋_GBK" w:hAnsi="方正仿宋_GBK" w:eastAsia="方正仿宋_GBK" w:cs="方正仿宋_GBK"/>
          <w:sz w:val="28"/>
          <w:szCs w:val="28"/>
          <w:highlight w:val="none"/>
          <w:lang w:val="en-US"/>
        </w:rPr>
        <w:t>shanghai</w:t>
      </w:r>
      <w:r>
        <w:rPr>
          <w:rFonts w:hint="eastAsia" w:ascii="方正仿宋_GBK" w:hAnsi="方正仿宋_GBK" w:eastAsia="方正仿宋_GBK" w:cs="方正仿宋_GBK"/>
          <w:sz w:val="28"/>
          <w:szCs w:val="28"/>
          <w:highlight w:val="none"/>
        </w:rPr>
        <w:t>（留言反馈）</w:t>
      </w:r>
    </w:p>
    <w:p>
      <w:pPr>
        <w:rPr>
          <w:highlight w:val="none"/>
        </w:rPr>
      </w:pPr>
    </w:p>
    <w:p>
      <w:pPr>
        <w:spacing w:line="600" w:lineRule="exact"/>
        <w:ind w:firstLine="560" w:firstLineChars="200"/>
        <w:rPr>
          <w:rFonts w:ascii="方正仿宋_GBK" w:hAnsi="方正仿宋_GBK" w:eastAsia="方正仿宋_GBK" w:cs="方正仿宋_GBK"/>
          <w:sz w:val="28"/>
          <w:szCs w:val="28"/>
          <w:highlight w:val="none"/>
        </w:rPr>
      </w:pPr>
    </w:p>
    <w:p>
      <w:pPr>
        <w:rPr>
          <w:highlight w:val="none"/>
        </w:rPr>
      </w:pP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等线">
    <w:altName w:val="宋体"/>
    <w:panose1 w:val="00000000000000000000"/>
    <w:charset w:val="86"/>
    <w:family w:val="auto"/>
    <w:pitch w:val="default"/>
    <w:sig w:usb0="00000000"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等线 Light">
    <w:altName w:val="宋体"/>
    <w:panose1 w:val="00000000000000000000"/>
    <w:charset w:val="86"/>
    <w:family w:val="auto"/>
    <w:pitch w:val="default"/>
    <w:sig w:usb0="00000000" w:usb1="38CF7CFA" w:usb2="00000016" w:usb3="00000000" w:csb0="0004000F" w:csb1="00000000"/>
  </w:font>
  <w:font w:name="Arial Unicode MS">
    <w:altName w:val="宋体"/>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 w:name="方正小标宋_GBK">
    <w:altName w:val="微软雅黑"/>
    <w:panose1 w:val="03000509000000000000"/>
    <w:charset w:val="86"/>
    <w:family w:val="auto"/>
    <w:pitch w:val="default"/>
    <w:sig w:usb0="00000001" w:usb1="080E0000" w:usb2="00000000" w:usb3="00000000" w:csb0="00040000" w:csb1="00000000"/>
  </w:font>
  <w:font w:name="仿宋GB2312">
    <w:altName w:val="仿宋"/>
    <w:panose1 w:val="00000000000000000000"/>
    <w:charset w:val="86"/>
    <w:family w:val="auto"/>
    <w:pitch w:val="default"/>
    <w:sig w:usb0="00000000" w:usb1="00000000" w:usb2="00000000" w:usb3="00000000" w:csb0="00040001" w:csb1="00000000"/>
  </w:font>
  <w:font w:name="方正仿宋_GBK">
    <w:altName w:val="微软雅黑"/>
    <w:panose1 w:val="00000000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Cambria Math">
    <w:panose1 w:val="02040503050406030204"/>
    <w:charset w:val="00"/>
    <w:family w:val="auto"/>
    <w:pitch w:val="default"/>
    <w:sig w:usb0="E00002FF" w:usb1="420024FF" w:usb2="00000000" w:usb3="00000000" w:csb0="2000019F" w:csb1="00000000"/>
  </w:font>
  <w:font w:name="Verdana">
    <w:panose1 w:val="020B0604030504040204"/>
    <w:charset w:val="00"/>
    <w:family w:val="auto"/>
    <w:pitch w:val="default"/>
    <w:sig w:usb0="A10006FF" w:usb1="4000205B" w:usb2="00000010" w:usb3="00000000" w:csb0="2000019F" w:csb1="00000000"/>
  </w:font>
  <w:font w:name="新宋体-18030">
    <w:altName w:val="微软雅黑"/>
    <w:panose1 w:val="00000000000000000000"/>
    <w:charset w:val="86"/>
    <w:family w:val="auto"/>
    <w:pitch w:val="default"/>
    <w:sig w:usb0="800022A7" w:usb1="880F3C78" w:usb2="000A005E" w:usb3="00000000" w:csb0="00040001" w:csb1="00000000"/>
  </w:font>
  <w:font w:name="Helvetica Neue">
    <w:altName w:val="微软雅黑"/>
    <w:panose1 w:val="00000000000000000000"/>
    <w:charset w:val="01"/>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paragraph" w:styleId="2">
    <w:name w:val="footer"/>
    <w:basedOn w:val="1"/>
    <w:link w:val="6"/>
    <w:semiHidden/>
    <w:unhideWhenUsed/>
    <w:uiPriority w:val="99"/>
    <w:pPr>
      <w:tabs>
        <w:tab w:val="center" w:pos="4153"/>
        <w:tab w:val="right" w:pos="8306"/>
      </w:tabs>
      <w:snapToGrid w:val="0"/>
      <w:jc w:val="left"/>
    </w:pPr>
    <w:rPr>
      <w:sz w:val="18"/>
      <w:szCs w:val="18"/>
    </w:rPr>
  </w:style>
  <w:style w:type="paragraph" w:styleId="3">
    <w:name w:val="header"/>
    <w:basedOn w:val="1"/>
    <w:link w:val="5"/>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5">
    <w:name w:val="页眉 Char Char"/>
    <w:basedOn w:val="4"/>
    <w:link w:val="3"/>
    <w:uiPriority w:val="99"/>
    <w:rPr>
      <w:rFonts w:ascii="Calibri" w:hAnsi="Calibri" w:eastAsia="宋体" w:cs="Times New Roman"/>
      <w:sz w:val="18"/>
      <w:szCs w:val="18"/>
    </w:rPr>
  </w:style>
  <w:style w:type="character" w:customStyle="1" w:styleId="6">
    <w:name w:val="页脚 Char Char"/>
    <w:basedOn w:val="4"/>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732</Words>
  <Characters>4179</Characters>
  <Lines>34</Lines>
  <Paragraphs>9</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2024-05-16T07:26:00Z</dcterms:created>
  <dc:creator>kylin</dc:creator>
  <cp:lastModifiedBy>pbc</cp:lastModifiedBy>
  <dcterms:modified xsi:type="dcterms:W3CDTF">2025-05-12T07:54:06Z</dcterms:modified>
  <dc:title>省级分局和计划单列市分局办理的外籍员工参与境内上市公司股权激励计划登记</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