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540" w:lineRule="atLeast"/>
        <w:jc w:val="center"/>
        <w:rPr>
          <w:rFonts w:ascii="微软雅黑" w:hAnsi="微软雅黑" w:eastAsia="微软雅黑" w:cs="宋体"/>
          <w:b/>
          <w:bCs/>
          <w:color w:val="0578C4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578C4"/>
          <w:kern w:val="0"/>
          <w:sz w:val="27"/>
          <w:szCs w:val="27"/>
        </w:rPr>
        <w:t>外汇管理行政审批服务指南所涉项目名称</w:t>
      </w:r>
    </w:p>
    <w:tbl>
      <w:tblPr>
        <w:tblW w:w="8546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643"/>
        <w:gridCol w:w="5903"/>
      </w:tblGrid>
      <w:tr>
        <w:trPr>
          <w:tblHeader/>
          <w:tblCellSpacing w:w="0" w:type="dxa"/>
        </w:trPr>
        <w:tc>
          <w:tcPr>
            <w:tcW w:w="8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0"/>
                <w:szCs w:val="30"/>
              </w:rPr>
              <w:t>项目名称</w:t>
            </w:r>
          </w:p>
        </w:tc>
      </w:tr>
      <w:tr>
        <w:trPr>
          <w:tblCellSpacing w:w="0" w:type="dxa"/>
        </w:trPr>
        <w:tc>
          <w:tcPr>
            <w:tcW w:w="26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57001.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进口单位进口付汇核查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1.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进口单位名录登记</w:t>
            </w:r>
          </w:p>
        </w:tc>
      </w:tr>
      <w:tr>
        <w:trPr>
          <w:tblCellSpacing w:w="0" w:type="dxa"/>
        </w:trPr>
        <w:tc>
          <w:tcPr>
            <w:tcW w:w="26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进口付汇事前审核</w:t>
            </w:r>
          </w:p>
        </w:tc>
      </w:tr>
      <w:tr>
        <w:trPr>
          <w:tblCellSpacing w:w="0" w:type="dxa"/>
        </w:trPr>
        <w:tc>
          <w:tcPr>
            <w:tcW w:w="26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57002.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出口单位出口收汇核查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1.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出口单位名录登记</w:t>
            </w:r>
          </w:p>
        </w:tc>
      </w:tr>
      <w:tr>
        <w:trPr>
          <w:tblCellSpacing w:w="0" w:type="dxa"/>
        </w:trPr>
        <w:tc>
          <w:tcPr>
            <w:tcW w:w="26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出口收汇事前审核</w:t>
            </w:r>
          </w:p>
        </w:tc>
      </w:tr>
      <w:tr>
        <w:trPr>
          <w:tblCellSpacing w:w="0" w:type="dxa"/>
        </w:trPr>
        <w:tc>
          <w:tcPr>
            <w:tcW w:w="85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57003.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合格境内机构投资者境外证券投资额度审批</w:t>
            </w:r>
          </w:p>
        </w:tc>
      </w:tr>
      <w:tr>
        <w:trPr>
          <w:trHeight w:val="1350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57004.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跨境从事有价证券、衍生产品发行、交易外汇登记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境内公司境外上市登记及变更、注销登记；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境外上市公司境内股东持股登记及变更登记；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境内个人参与境外上市公司股权激励计划外汇登记及变更、注销登记；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境内机构境外衍生业务外汇登记及变更、注销登记；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上市公司回购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B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股股份购汇额度审批；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银行人民币结构性存款业务外汇登记；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境外机构投资者境内证券期货投资资金业务登记</w:t>
            </w:r>
          </w:p>
        </w:tc>
      </w:tr>
      <w:tr>
        <w:trPr>
          <w:trHeight w:val="1275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57006.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境内机构外债、对外或有负债、外债转贷款审批、登记及履约核准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境内机构短期外债余额指标核准；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非银行债务人外债登记；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非银行债务人非资金划转类提款、还本付息备案；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内保外贷登记；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非银行机构内保外贷业务集中登记；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外保内贷履约外债登记</w:t>
            </w:r>
          </w:p>
        </w:tc>
      </w:tr>
      <w:tr>
        <w:trPr>
          <w:trHeight w:val="405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57007.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境内机构（不含商业银行）向境外提供商业贷款审批与登记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境内机构境外放款额度登记；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融资租赁对外债权登记；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内保外贷担保履约对外债权登记</w:t>
            </w:r>
          </w:p>
        </w:tc>
      </w:tr>
      <w:tr>
        <w:trPr>
          <w:trHeight w:val="1590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57011.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资本项目外汇资金汇出境外的购付汇核准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特殊目的公司项下境内个人购付汇核准；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移民财产转移核准；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继承财产转移核准；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金融机构内保外贷履约购付汇备案；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购汇偿还已结汇使用的国内外汇贷款备案</w:t>
            </w:r>
          </w:p>
        </w:tc>
      </w:tr>
      <w:tr>
        <w:trPr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57012.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资本项目外汇资金结汇核准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外保内贷境外担保履约款结汇核准；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金融机构外债结汇核准</w:t>
            </w:r>
          </w:p>
        </w:tc>
      </w:tr>
      <w:tr>
        <w:trPr>
          <w:trHeight w:val="2505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57013.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银行、农村信用社、兑换机构及非金融机构等结汇、售汇业务市场准入、退出审批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银行（含农村信用社）即期结售汇业务市场准入；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银行（含农村信用社）人民币与外汇衍生产品业务市场准入；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银行合作办理远期结售汇业务市场准入审批；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外国银行分行头寸集中管理审批；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银行间外汇市场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做市商资格备案；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非金融企业银行间外汇市场准入备案；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个人本外币兑换特许业务市场准入审批</w:t>
            </w:r>
          </w:p>
        </w:tc>
      </w:tr>
      <w:tr>
        <w:trPr>
          <w:trHeight w:val="1365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57014.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保险、证券公司等非银行金融机构外汇业务市场准入、退出审批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保险机构外汇业务市场准入审批；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非银行金融机构（不含保险公司）外汇业务备案管理；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非银行金融机构（不含保险公司）结售汇业务资格审批（含初审）；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非银行金融机构（不含保险公司）主体信息登记及变更登记</w:t>
            </w:r>
          </w:p>
        </w:tc>
      </w:tr>
      <w:tr>
        <w:trPr>
          <w:trHeight w:val="1365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57015.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金融机构外汇与人民币资产不匹配的购汇、结汇审批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银行资本金（或营运资金）本外币转换核准；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非银行金融机构（不含保险公司）资本金（或营运资金）本外币转换管理</w:t>
            </w:r>
          </w:p>
        </w:tc>
      </w:tr>
      <w:tr>
        <w:trPr>
          <w:trHeight w:val="1410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57016.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外币现钞提取、调运和携带出境审核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调运外币现钞进出境业务市场准入审批；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服务贸易项下外币现钞提取审批；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个人提取外币现钞（单笔或当日提取超过累计等值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10000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美元现钞）；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个人外币现钞携带出境审核（一人携带超过等值</w:t>
            </w: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10000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美元现钞出境）</w:t>
            </w:r>
          </w:p>
        </w:tc>
      </w:tr>
      <w:tr>
        <w:trPr>
          <w:trHeight w:val="1545" w:hRule="atLeast"/>
          <w:tblCellSpacing w:w="0" w:type="dxa"/>
        </w:trPr>
        <w:tc>
          <w:tcPr>
            <w:tcW w:w="2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0"/>
                <w:szCs w:val="30"/>
              </w:rPr>
              <w:t>57017.</w:t>
            </w: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外汇账户（含边贸人民币结算专用账户）的开立、变更、关闭、撤销以及账户允许保留限额核准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货物贸易外汇收入存放境外外汇账户审批；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0"/>
                <w:szCs w:val="30"/>
              </w:rPr>
              <w:t>服务贸易外汇收入存放境外外汇账户审批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Times New Roman" w:hAnsi="Times New Roman" w:eastAsia="微软雅黑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批注框文本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</Words>
  <Characters>1108</Characters>
  <Lines>9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2020-12-09T06:39:00Z</dcterms:created>
  <dc:creator>pbc</dc:creator>
  <cp:lastModifiedBy>郭颖妍</cp:lastModifiedBy>
  <dcterms:modified xsi:type="dcterms:W3CDTF">2020-12-10T08:15:01Z</dcterms:modified>
  <dc:title>外汇管理行政审批服务指南所涉项目名称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