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B1" w:rsidRDefault="00CD1638">
      <w:pPr>
        <w:spacing w:afterLines="100" w:after="312" w:line="560" w:lineRule="exact"/>
        <w:jc w:val="center"/>
        <w:rPr>
          <w:rFonts w:ascii="Times New Roman" w:eastAsia="方正小标宋_GBK" w:hAnsi="Times New Roman" w:cs="方正小标宋_GBK"/>
          <w:sz w:val="40"/>
          <w:szCs w:val="40"/>
        </w:rPr>
      </w:pPr>
      <w:r>
        <w:rPr>
          <w:rFonts w:ascii="Times New Roman" w:eastAsia="方正小标宋_GBK" w:hAnsi="方正小标宋_GBK" w:cs="方正小标宋_GBK" w:hint="eastAsia"/>
          <w:sz w:val="36"/>
          <w:szCs w:val="36"/>
        </w:rPr>
        <w:t>银行总行合作办理远期业务市场准入审批</w:t>
      </w:r>
      <w:r>
        <w:rPr>
          <w:rFonts w:ascii="Times New Roman" w:eastAsia="方正小标宋_GBK" w:hAnsi="Times New Roman"/>
          <w:sz w:val="36"/>
          <w:szCs w:val="36"/>
        </w:rPr>
        <w:t>【</w:t>
      </w:r>
      <w:r>
        <w:rPr>
          <w:rFonts w:ascii="Times New Roman" w:eastAsia="方正小标宋_GBK" w:hAnsi="Times New Roman"/>
          <w:sz w:val="36"/>
          <w:szCs w:val="36"/>
        </w:rPr>
        <w:t>000171112008</w:t>
      </w:r>
      <w:r>
        <w:rPr>
          <w:rFonts w:ascii="Times New Roman" w:eastAsia="方正小标宋_GBK" w:hAnsi="Times New Roman"/>
          <w:sz w:val="36"/>
          <w:szCs w:val="36"/>
        </w:rPr>
        <w:t>】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一、基本要素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/>
          <w:b/>
          <w:bCs/>
          <w:sz w:val="28"/>
          <w:szCs w:val="28"/>
        </w:rPr>
        <w:t>行政许可事项名称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及编码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经营或者终止结售汇业务审批【</w:t>
      </w:r>
      <w:r>
        <w:rPr>
          <w:rFonts w:ascii="Times New Roman" w:eastAsia="仿宋_GB2312" w:hAnsi="Times New Roman"/>
          <w:sz w:val="28"/>
          <w:szCs w:val="28"/>
        </w:rPr>
        <w:t>00017111200Y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】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/>
          <w:b/>
          <w:bCs/>
          <w:sz w:val="28"/>
          <w:szCs w:val="28"/>
        </w:rPr>
        <w:t>行政许可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事项子项名称及编码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银行总行合作办理远期业务市场准入审批【</w:t>
      </w:r>
      <w:r>
        <w:rPr>
          <w:rFonts w:ascii="Times New Roman" w:eastAsia="仿宋_GB2312" w:hAnsi="Times New Roman" w:hint="eastAsia"/>
          <w:sz w:val="28"/>
          <w:szCs w:val="28"/>
        </w:rPr>
        <w:t>000171112008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】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行政许可事项业务办理项名称及编码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银行总行合作办理远期业务市场准入审批</w:t>
      </w:r>
      <w:r>
        <w:rPr>
          <w:rFonts w:ascii="仿宋_GB2312" w:eastAsia="仿宋_GB2312" w:hAnsi="方正仿宋_GBK" w:cs="方正仿宋_GBK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00017111200802</w:t>
      </w:r>
      <w:r>
        <w:rPr>
          <w:rFonts w:ascii="仿宋_GB2312" w:eastAsia="仿宋_GB2312" w:hAnsi="方正仿宋_GBK" w:cs="方正仿宋_GBK"/>
          <w:sz w:val="28"/>
          <w:szCs w:val="28"/>
        </w:rPr>
        <w:t>)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设定依据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《中华人民共和国外汇管理条例》第二十四条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实施依据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1</w:t>
      </w:r>
      <w:r>
        <w:rPr>
          <w:rFonts w:ascii="仿宋_GB2312" w:eastAsia="仿宋_GB2312" w:hAnsi="方正仿宋_GBK" w:cs="方正仿宋_GBK"/>
          <w:sz w:val="28"/>
          <w:szCs w:val="28"/>
        </w:rPr>
        <w:t>）《银行办理结售汇业务管理办法》（中国人民银行令</w:t>
      </w:r>
      <w:r>
        <w:rPr>
          <w:rFonts w:ascii="仿宋_GB2312" w:eastAsia="仿宋_GB2312" w:hAnsi="方正仿宋_GBK" w:cs="方正仿宋_GBK"/>
          <w:sz w:val="28"/>
          <w:szCs w:val="28"/>
        </w:rPr>
        <w:t>2014</w:t>
      </w:r>
      <w:r>
        <w:rPr>
          <w:rFonts w:ascii="仿宋_GB2312" w:eastAsia="仿宋_GB2312" w:hAnsi="方正仿宋_GBK" w:cs="方正仿宋_GBK"/>
          <w:sz w:val="28"/>
          <w:szCs w:val="28"/>
        </w:rPr>
        <w:t>年</w:t>
      </w:r>
      <w:r>
        <w:rPr>
          <w:rFonts w:ascii="仿宋_GB2312" w:eastAsia="仿宋_GB2312" w:hAnsi="方正仿宋_GBK" w:cs="方正仿宋_GBK"/>
          <w:sz w:val="28"/>
          <w:szCs w:val="28"/>
        </w:rPr>
        <w:t>2</w:t>
      </w:r>
      <w:r>
        <w:rPr>
          <w:rFonts w:ascii="仿宋_GB2312" w:eastAsia="仿宋_GB2312" w:hAnsi="方正仿宋_GBK" w:cs="方正仿宋_GBK"/>
          <w:sz w:val="28"/>
          <w:szCs w:val="28"/>
        </w:rPr>
        <w:t>号）第二条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2</w:t>
      </w:r>
      <w:r>
        <w:rPr>
          <w:rFonts w:ascii="仿宋_GB2312" w:eastAsia="仿宋_GB2312" w:hAnsi="方正仿宋_GBK" w:cs="方正仿宋_GBK"/>
          <w:sz w:val="28"/>
          <w:szCs w:val="28"/>
        </w:rPr>
        <w:t>）《银行办理结售汇业务管理办法》（中国人民银行令</w:t>
      </w:r>
      <w:r>
        <w:rPr>
          <w:rFonts w:ascii="仿宋_GB2312" w:eastAsia="仿宋_GB2312" w:hAnsi="方正仿宋_GBK" w:cs="方正仿宋_GBK"/>
          <w:sz w:val="28"/>
          <w:szCs w:val="28"/>
        </w:rPr>
        <w:t>2014</w:t>
      </w:r>
      <w:r>
        <w:rPr>
          <w:rFonts w:ascii="仿宋_GB2312" w:eastAsia="仿宋_GB2312" w:hAnsi="方正仿宋_GBK" w:cs="方正仿宋_GBK"/>
          <w:sz w:val="28"/>
          <w:szCs w:val="28"/>
        </w:rPr>
        <w:t>年</w:t>
      </w:r>
      <w:r>
        <w:rPr>
          <w:rFonts w:ascii="仿宋_GB2312" w:eastAsia="仿宋_GB2312" w:hAnsi="方正仿宋_GBK" w:cs="方正仿宋_GBK"/>
          <w:sz w:val="28"/>
          <w:szCs w:val="28"/>
        </w:rPr>
        <w:t>2</w:t>
      </w:r>
      <w:r>
        <w:rPr>
          <w:rFonts w:ascii="仿宋_GB2312" w:eastAsia="仿宋_GB2312" w:hAnsi="方正仿宋_GBK" w:cs="方正仿宋_GBK"/>
          <w:sz w:val="28"/>
          <w:szCs w:val="28"/>
        </w:rPr>
        <w:t>号）第三条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3</w:t>
      </w:r>
      <w:r>
        <w:rPr>
          <w:rFonts w:ascii="仿宋_GB2312" w:eastAsia="仿宋_GB2312" w:hAnsi="方正仿宋_GBK" w:cs="方正仿宋_GBK"/>
          <w:sz w:val="28"/>
          <w:szCs w:val="28"/>
        </w:rPr>
        <w:t>）《银行合作办理人民币对外汇衍生品业务细则》（汇发〔</w:t>
      </w:r>
      <w:r>
        <w:rPr>
          <w:rFonts w:ascii="仿宋_GB2312" w:eastAsia="仿宋_GB2312" w:hAnsi="方正仿宋_GBK" w:cs="方正仿宋_GBK"/>
          <w:sz w:val="28"/>
          <w:szCs w:val="28"/>
        </w:rPr>
        <w:t>2022</w:t>
      </w:r>
      <w:r>
        <w:rPr>
          <w:rFonts w:ascii="仿宋_GB2312" w:eastAsia="仿宋_GB2312" w:hAnsi="方正仿宋_GBK" w:cs="方正仿宋_GBK"/>
          <w:sz w:val="28"/>
          <w:szCs w:val="28"/>
        </w:rPr>
        <w:t>〕</w:t>
      </w:r>
      <w:r>
        <w:rPr>
          <w:rFonts w:ascii="仿宋_GB2312" w:eastAsia="仿宋_GB2312" w:hAnsi="方正仿宋_GBK" w:cs="方正仿宋_GBK"/>
          <w:sz w:val="28"/>
          <w:szCs w:val="28"/>
        </w:rPr>
        <w:t>15</w:t>
      </w:r>
      <w:r>
        <w:rPr>
          <w:rFonts w:ascii="仿宋_GB2312" w:eastAsia="仿宋_GB2312" w:hAnsi="方正仿宋_GBK" w:cs="方正仿宋_GBK"/>
          <w:sz w:val="28"/>
          <w:szCs w:val="28"/>
        </w:rPr>
        <w:t>号文印发）第一条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4</w:t>
      </w:r>
      <w:r>
        <w:rPr>
          <w:rFonts w:ascii="仿宋_GB2312" w:eastAsia="仿宋_GB2312" w:hAnsi="方正仿宋_GBK" w:cs="方正仿宋_GBK"/>
          <w:sz w:val="28"/>
          <w:szCs w:val="28"/>
        </w:rPr>
        <w:t>）《银行合作办理人民币对外汇衍生品业务细则》（汇发〔</w:t>
      </w:r>
      <w:r>
        <w:rPr>
          <w:rFonts w:ascii="仿宋_GB2312" w:eastAsia="仿宋_GB2312" w:hAnsi="方正仿宋_GBK" w:cs="方正仿宋_GBK"/>
          <w:sz w:val="28"/>
          <w:szCs w:val="28"/>
        </w:rPr>
        <w:t>2022</w:t>
      </w:r>
      <w:r>
        <w:rPr>
          <w:rFonts w:ascii="仿宋_GB2312" w:eastAsia="仿宋_GB2312" w:hAnsi="方正仿宋_GBK" w:cs="方正仿宋_GBK"/>
          <w:sz w:val="28"/>
          <w:szCs w:val="28"/>
        </w:rPr>
        <w:t>〕</w:t>
      </w:r>
      <w:r>
        <w:rPr>
          <w:rFonts w:ascii="仿宋_GB2312" w:eastAsia="仿宋_GB2312" w:hAnsi="方正仿宋_GBK" w:cs="方正仿宋_GBK"/>
          <w:sz w:val="28"/>
          <w:szCs w:val="28"/>
        </w:rPr>
        <w:t>15</w:t>
      </w:r>
      <w:r>
        <w:rPr>
          <w:rFonts w:ascii="仿宋_GB2312" w:eastAsia="仿宋_GB2312" w:hAnsi="方正仿宋_GBK" w:cs="方正仿宋_GBK"/>
          <w:sz w:val="28"/>
          <w:szCs w:val="28"/>
        </w:rPr>
        <w:t>号文印发）第二条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5</w:t>
      </w:r>
      <w:r>
        <w:rPr>
          <w:rFonts w:ascii="仿宋_GB2312" w:eastAsia="仿宋_GB2312" w:hAnsi="方正仿宋_GBK" w:cs="方正仿宋_GBK"/>
          <w:sz w:val="28"/>
          <w:szCs w:val="28"/>
        </w:rPr>
        <w:t>）《国家外汇管理局行政许可实施办法》（国家外汇管理局公告</w:t>
      </w:r>
      <w:r>
        <w:rPr>
          <w:rFonts w:ascii="仿宋_GB2312" w:eastAsia="仿宋_GB2312" w:hAnsi="方正仿宋_GBK" w:cs="方正仿宋_GBK"/>
          <w:sz w:val="28"/>
          <w:szCs w:val="28"/>
        </w:rPr>
        <w:t>2021</w:t>
      </w:r>
      <w:r>
        <w:rPr>
          <w:rFonts w:ascii="仿宋_GB2312" w:eastAsia="仿宋_GB2312" w:hAnsi="方正仿宋_GBK" w:cs="方正仿宋_GBK"/>
          <w:sz w:val="28"/>
          <w:szCs w:val="28"/>
        </w:rPr>
        <w:t>年第</w:t>
      </w:r>
      <w:r>
        <w:rPr>
          <w:rFonts w:ascii="仿宋_GB2312" w:eastAsia="仿宋_GB2312" w:hAnsi="方正仿宋_GBK" w:cs="方正仿宋_GBK"/>
          <w:sz w:val="28"/>
          <w:szCs w:val="28"/>
        </w:rPr>
        <w:t>1</w:t>
      </w:r>
      <w:r>
        <w:rPr>
          <w:rFonts w:ascii="仿宋_GB2312" w:eastAsia="仿宋_GB2312" w:hAnsi="方正仿宋_GBK" w:cs="方正仿宋_GBK"/>
          <w:sz w:val="28"/>
          <w:szCs w:val="28"/>
        </w:rPr>
        <w:t>号）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监管依据</w:t>
      </w:r>
    </w:p>
    <w:p w:rsidR="005245B1" w:rsidRDefault="00CD1638">
      <w:pPr>
        <w:spacing w:line="560" w:lineRule="exact"/>
        <w:ind w:firstLineChars="200" w:firstLine="560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《中华人民共和国外汇管理条例》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lastRenderedPageBreak/>
        <w:t>7.</w:t>
      </w:r>
      <w:r>
        <w:rPr>
          <w:rFonts w:ascii="Times New Roman" w:eastAsia="仿宋GB2312" w:hAnsi="Times New Roman"/>
          <w:b/>
          <w:bCs/>
          <w:sz w:val="28"/>
          <w:szCs w:val="28"/>
        </w:rPr>
        <w:t>实施机关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国家外汇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管理</w:t>
      </w:r>
      <w:r>
        <w:rPr>
          <w:rFonts w:ascii="仿宋_GB2312" w:eastAsia="仿宋_GB2312" w:hAnsi="方正仿宋_GBK" w:cs="方正仿宋_GBK"/>
          <w:sz w:val="28"/>
          <w:szCs w:val="28"/>
        </w:rPr>
        <w:t>局省级分局和计划单列市分局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8.</w:t>
      </w:r>
      <w:r>
        <w:rPr>
          <w:rFonts w:ascii="Times New Roman" w:eastAsia="仿宋GB2312" w:hAnsi="Times New Roman"/>
          <w:b/>
          <w:bCs/>
          <w:sz w:val="28"/>
          <w:szCs w:val="28"/>
        </w:rPr>
        <w:t>审批层级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国家级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9.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行使</w:t>
      </w:r>
      <w:r>
        <w:rPr>
          <w:rFonts w:ascii="Times New Roman" w:eastAsia="仿宋GB2312" w:hAnsi="Times New Roman"/>
          <w:b/>
          <w:bCs/>
          <w:sz w:val="28"/>
          <w:szCs w:val="28"/>
        </w:rPr>
        <w:t>层级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省级</w:t>
      </w:r>
      <w:r>
        <w:rPr>
          <w:rFonts w:ascii="仿宋_GB2312" w:eastAsia="仿宋_GB2312" w:hAnsi="Times New Roman" w:cs="方正仿宋_GBK" w:hint="eastAsia"/>
          <w:sz w:val="28"/>
          <w:szCs w:val="28"/>
        </w:rPr>
        <w:t>/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直属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10.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是否由审批机关受理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是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11.</w:t>
      </w:r>
      <w:r>
        <w:rPr>
          <w:rFonts w:ascii="Times New Roman" w:eastAsia="仿宋GB2312" w:hAnsi="Times New Roman"/>
          <w:b/>
          <w:bCs/>
          <w:sz w:val="28"/>
          <w:szCs w:val="28"/>
        </w:rPr>
        <w:t>受理层级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省级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12.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是否存在初审环节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  <w:highlight w:val="yellow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13.</w:t>
      </w:r>
      <w:r>
        <w:rPr>
          <w:rFonts w:ascii="Times New Roman" w:eastAsia="仿宋GB2312" w:hAnsi="Times New Roman"/>
          <w:b/>
          <w:bCs/>
          <w:sz w:val="28"/>
          <w:szCs w:val="28"/>
        </w:rPr>
        <w:t>初审层级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jc w:val="left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14.</w:t>
      </w:r>
      <w:r>
        <w:rPr>
          <w:rFonts w:ascii="Times New Roman" w:eastAsia="仿宋GB2312" w:hAnsi="Times New Roman"/>
          <w:b/>
          <w:bCs/>
          <w:sz w:val="28"/>
          <w:szCs w:val="28"/>
        </w:rPr>
        <w:t>对应政务服务事项国家级基本目录名称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银行合作办理远期结售汇业务市场准入审批</w:t>
      </w:r>
    </w:p>
    <w:p w:rsidR="005245B1" w:rsidRDefault="00CD1638">
      <w:pPr>
        <w:spacing w:line="560" w:lineRule="exact"/>
        <w:ind w:firstLineChars="200" w:firstLine="562"/>
        <w:jc w:val="left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要素统一情况：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全部要素全国统一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二、行政许可事项类型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条件型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三、行政许可条件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准予行政许可的条件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）具备即期结售汇业务资格，并已开办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年（含）以上。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）上年度外汇资产季平均余额在等值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2000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万美元（含）以上。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3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）近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年银行外汇业务合规与审慎经营评估等级为</w:t>
      </w:r>
      <w:r>
        <w:rPr>
          <w:rFonts w:ascii="仿宋_GB2312" w:eastAsia="仿宋_GB2312" w:hAnsi="Times New Roman" w:cs="方正仿宋_GBK" w:hint="eastAsia"/>
          <w:sz w:val="28"/>
          <w:szCs w:val="28"/>
        </w:rPr>
        <w:t>B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级（含）以上。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4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）具有完善的合作办理外汇衍生品业务管理制度。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/>
          <w:b/>
          <w:bCs/>
          <w:sz w:val="28"/>
          <w:szCs w:val="28"/>
        </w:rPr>
        <w:t>规定行政许可条件的依据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《银行合作办理人民币对外汇衍生品业务细则》（汇发〔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2022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〕</w:t>
      </w:r>
      <w:r>
        <w:rPr>
          <w:rFonts w:ascii="仿宋_GB2312" w:eastAsia="仿宋_GB2312" w:hAnsi="Times New Roman" w:cs="方正仿宋_GBK" w:hint="eastAsia"/>
          <w:sz w:val="28"/>
          <w:szCs w:val="28"/>
        </w:rPr>
        <w:t>15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号文印发）第一条合作银行总行申请时应具备以下条件：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（一）具备即期结售汇业务资格，并已开办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年（含）以上。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（二）上年度外汇资产季平均余额在等值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2000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万美元（含）以上。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（三）近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年银行外汇业务合规与审慎经营评估等级为</w:t>
      </w:r>
      <w:r>
        <w:rPr>
          <w:rFonts w:ascii="仿宋_GB2312" w:eastAsia="仿宋_GB2312" w:hAnsi="Times New Roman" w:cs="方正仿宋_GBK" w:hint="eastAsia"/>
          <w:sz w:val="28"/>
          <w:szCs w:val="28"/>
        </w:rPr>
        <w:t>B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级（含）以上。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（四）具有完善的合作办理外汇衍生品业务管理制度。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（五）申请合作掉期业务，应取得合作远期结售汇业务资格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年以上，且合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作远期结售汇业务规模在最近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年均达到即期结售汇业务规模的</w:t>
      </w:r>
      <w:r>
        <w:rPr>
          <w:rFonts w:ascii="仿宋_GB2312" w:eastAsia="仿宋_GB2312" w:hAnsi="Times New Roman" w:cs="方正仿宋_GBK" w:hint="eastAsia"/>
          <w:sz w:val="28"/>
          <w:szCs w:val="28"/>
        </w:rPr>
        <w:t>5%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。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四、</w:t>
      </w:r>
      <w:r>
        <w:rPr>
          <w:rFonts w:ascii="Times New Roman" w:eastAsia="黑体" w:hAnsi="Times New Roman"/>
          <w:sz w:val="28"/>
          <w:szCs w:val="28"/>
        </w:rPr>
        <w:t>行政许可服务对象类型</w:t>
      </w:r>
      <w:r>
        <w:rPr>
          <w:rFonts w:ascii="Times New Roman" w:eastAsia="黑体" w:hAnsi="Times New Roman" w:hint="eastAsia"/>
          <w:sz w:val="28"/>
          <w:szCs w:val="28"/>
        </w:rPr>
        <w:t>与改革举措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服务对象类型：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企业法人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是否为涉企许可事项：</w:t>
      </w:r>
      <w:r>
        <w:rPr>
          <w:rFonts w:ascii="仿宋_GB2312" w:eastAsia="仿宋_GB2312" w:hAnsi="方正仿宋_GBK" w:cs="方正仿宋_GBK"/>
          <w:sz w:val="28"/>
          <w:szCs w:val="28"/>
        </w:rPr>
        <w:t>是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涉企经营许可事项名称：</w:t>
      </w:r>
      <w:r>
        <w:rPr>
          <w:rFonts w:ascii="仿宋_GB2312" w:eastAsia="仿宋_GB2312" w:hAnsi="方正仿宋_GBK" w:cs="方正仿宋_GBK"/>
          <w:sz w:val="28"/>
          <w:szCs w:val="28"/>
        </w:rPr>
        <w:t>银行、农村信用社、兑换机构及非金融机构等结汇、售汇业务市场准入、退出审批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许可证件名称：</w:t>
      </w:r>
      <w:r>
        <w:rPr>
          <w:rFonts w:ascii="仿宋_GB2312" w:eastAsia="仿宋_GB2312" w:hAnsi="方正仿宋_GBK" w:cs="方正仿宋_GBK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改革方式：</w:t>
      </w:r>
      <w:r>
        <w:rPr>
          <w:rFonts w:ascii="仿宋_GB2312" w:eastAsia="仿宋_GB2312" w:hAnsi="方正仿宋_GBK" w:cs="方正仿宋_GBK"/>
          <w:sz w:val="28"/>
          <w:szCs w:val="28"/>
        </w:rPr>
        <w:t>优化审批服务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具体改革举措：</w:t>
      </w:r>
      <w:r>
        <w:rPr>
          <w:rFonts w:ascii="仿宋_GB2312" w:eastAsia="仿宋_GB2312" w:hAnsi="方正仿宋_GBK" w:cs="方正仿宋_GBK"/>
          <w:sz w:val="28"/>
          <w:szCs w:val="28"/>
        </w:rPr>
        <w:t>实现预审、审批进度和结果网上查询，推动实现全程网上办理。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加强事中事后监管措施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开展</w:t>
      </w:r>
      <w:r>
        <w:rPr>
          <w:rFonts w:ascii="仿宋_GB2312" w:eastAsia="仿宋_GB2312" w:hAnsi="方正仿宋_GBK" w:cs="方正仿宋_GBK"/>
          <w:sz w:val="28"/>
          <w:szCs w:val="28"/>
        </w:rPr>
        <w:t>“</w:t>
      </w:r>
      <w:r>
        <w:rPr>
          <w:rFonts w:ascii="仿宋_GB2312" w:eastAsia="仿宋_GB2312" w:hAnsi="方正仿宋_GBK" w:cs="方正仿宋_GBK"/>
          <w:sz w:val="28"/>
          <w:szCs w:val="28"/>
        </w:rPr>
        <w:t>双随机、一公开</w:t>
      </w:r>
      <w:r>
        <w:rPr>
          <w:rFonts w:ascii="仿宋_GB2312" w:eastAsia="仿宋_GB2312" w:hAnsi="方正仿宋_GBK" w:cs="方正仿宋_GBK"/>
          <w:sz w:val="28"/>
          <w:szCs w:val="28"/>
        </w:rPr>
        <w:t>”</w:t>
      </w:r>
      <w:r>
        <w:rPr>
          <w:rFonts w:ascii="仿宋_GB2312" w:eastAsia="仿宋_GB2312" w:hAnsi="方正仿宋_GBK" w:cs="方正仿宋_GBK"/>
          <w:sz w:val="28"/>
          <w:szCs w:val="28"/>
        </w:rPr>
        <w:t>监管，依法查处违规行为，适时公开相关案例。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依法及时处理投诉举报。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3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开展数据统计与监测，掌握外汇业务情况。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五、申请材料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申请材料名称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）申请报告</w:t>
      </w:r>
      <w:r>
        <w:rPr>
          <w:rFonts w:ascii="仿宋_GB2312" w:eastAsia="仿宋_GB2312" w:hAnsi="Times New Roman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份（简要说明满足各项申请条件情况，并包括企业客户培育情况、业务计划等）。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）合作办理外汇衍生品业务相关管理制度</w:t>
      </w:r>
      <w:r>
        <w:rPr>
          <w:rFonts w:ascii="仿宋_GB2312" w:eastAsia="仿宋_GB2312" w:hAnsi="Times New Roman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份（包括：业务操作规程、风险管理制度、统计报告制度、会计核算制度等）。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3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）与具备资格银行签订的合作协议书范本</w:t>
      </w:r>
      <w:r>
        <w:rPr>
          <w:rFonts w:ascii="仿宋_GB2312" w:eastAsia="仿宋_GB2312" w:hAnsi="Times New Roman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份（范本中应明确双方权利和义务）。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4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）上年度</w:t>
      </w:r>
      <w:r>
        <w:rPr>
          <w:rFonts w:ascii="仿宋_GB2312" w:eastAsia="仿宋_GB2312" w:hAnsi="Times New Roman" w:cs="方正仿宋_GBK" w:hint="eastAsia"/>
          <w:sz w:val="28"/>
          <w:szCs w:val="28"/>
        </w:rPr>
        <w:t>4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个季度的外汇资产负债表</w:t>
      </w:r>
      <w:r>
        <w:rPr>
          <w:rFonts w:ascii="仿宋_GB2312" w:eastAsia="仿宋_GB2312" w:hAnsi="Times New Roman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份。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/>
          <w:b/>
          <w:bCs/>
          <w:sz w:val="28"/>
          <w:szCs w:val="28"/>
        </w:rPr>
        <w:t>规定申请材料的依据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《银行合作办理人民币对外汇衍生品业务细则》（汇发〔</w:t>
      </w:r>
      <w:r>
        <w:rPr>
          <w:rFonts w:ascii="仿宋_GB2312" w:eastAsia="仿宋_GB2312" w:hAnsi="Times New Roman" w:cs="方正仿宋_GBK" w:hint="eastAsia"/>
          <w:sz w:val="28"/>
          <w:szCs w:val="28"/>
        </w:rPr>
        <w:t>2022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〕</w:t>
      </w:r>
      <w:r>
        <w:rPr>
          <w:rFonts w:ascii="仿宋_GB2312" w:eastAsia="仿宋_GB2312" w:hAnsi="Times New Roman" w:cs="方正仿宋_GBK" w:hint="eastAsia"/>
          <w:sz w:val="28"/>
          <w:szCs w:val="28"/>
        </w:rPr>
        <w:t>15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号文印发）第二条合作银行总行应持下列材料向所在地国家外汇管理局分局、外汇管理部（以下简称外汇分局）提出申请：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（一）申请报告，简要说明满足各项申请条件情况，并包括企业客户培育情况、业务计划等。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（二）合作办理外汇衍生品业务相关管理制度，包括：业务操作规程、风险管理制度、统计报告制度、会计核算制度等。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（三）与具备资格银行签订的合作协议书范本，范本中应明确双方权利和义务。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Times New Roman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（四）总行上年度外汇资产季度余额情况。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六、中介服务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有无法定中介服务事项：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方正仿宋_GBK" w:hAnsi="Times New Roman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/>
          <w:b/>
          <w:bCs/>
          <w:sz w:val="28"/>
          <w:szCs w:val="28"/>
        </w:rPr>
        <w:t>中介服务事项名称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/>
          <w:b/>
          <w:bCs/>
          <w:sz w:val="28"/>
          <w:szCs w:val="28"/>
        </w:rPr>
        <w:t>设定中介服务事项的依据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/>
          <w:b/>
          <w:bCs/>
          <w:sz w:val="28"/>
          <w:szCs w:val="28"/>
        </w:rPr>
        <w:t>提供中介服务的机构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/>
          <w:b/>
          <w:bCs/>
          <w:sz w:val="28"/>
          <w:szCs w:val="28"/>
        </w:rPr>
        <w:t>中介服务事项的收费性质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无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七、审批程序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办理行政许可的程序环节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1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申请人申请；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审批机构受理</w:t>
      </w:r>
      <w:r>
        <w:rPr>
          <w:rFonts w:ascii="仿宋_GB2312" w:eastAsia="仿宋_GB2312" w:hAnsi="方正仿宋_GBK" w:cs="方正仿宋_GBK"/>
          <w:sz w:val="28"/>
          <w:szCs w:val="28"/>
        </w:rPr>
        <w:t>/</w:t>
      </w:r>
      <w:r>
        <w:rPr>
          <w:rFonts w:ascii="仿宋_GB2312" w:eastAsia="仿宋_GB2312" w:hAnsi="方正仿宋_GBK" w:cs="方正仿宋_GBK"/>
          <w:sz w:val="28"/>
          <w:szCs w:val="28"/>
        </w:rPr>
        <w:t>不予受理；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3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审批机构审查；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（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4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）</w:t>
      </w:r>
      <w:r>
        <w:rPr>
          <w:rFonts w:ascii="仿宋_GB2312" w:eastAsia="仿宋_GB2312" w:hAnsi="方正仿宋_GBK" w:cs="方正仿宋_GBK"/>
          <w:sz w:val="28"/>
          <w:szCs w:val="28"/>
        </w:rPr>
        <w:t>决定作出许可决定书</w:t>
      </w:r>
      <w:r>
        <w:rPr>
          <w:rFonts w:ascii="仿宋_GB2312" w:eastAsia="仿宋_GB2312" w:hAnsi="方正仿宋_GBK" w:cs="方正仿宋_GBK"/>
          <w:sz w:val="28"/>
          <w:szCs w:val="28"/>
        </w:rPr>
        <w:t>/</w:t>
      </w:r>
      <w:r>
        <w:rPr>
          <w:rFonts w:ascii="仿宋_GB2312" w:eastAsia="仿宋_GB2312" w:hAnsi="方正仿宋_GBK" w:cs="方正仿宋_GBK"/>
          <w:sz w:val="28"/>
          <w:szCs w:val="28"/>
        </w:rPr>
        <w:t>不予许可决定书。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规定行政许可程序的依据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1</w:t>
      </w:r>
      <w:r>
        <w:rPr>
          <w:rFonts w:ascii="仿宋_GB2312" w:eastAsia="仿宋_GB2312" w:hAnsi="方正仿宋_GBK" w:cs="方正仿宋_GBK"/>
          <w:sz w:val="28"/>
          <w:szCs w:val="28"/>
        </w:rPr>
        <w:t>）《国家外汇管理局行政许可实施办法》（国家外汇管理局公告</w:t>
      </w:r>
      <w:r>
        <w:rPr>
          <w:rFonts w:ascii="仿宋_GB2312" w:eastAsia="仿宋_GB2312" w:hAnsi="方正仿宋_GBK" w:cs="方正仿宋_GBK"/>
          <w:sz w:val="28"/>
          <w:szCs w:val="28"/>
        </w:rPr>
        <w:t>2021</w:t>
      </w:r>
      <w:r>
        <w:rPr>
          <w:rFonts w:ascii="仿宋_GB2312" w:eastAsia="仿宋_GB2312" w:hAnsi="方正仿宋_GBK" w:cs="方正仿宋_GBK"/>
          <w:sz w:val="28"/>
          <w:szCs w:val="28"/>
        </w:rPr>
        <w:t>年第</w:t>
      </w:r>
      <w:r>
        <w:rPr>
          <w:rFonts w:ascii="仿宋_GB2312" w:eastAsia="仿宋_GB2312" w:hAnsi="方正仿宋_GBK" w:cs="方正仿宋_GBK"/>
          <w:sz w:val="28"/>
          <w:szCs w:val="28"/>
        </w:rPr>
        <w:t>1</w:t>
      </w:r>
      <w:r>
        <w:rPr>
          <w:rFonts w:ascii="仿宋_GB2312" w:eastAsia="仿宋_GB2312" w:hAnsi="方正仿宋_GBK" w:cs="方正仿宋_GBK"/>
          <w:sz w:val="28"/>
          <w:szCs w:val="28"/>
        </w:rPr>
        <w:t>号）第十条外汇局收到行政许可申请后，应区分下列情况分别作出处理：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（一）申请事项属于本局职责范围，但依法不需要取得行政许可的，应即时告知申请人不受理，出具不予受理行政许可通知书；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（二）申请事项不属于本局职责范围，应即时作出不予受理的决定，出具不予受理行政许可通知书，并告知申请人向有关行政机关申请；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（三）申请事项属于本局职责范围，但申请材料不齐全或不符合法定形式的，应当场或在收到申请材料之日起</w:t>
      </w:r>
      <w:r>
        <w:rPr>
          <w:rFonts w:ascii="仿宋_GB2312" w:eastAsia="仿宋_GB2312" w:hAnsi="方正仿宋_GBK" w:cs="方正仿宋_GBK"/>
          <w:sz w:val="28"/>
          <w:szCs w:val="28"/>
        </w:rPr>
        <w:t>5</w:t>
      </w:r>
      <w:r>
        <w:rPr>
          <w:rFonts w:ascii="仿宋_GB2312" w:eastAsia="仿宋_GB2312" w:hAnsi="方正仿宋_GBK" w:cs="方正仿宋_GBK"/>
          <w:sz w:val="28"/>
          <w:szCs w:val="28"/>
        </w:rPr>
        <w:t>个工作日内作出要求申请人补正材料的决定，出具补正告知书，一次性告知申请人需要补正的全部内容；逾期不告知的，自收到申请材料之日起即为受理；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申请人拒不补正，或者自补正告知书送达之日起</w:t>
      </w:r>
      <w:r>
        <w:rPr>
          <w:rFonts w:ascii="仿宋_GB2312" w:eastAsia="仿宋_GB2312" w:hAnsi="方正仿宋_GBK" w:cs="方正仿宋_GBK"/>
          <w:sz w:val="28"/>
          <w:szCs w:val="28"/>
        </w:rPr>
        <w:t>30</w:t>
      </w:r>
      <w:r>
        <w:rPr>
          <w:rFonts w:ascii="仿宋_GB2312" w:eastAsia="仿宋_GB2312" w:hAnsi="方正仿宋_GBK" w:cs="方正仿宋_GBK"/>
          <w:sz w:val="28"/>
          <w:szCs w:val="28"/>
        </w:rPr>
        <w:t>日内未能提交全部且符合法定形式的补正材料的，应不予受理，出具不予受理行政许可通知书；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申请材料存在文字笔误等</w:t>
      </w:r>
      <w:r>
        <w:rPr>
          <w:rFonts w:ascii="仿宋_GB2312" w:eastAsia="仿宋_GB2312" w:hAnsi="方正仿宋_GBK" w:cs="方正仿宋_GBK"/>
          <w:sz w:val="28"/>
          <w:szCs w:val="28"/>
        </w:rPr>
        <w:t>可当场更正的错误的，应允许申请人当场更正，并告知其在修改处签字或盖章确认；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（四）申请事项属于本局职责范围，申请材料齐全、符合法定形式，或者申请人按照要求提交全部补正申请材料的，应受理行政许可申请，出具行政许可受理通知书。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</w:t>
      </w:r>
      <w:r>
        <w:rPr>
          <w:rFonts w:ascii="仿宋_GB2312" w:eastAsia="仿宋_GB2312" w:hAnsi="方正仿宋_GBK" w:cs="方正仿宋_GBK"/>
          <w:sz w:val="28"/>
          <w:szCs w:val="28"/>
        </w:rPr>
        <w:t>2</w:t>
      </w:r>
      <w:r>
        <w:rPr>
          <w:rFonts w:ascii="仿宋_GB2312" w:eastAsia="仿宋_GB2312" w:hAnsi="方正仿宋_GBK" w:cs="方正仿宋_GBK"/>
          <w:sz w:val="28"/>
          <w:szCs w:val="28"/>
        </w:rPr>
        <w:t>）《国家外汇管理局行政许可实施办法》第十条（国家外汇管理局公告</w:t>
      </w:r>
      <w:r>
        <w:rPr>
          <w:rFonts w:ascii="仿宋_GB2312" w:eastAsia="仿宋_GB2312" w:hAnsi="方正仿宋_GBK" w:cs="方正仿宋_GBK"/>
          <w:sz w:val="28"/>
          <w:szCs w:val="28"/>
        </w:rPr>
        <w:t>2021</w:t>
      </w:r>
      <w:r>
        <w:rPr>
          <w:rFonts w:ascii="仿宋_GB2312" w:eastAsia="仿宋_GB2312" w:hAnsi="方正仿宋_GBK" w:cs="方正仿宋_GBK"/>
          <w:sz w:val="28"/>
          <w:szCs w:val="28"/>
        </w:rPr>
        <w:t>年第</w:t>
      </w:r>
      <w:r>
        <w:rPr>
          <w:rFonts w:ascii="仿宋_GB2312" w:eastAsia="仿宋_GB2312" w:hAnsi="方正仿宋_GBK" w:cs="方正仿宋_GBK"/>
          <w:sz w:val="28"/>
          <w:szCs w:val="28"/>
        </w:rPr>
        <w:t>1</w:t>
      </w:r>
      <w:r>
        <w:rPr>
          <w:rFonts w:ascii="仿宋_GB2312" w:eastAsia="仿宋_GB2312" w:hAnsi="方正仿宋_GBK" w:cs="方正仿宋_GBK"/>
          <w:sz w:val="28"/>
          <w:szCs w:val="28"/>
        </w:rPr>
        <w:t>号）第十四条外汇局对行政许可申请审查后，应区分下列情况分别作出处理：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（一）申请符合法定条件、拟准予行政许可的，应出具准予行政许可的书面决定。准予行政许可的书面决定应载明名称、出具单位、被许可人姓名或名称、行政许可事项、颁发日期、有效期（如有）等；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（二）申请不符合法定条件、拟不予行政许可的，应出具不予行政许可决定书，并说明不予行政许可的理由，告知申请人享有依法申请行政复议的权利。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是否需要现场勘验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是否需要组织听证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是否需要招标、拍卖、挂牌交易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6.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是否需要检验、检测、检疫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7.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是否需要鉴定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8.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是否需要专家评审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9.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是否需要向社会公示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10.</w:t>
      </w:r>
      <w:r>
        <w:rPr>
          <w:rFonts w:ascii="Times New Roman" w:eastAsia="仿宋GB2312" w:hAnsi="Times New Roman"/>
          <w:b/>
          <w:bCs/>
          <w:sz w:val="28"/>
          <w:szCs w:val="28"/>
        </w:rPr>
        <w:t>是否实行告知承诺办理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审批机关是否委托服务机构开展技术性服务：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否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八、受理和审批时限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承诺受理时限：</w:t>
      </w:r>
      <w:r>
        <w:rPr>
          <w:rFonts w:ascii="仿宋_GB2312" w:eastAsia="仿宋_GB2312" w:hAnsi="方正仿宋_GBK" w:cs="方正仿宋_GBK"/>
          <w:sz w:val="28"/>
          <w:szCs w:val="28"/>
        </w:rPr>
        <w:t>5</w:t>
      </w:r>
      <w:r>
        <w:rPr>
          <w:rFonts w:ascii="仿宋_GB2312" w:eastAsia="仿宋_GB2312" w:hAnsi="方正仿宋_GBK" w:cs="方正仿宋_GBK"/>
          <w:sz w:val="28"/>
          <w:szCs w:val="28"/>
        </w:rPr>
        <w:t>个工作日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法定审批时限：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20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个工作日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规定法定审批时限依据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《国家外汇管理局行政许可实施办法》（国家外汇管理局公告</w:t>
      </w:r>
      <w:r>
        <w:rPr>
          <w:rFonts w:ascii="仿宋_GB2312" w:eastAsia="仿宋_GB2312" w:hAnsi="方正仿宋_GBK" w:cs="方正仿宋_GBK"/>
          <w:sz w:val="28"/>
          <w:szCs w:val="28"/>
        </w:rPr>
        <w:t>2021</w:t>
      </w:r>
      <w:r>
        <w:rPr>
          <w:rFonts w:ascii="仿宋_GB2312" w:eastAsia="仿宋_GB2312" w:hAnsi="方正仿宋_GBK" w:cs="方正仿宋_GBK"/>
          <w:sz w:val="28"/>
          <w:szCs w:val="28"/>
        </w:rPr>
        <w:t>年第</w:t>
      </w:r>
      <w:r>
        <w:rPr>
          <w:rFonts w:ascii="仿宋_GB2312" w:eastAsia="仿宋_GB2312" w:hAnsi="方正仿宋_GBK" w:cs="方正仿宋_GBK"/>
          <w:sz w:val="28"/>
          <w:szCs w:val="28"/>
        </w:rPr>
        <w:t>1</w:t>
      </w:r>
      <w:r>
        <w:rPr>
          <w:rFonts w:ascii="仿宋_GB2312" w:eastAsia="仿宋_GB2312" w:hAnsi="方正仿宋_GBK" w:cs="方正仿宋_GBK"/>
          <w:sz w:val="28"/>
          <w:szCs w:val="28"/>
        </w:rPr>
        <w:t>号）第十五条外汇局应根据以下要求确保行政许可依法按时完成：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（一）能当场作出决定的，应当场作出行政许可决定。当场作出行政许可决定的，可不出具行政许可受理通知书；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（二）不能当场作出决定的，应自受理之日起</w:t>
      </w:r>
      <w:r>
        <w:rPr>
          <w:rFonts w:ascii="仿宋_GB2312" w:eastAsia="仿宋_GB2312" w:hAnsi="方正仿宋_GBK" w:cs="方正仿宋_GBK"/>
          <w:sz w:val="28"/>
          <w:szCs w:val="28"/>
        </w:rPr>
        <w:t>20</w:t>
      </w:r>
      <w:r>
        <w:rPr>
          <w:rFonts w:ascii="仿宋_GB2312" w:eastAsia="仿宋_GB2312" w:hAnsi="方正仿宋_GBK" w:cs="方正仿宋_GBK"/>
          <w:sz w:val="28"/>
          <w:szCs w:val="28"/>
        </w:rPr>
        <w:t>个工作日内作出决定；</w:t>
      </w:r>
      <w:r>
        <w:rPr>
          <w:rFonts w:ascii="仿宋_GB2312" w:eastAsia="仿宋_GB2312" w:hAnsi="方正仿宋_GBK" w:cs="方正仿宋_GBK"/>
          <w:sz w:val="28"/>
          <w:szCs w:val="28"/>
        </w:rPr>
        <w:t>20</w:t>
      </w:r>
      <w:r>
        <w:rPr>
          <w:rFonts w:ascii="仿宋_GB2312" w:eastAsia="仿宋_GB2312" w:hAnsi="方正仿宋_GBK" w:cs="方正仿宋_GBK"/>
          <w:sz w:val="28"/>
          <w:szCs w:val="28"/>
        </w:rPr>
        <w:t>个工作日内不能作出决定的，经本级外汇局局长或者主管副局长批准，可延长</w:t>
      </w:r>
      <w:r>
        <w:rPr>
          <w:rFonts w:ascii="仿宋_GB2312" w:eastAsia="仿宋_GB2312" w:hAnsi="方正仿宋_GBK" w:cs="方正仿宋_GBK"/>
          <w:sz w:val="28"/>
          <w:szCs w:val="28"/>
        </w:rPr>
        <w:t>10</w:t>
      </w:r>
      <w:r>
        <w:rPr>
          <w:rFonts w:ascii="仿宋_GB2312" w:eastAsia="仿宋_GB2312" w:hAnsi="方正仿宋_GBK" w:cs="方正仿宋_GBK"/>
          <w:sz w:val="28"/>
          <w:szCs w:val="28"/>
        </w:rPr>
        <w:t>个工作日，并向申请人出具延长行政许可办理期限通知书，说明延长期限的理由。行政许可办理期限只能延长一次。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外汇局征求其他部门意见的时间计算在以上办理时限内；依法需要听证、检验、检测、鉴定、专家评审等的时间，不计算在上述办理时限内。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各级外汇局对行政许可办理时限具有对外承诺的，应按照其承诺的时限完成；对外承诺的时限应短于</w:t>
      </w:r>
      <w:r>
        <w:rPr>
          <w:rFonts w:ascii="仿宋_GB2312" w:eastAsia="仿宋_GB2312" w:hAnsi="方正仿宋_GBK" w:cs="方正仿宋_GBK"/>
          <w:sz w:val="28"/>
          <w:szCs w:val="28"/>
        </w:rPr>
        <w:t>20</w:t>
      </w:r>
      <w:r>
        <w:rPr>
          <w:rFonts w:ascii="仿宋_GB2312" w:eastAsia="仿宋_GB2312" w:hAnsi="方正仿宋_GBK" w:cs="方正仿宋_GBK"/>
          <w:sz w:val="28"/>
          <w:szCs w:val="28"/>
        </w:rPr>
        <w:t>个工作日。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承诺审批时限：</w:t>
      </w:r>
      <w:r>
        <w:rPr>
          <w:rFonts w:ascii="仿宋_GB2312" w:eastAsia="仿宋_GB2312" w:hAnsi="方正仿宋_GBK" w:cs="方正仿宋_GBK"/>
          <w:sz w:val="28"/>
          <w:szCs w:val="28"/>
        </w:rPr>
        <w:t>20</w:t>
      </w:r>
      <w:r>
        <w:rPr>
          <w:rFonts w:ascii="仿宋_GB2312" w:eastAsia="仿宋_GB2312" w:hAnsi="方正仿宋_GBK" w:cs="方正仿宋_GBK"/>
          <w:sz w:val="28"/>
          <w:szCs w:val="28"/>
        </w:rPr>
        <w:t>个工作日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九、收</w:t>
      </w:r>
      <w:r>
        <w:rPr>
          <w:rFonts w:ascii="Times New Roman" w:eastAsia="黑体" w:hAnsi="Times New Roman" w:hint="eastAsia"/>
          <w:sz w:val="28"/>
          <w:szCs w:val="28"/>
        </w:rPr>
        <w:t>费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办理行政许可是否收费：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方正仿宋_GBK" w:hAnsi="Times New Roman" w:cs="方正仿宋_GBK"/>
          <w:b/>
          <w:bCs/>
          <w:color w:val="FF0000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收费项目的名称、收费项目的标准、设定收费项目的依据、规定收费标准的依据：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十、行政许可证件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审批结果类型：</w:t>
      </w:r>
      <w:r>
        <w:rPr>
          <w:rFonts w:ascii="仿宋_GB2312" w:eastAsia="仿宋_GB2312" w:hAnsi="方正仿宋_GBK" w:cs="方正仿宋_GBK"/>
          <w:sz w:val="28"/>
          <w:szCs w:val="28"/>
        </w:rPr>
        <w:t>批文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审批结果名称：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《国家外汇管理局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____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分局（外汇管理部）银行合作办理人民币对外汇衍生品业务准予许可通知书》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审批结果的有效期限：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无期限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32"/>
          <w:szCs w:val="32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规定审批结果有效期限的依据：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是否需要办理审批结果变更手续：</w:t>
      </w:r>
      <w:r>
        <w:rPr>
          <w:rFonts w:ascii="仿宋_GB2312" w:eastAsia="仿宋_GB2312" w:hAnsi="方正仿宋_GBK" w:cs="方正仿宋_GBK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32"/>
          <w:szCs w:val="32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办理审批结果变更手续的要求：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是否需要办理审批结果延续手续：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32"/>
          <w:szCs w:val="32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8.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办理审批结果延续手续的要求：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9.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审批结果的有效地域范围：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全国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10.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规定审批结果有效地域范围的依据：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十一、行政许可数量限制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有无行政许可数量限制：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公布数量限制的方式：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公布数量限制的周期：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在数量限制条件下实施行政许可的方式：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jc w:val="left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规定在数量限制条件下实施行政许可方式的依据：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十二、行政许可后年检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有无年检要求：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设定年检要求的依据：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年检周期：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年检是否要求报送材料：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否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年检报送材料名称：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年检是否收费：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否</w:t>
      </w:r>
      <w:bookmarkStart w:id="0" w:name="_GoBack"/>
      <w:bookmarkEnd w:id="0"/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年检收费项目的名称、年检收费项目的标准、设定年检收费项目的依据、规定年检项目收费标准的依据：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8.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通过年检的证明或者标志：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十三、行政许可后年报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GB2312" w:hAnsi="Times New Roman"/>
          <w:b/>
          <w:bCs/>
          <w:sz w:val="28"/>
          <w:szCs w:val="28"/>
        </w:rPr>
        <w:t>有无年报要求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GB2312" w:hAnsi="Times New Roman"/>
          <w:b/>
          <w:bCs/>
          <w:sz w:val="28"/>
          <w:szCs w:val="28"/>
        </w:rPr>
        <w:t>年报报送材料名称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outlineLvl w:val="2"/>
        <w:rPr>
          <w:rFonts w:ascii="Times New Roman" w:eastAsia="方正仿宋_GBK" w:hAnsi="Times New Roman" w:cs="方正仿宋_GBK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GB2312" w:hAnsi="Times New Roman"/>
          <w:b/>
          <w:bCs/>
          <w:sz w:val="28"/>
          <w:szCs w:val="28"/>
        </w:rPr>
        <w:t>设定年报要求的依据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GB2312" w:hAnsi="Times New Roman"/>
          <w:b/>
          <w:bCs/>
          <w:sz w:val="28"/>
          <w:szCs w:val="28"/>
        </w:rPr>
        <w:t>年报周期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无</w:t>
      </w:r>
    </w:p>
    <w:p w:rsidR="005245B1" w:rsidRDefault="00CD1638">
      <w:pPr>
        <w:spacing w:line="56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十四、监管主体</w:t>
      </w:r>
    </w:p>
    <w:p w:rsidR="005245B1" w:rsidRDefault="00CD1638">
      <w:pPr>
        <w:spacing w:line="560" w:lineRule="exact"/>
        <w:ind w:firstLineChars="200" w:firstLine="560"/>
        <w:rPr>
          <w:rFonts w:ascii="仿宋_GB2312" w:eastAsia="仿宋_GB2312" w:hAnsi="方正仿宋_GBK" w:cs="方正仿宋_GBK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国家外汇管理局及其分局</w:t>
      </w:r>
    </w:p>
    <w:p w:rsidR="005245B1" w:rsidRDefault="00CD1638">
      <w:pPr>
        <w:spacing w:line="56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十五、业务办理信息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1.</w:t>
      </w:r>
      <w:r>
        <w:rPr>
          <w:rFonts w:ascii="仿宋_GB2312" w:eastAsia="仿宋_GB2312" w:hAnsi="仿宋_GB2312" w:cs="仿宋_GB2312"/>
          <w:b/>
          <w:sz w:val="28"/>
        </w:rPr>
        <w:t>可否网办：</w:t>
      </w:r>
      <w:r>
        <w:rPr>
          <w:rFonts w:ascii="仿宋_GB2312" w:eastAsia="仿宋_GB2312" w:hAnsi="仿宋_GB2312" w:cs="仿宋_GB2312"/>
          <w:sz w:val="28"/>
        </w:rPr>
        <w:t>是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2.</w:t>
      </w:r>
      <w:r>
        <w:rPr>
          <w:rFonts w:ascii="仿宋_GB2312" w:eastAsia="仿宋_GB2312" w:hAnsi="仿宋_GB2312" w:cs="仿宋_GB2312"/>
          <w:b/>
          <w:sz w:val="28"/>
        </w:rPr>
        <w:t>办理地点：</w:t>
      </w:r>
      <w:r>
        <w:rPr>
          <w:rFonts w:ascii="仿宋_GB2312" w:eastAsia="仿宋_GB2312" w:hAnsi="仿宋_GB2312" w:cs="仿宋_GB2312"/>
          <w:sz w:val="28"/>
        </w:rPr>
        <w:t>陕西省西安市雁塔区高新路</w:t>
      </w:r>
      <w:r>
        <w:rPr>
          <w:rFonts w:ascii="仿宋_GB2312" w:eastAsia="仿宋_GB2312" w:hAnsi="仿宋_GB2312" w:cs="仿宋_GB2312"/>
          <w:sz w:val="28"/>
        </w:rPr>
        <w:t>49</w:t>
      </w:r>
      <w:r>
        <w:rPr>
          <w:rFonts w:ascii="仿宋_GB2312" w:eastAsia="仿宋_GB2312" w:hAnsi="仿宋_GB2312" w:cs="仿宋_GB2312"/>
          <w:sz w:val="28"/>
        </w:rPr>
        <w:t>号国家外汇管理局陕西省分局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3.</w:t>
      </w:r>
      <w:r>
        <w:rPr>
          <w:rFonts w:ascii="仿宋_GB2312" w:eastAsia="仿宋_GB2312" w:hAnsi="仿宋_GB2312" w:cs="仿宋_GB2312"/>
          <w:b/>
          <w:sz w:val="28"/>
        </w:rPr>
        <w:t>办理时间：</w:t>
      </w:r>
      <w:r>
        <w:rPr>
          <w:rFonts w:ascii="仿宋_GB2312" w:eastAsia="仿宋_GB2312" w:hAnsi="仿宋_GB2312" w:cs="仿宋_GB2312"/>
          <w:sz w:val="28"/>
        </w:rPr>
        <w:t>周一至周五，上午</w:t>
      </w:r>
      <w:r>
        <w:rPr>
          <w:rFonts w:ascii="仿宋_GB2312" w:eastAsia="仿宋_GB2312" w:hAnsi="仿宋_GB2312" w:cs="仿宋_GB2312"/>
          <w:sz w:val="28"/>
        </w:rPr>
        <w:t>8:30-11:30</w:t>
      </w:r>
      <w:r>
        <w:rPr>
          <w:rFonts w:ascii="仿宋_GB2312" w:eastAsia="仿宋_GB2312" w:hAnsi="仿宋_GB2312" w:cs="仿宋_GB2312"/>
          <w:sz w:val="28"/>
        </w:rPr>
        <w:t>，下午</w:t>
      </w:r>
      <w:r>
        <w:rPr>
          <w:rFonts w:ascii="仿宋_GB2312" w:eastAsia="仿宋_GB2312" w:hAnsi="仿宋_GB2312" w:cs="仿宋_GB2312"/>
          <w:sz w:val="28"/>
        </w:rPr>
        <w:t>13:30-17:00</w:t>
      </w:r>
      <w:r>
        <w:rPr>
          <w:rFonts w:ascii="仿宋_GB2312" w:eastAsia="仿宋_GB2312" w:hAnsi="仿宋_GB2312" w:cs="仿宋_GB2312"/>
          <w:sz w:val="28"/>
        </w:rPr>
        <w:t>（节假日除外）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4.</w:t>
      </w:r>
      <w:r>
        <w:rPr>
          <w:rFonts w:ascii="仿宋_GB2312" w:eastAsia="仿宋_GB2312" w:hAnsi="仿宋_GB2312" w:cs="仿宋_GB2312"/>
          <w:b/>
          <w:sz w:val="28"/>
        </w:rPr>
        <w:t>咨询方式：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（</w:t>
      </w:r>
      <w:r>
        <w:rPr>
          <w:rFonts w:ascii="仿宋_GB2312" w:eastAsia="仿宋_GB2312" w:hAnsi="仿宋_GB2312" w:cs="仿宋_GB2312"/>
          <w:b/>
          <w:sz w:val="28"/>
        </w:rPr>
        <w:t>1</w:t>
      </w:r>
      <w:r>
        <w:rPr>
          <w:rFonts w:ascii="仿宋_GB2312" w:eastAsia="仿宋_GB2312" w:hAnsi="仿宋_GB2312" w:cs="仿宋_GB2312"/>
          <w:b/>
          <w:sz w:val="28"/>
        </w:rPr>
        <w:t>）咨询电话：</w:t>
      </w:r>
      <w:r>
        <w:rPr>
          <w:rFonts w:ascii="仿宋_GB2312" w:eastAsia="仿宋_GB2312" w:hAnsi="仿宋_GB2312" w:cs="仿宋_GB2312"/>
          <w:sz w:val="28"/>
        </w:rPr>
        <w:t>029-</w:t>
      </w:r>
      <w:r>
        <w:rPr>
          <w:rFonts w:ascii="仿宋_GB2312" w:eastAsia="仿宋_GB2312" w:hAnsi="仿宋_GB2312" w:cs="仿宋_GB2312" w:hint="eastAsia"/>
          <w:sz w:val="28"/>
        </w:rPr>
        <w:t>88345436</w:t>
      </w:r>
    </w:p>
    <w:p w:rsidR="005245B1" w:rsidRDefault="00CD1638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（</w:t>
      </w:r>
      <w:r>
        <w:rPr>
          <w:rFonts w:ascii="仿宋_GB2312" w:eastAsia="仿宋_GB2312" w:hAnsi="仿宋_GB2312" w:cs="仿宋_GB2312"/>
          <w:b/>
          <w:sz w:val="28"/>
        </w:rPr>
        <w:t>2</w:t>
      </w:r>
      <w:r>
        <w:rPr>
          <w:rFonts w:ascii="仿宋_GB2312" w:eastAsia="仿宋_GB2312" w:hAnsi="仿宋_GB2312" w:cs="仿宋_GB2312"/>
          <w:b/>
          <w:sz w:val="28"/>
        </w:rPr>
        <w:t>）咨询网址：</w:t>
      </w:r>
      <w:r>
        <w:rPr>
          <w:rFonts w:ascii="仿宋_GB2312" w:eastAsia="仿宋_GB2312" w:hAnsi="仿宋_GB2312" w:cs="仿宋_GB2312"/>
          <w:sz w:val="28"/>
        </w:rPr>
        <w:t>https://www.safe.gov.cn/shaanxi</w:t>
      </w:r>
      <w:r>
        <w:rPr>
          <w:rFonts w:ascii="仿宋_GB2312" w:eastAsia="仿宋_GB2312" w:hAnsi="仿宋_GB2312" w:cs="仿宋_GB2312"/>
          <w:sz w:val="28"/>
        </w:rPr>
        <w:t>（业务咨询）</w:t>
      </w:r>
    </w:p>
    <w:p w:rsidR="005245B1" w:rsidRDefault="005245B1">
      <w:pPr>
        <w:spacing w:line="560" w:lineRule="exact"/>
        <w:ind w:firstLineChars="200" w:firstLine="560"/>
        <w:rPr>
          <w:rFonts w:ascii="Times New Roman" w:eastAsia="方正仿宋_GBK" w:hAnsi="Times New Roman" w:cs="方正仿宋_GBK"/>
          <w:sz w:val="28"/>
          <w:szCs w:val="28"/>
        </w:rPr>
      </w:pPr>
    </w:p>
    <w:p w:rsidR="005245B1" w:rsidRDefault="005245B1">
      <w:pPr>
        <w:spacing w:line="560" w:lineRule="exact"/>
        <w:rPr>
          <w:rFonts w:ascii="Times New Roman" w:hAnsi="Times New Roman"/>
        </w:rPr>
      </w:pPr>
    </w:p>
    <w:sectPr w:rsidR="0052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9B7"/>
    <w:rsid w:val="00045A19"/>
    <w:rsid w:val="000E2A3F"/>
    <w:rsid w:val="003050CA"/>
    <w:rsid w:val="00371F96"/>
    <w:rsid w:val="00393E5B"/>
    <w:rsid w:val="00521213"/>
    <w:rsid w:val="005245B1"/>
    <w:rsid w:val="00734250"/>
    <w:rsid w:val="00907B98"/>
    <w:rsid w:val="00963C07"/>
    <w:rsid w:val="009676E1"/>
    <w:rsid w:val="00A04A81"/>
    <w:rsid w:val="00BC49B7"/>
    <w:rsid w:val="00BF76DE"/>
    <w:rsid w:val="00CD1638"/>
    <w:rsid w:val="00CE5A9C"/>
    <w:rsid w:val="00DD7D2E"/>
    <w:rsid w:val="00F27A66"/>
    <w:rsid w:val="00FA503F"/>
    <w:rsid w:val="034D023E"/>
    <w:rsid w:val="790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0ACF3-017E-48AA-8270-670BD47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6"/>
    <w:uiPriority w:val="99"/>
    <w:semiHidden/>
    <w:rPr>
      <w:rFonts w:ascii="Calibri" w:eastAsia="宋体" w:hAnsi="Calibri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589</Words>
  <Characters>3362</Characters>
  <Application>Microsoft Office Word</Application>
  <DocSecurity>0</DocSecurity>
  <Lines>28</Lines>
  <Paragraphs>7</Paragraphs>
  <ScaleCrop>false</ScaleCrop>
  <Company>Lenovo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郭一霖</cp:lastModifiedBy>
  <cp:revision>9</cp:revision>
  <dcterms:created xsi:type="dcterms:W3CDTF">2023-12-22T07:48:00Z</dcterms:created>
  <dcterms:modified xsi:type="dcterms:W3CDTF">2024-07-23T02:13:00Z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