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非银行金融机构（不含保险公司）外汇业务备案管理</w:t>
      </w:r>
      <w:r>
        <w:rPr>
          <w:rFonts w:ascii="Times New Roman" w:hAnsi="Times New Roman" w:eastAsia="黑体" w:cs="Times New Roman"/>
          <w:sz w:val="52"/>
          <w:szCs w:val="52"/>
        </w:rPr>
        <w:t>”行政审批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pacing w:line="360" w:lineRule="auto"/>
        <w:jc w:val="left"/>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四、非银行金融机构（不含保险公司）外汇业务备案管理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w:t>
      </w:r>
      <w:r>
        <w:rPr>
          <w:rFonts w:hint="eastAsia"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（1）境内依法成立的证券公司等非银行金融机构；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（2）行业监管机构许可其开展外汇业务。</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（1）具备完善的外汇业务内控制度和业务管理制度；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（2）具备必要的经营外汇业务场所和设施；</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（3）有真实的外汇业务需求和计划。</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ascii="Times New Roman" w:hAnsi="Times New Roman" w:cs="Times New Roman"/>
        </w:rPr>
        <w:t xml:space="preserve"> </w:t>
      </w:r>
      <w:r>
        <w:rPr>
          <w:rFonts w:ascii="Times New Roman" w:hAnsi="Times New Roman" w:eastAsia="黑体" w:cs="Times New Roman"/>
          <w:sz w:val="30"/>
          <w:szCs w:val="30"/>
        </w:rPr>
        <w:t>理财子公司开展境内外币理财业务备案申请材料</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银保监会对理财子公司开展外汇业务的核准文件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银行业理财登记托管中心出具的“理财产品登记通知书”（同一产品系列提供一份登记通知书即可）</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ascii="Times New Roman" w:hAnsi="Times New Roman" w:cs="Times New Roman"/>
        </w:rPr>
        <w:t xml:space="preserve"> </w:t>
      </w:r>
      <w:r>
        <w:rPr>
          <w:rFonts w:ascii="Times New Roman" w:hAnsi="Times New Roman" w:eastAsia="黑体" w:cs="Times New Roman"/>
          <w:sz w:val="30"/>
          <w:szCs w:val="30"/>
        </w:rPr>
        <w:t>其他非银行金融机构外汇业务备案申请材料</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监管机构关于开展该项业务的无异议函（如有）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3.不予受理的，出具不予受理通知书； </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r>
        <w:rPr>
          <w:rFonts w:hint="eastAsia" w:ascii="Times New Roman" w:hAnsi="Times New Roman" w:eastAsia="仿宋_GB2312" w:cs="Times New Roman"/>
          <w:color w:val="auto"/>
          <w:sz w:val="30"/>
          <w:szCs w:val="30"/>
        </w:rPr>
        <w:t>分行</w:t>
      </w:r>
      <w:bookmarkStart w:id="9" w:name="_GoBack"/>
      <w:bookmarkEnd w:id="9"/>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bookmarkStart w:id="0" w:name="_Toc20679"/>
      <w:bookmarkStart w:id="1" w:name="_Toc420333818"/>
      <w:bookmarkStart w:id="2" w:name="_Toc428779978"/>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6" o:spid="_x0000_s1026" style="position:absolute;left:0;margin-left:-24.75pt;margin-top:11.85pt;height:586.05pt;width:453.55pt;rotation:0f;z-index:251658240;" coordorigin="-150,0" coordsize="9071,11721">
            <o:lock v:ext="edit" position="f" selection="f" grouping="f" rotation="f" cropping="f" text="f" aspectratio="f"/>
            <v:rect id="Rectangle 40"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1"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42"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43"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4"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5"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6"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47"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48" o:spid="_x0000_s1035" style="position:absolute;left:-150;top:0;height:7693;width:9071;rotation:0f;" coordorigin="-150,0" coordsize="9071,7693">
              <o:lock v:ext="edit" position="f" selection="f" grouping="f" rotation="f" cropping="f" text="f" aspectratio="f"/>
              <v:shape id="AutoShape 49"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50" o:spid="_x0000_s1037" style="position:absolute;left:-150;top:0;height:7693;width:9071;rotation:0f;" coordorigin="-150,0" coordsize="9071,7693">
                <o:lock v:ext="edit" position="f" selection="f" grouping="f" rotation="f" cropping="f" text="f" aspectratio="f"/>
                <v:shape id="AutoShape 51"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52"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53"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54"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55"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rect id="Rectangle 56"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57"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58" o:spid="_x0000_s1045" type="#_x0000_t116" style="position:absolute;left:4626;top:1187;height:1588;width:293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59" o:spid="_x0000_s1046" style="position:absolute;left:-150;top:0;height:7424;width:4744;rotation:0f;" coordorigin="-150,0" coordsize="4744,7424">
                  <o:lock v:ext="edit" position="f" selection="f" grouping="f" rotation="f" cropping="f" text="f" aspectratio="f"/>
                  <v:shape id="AutoShape 60"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1"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2" o:spid="_x0000_s1049" style="position:absolute;left:-150;top:0;height:4095;width:3813;rotation:0f;" coordorigin="-150,0" coordsize="3813,4095">
                    <o:lock v:ext="edit" position="f" selection="f" grouping="f" rotation="f" cropping="f" text="f" aspectratio="f"/>
                    <v:shape id="AutoShape 63"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4" o:spid="_x0000_s1051" type="#_x0000_t32" style="position:absolute;left:2629;top:3012;height:0;width:103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5" o:spid="_x0000_s1052" type="#_x0000_t4" style="position:absolute;left:-150;top:1936;height:2159;width:292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66"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67"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9"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0"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2" o:spid="_x0000_s1059" type="#_x0000_t32" style="position:absolute;left:7620;top:1886;flip:x;height:19;width:130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3" w:name="_Toc495992549"/>
      <w:bookmarkStart w:id="4" w:name="_Toc485285487"/>
      <w:bookmarkStart w:id="5" w:name="_Toc492328432"/>
      <w:bookmarkStart w:id="6" w:name="_Toc487492190"/>
      <w:bookmarkStart w:id="7" w:name="_Toc6367"/>
      <w:r>
        <w:rPr>
          <w:rFonts w:ascii="Times New Roman" w:hAnsi="黑体" w:eastAsia="黑体" w:cs="Times New Roman"/>
          <w:sz w:val="30"/>
          <w:szCs w:val="30"/>
        </w:rPr>
        <w:t>境内非银行金融机构外汇业务备案表</w:t>
      </w:r>
      <w:bookmarkEnd w:id="3"/>
      <w:bookmarkEnd w:id="4"/>
      <w:bookmarkEnd w:id="5"/>
      <w:bookmarkEnd w:id="6"/>
      <w:bookmarkEnd w:id="7"/>
      <w:r>
        <w:rPr>
          <w:rFonts w:ascii="Times New Roman" w:hAnsi="黑体" w:eastAsia="黑体" w:cs="Times New Roman"/>
          <w:sz w:val="30"/>
          <w:szCs w:val="30"/>
        </w:rPr>
        <w:t>（示范文本）</w:t>
      </w:r>
    </w:p>
    <w:p>
      <w:pPr>
        <w:spacing w:line="320" w:lineRule="exact"/>
        <w:rPr>
          <w:rFonts w:ascii="Times New Roman" w:hAnsi="Times New Roman" w:cs="Times New Roman"/>
          <w:b/>
          <w:bCs/>
          <w:sz w:val="30"/>
          <w:szCs w:val="30"/>
        </w:rPr>
      </w:pPr>
      <w:r>
        <w:rPr>
          <w:rFonts w:ascii="Times New Roman" w:hAnsi="宋体" w:cs="Times New Roman"/>
          <w:sz w:val="24"/>
        </w:rPr>
        <w:t>备案日期：</w:t>
      </w:r>
      <w:r>
        <w:rPr>
          <w:rFonts w:ascii="Times New Roman" w:hAnsi="Times New Roman" w:cs="Times New Roman"/>
          <w:sz w:val="24"/>
        </w:rPr>
        <w:t xml:space="preserve">    </w:t>
      </w:r>
      <w:r>
        <w:rPr>
          <w:rFonts w:ascii="Times New Roman" w:hAnsi="宋体" w:cs="Times New Roman"/>
          <w:sz w:val="24"/>
        </w:rPr>
        <w:t>年</w:t>
      </w:r>
      <w:r>
        <w:rPr>
          <w:rFonts w:ascii="Times New Roman" w:hAnsi="Times New Roman" w:cs="Times New Roman"/>
          <w:sz w:val="24"/>
        </w:rPr>
        <w:t xml:space="preserve">   </w:t>
      </w:r>
      <w:r>
        <w:rPr>
          <w:rFonts w:ascii="Times New Roman" w:hAnsi="宋体" w:cs="Times New Roman"/>
          <w:sz w:val="24"/>
        </w:rPr>
        <w:t>月</w:t>
      </w:r>
      <w:r>
        <w:rPr>
          <w:rFonts w:ascii="Times New Roman" w:hAnsi="Times New Roman" w:cs="Times New Roman"/>
          <w:sz w:val="24"/>
        </w:rPr>
        <w:t xml:space="preserve">   </w:t>
      </w:r>
      <w:r>
        <w:rPr>
          <w:rFonts w:ascii="Times New Roman" w:hAnsi="宋体" w:cs="Times New Roman"/>
          <w:sz w:val="24"/>
        </w:rPr>
        <w:t>日</w:t>
      </w:r>
      <w:r>
        <w:rPr>
          <w:rFonts w:ascii="Times New Roman" w:hAnsi="Times New Roman" w:cs="Times New Roman"/>
          <w:sz w:val="24"/>
        </w:rPr>
        <w:t xml:space="preserve">              </w:t>
      </w:r>
      <w:r>
        <w:rPr>
          <w:rFonts w:ascii="Times New Roman" w:hAnsi="宋体" w:cs="Times New Roman"/>
          <w:sz w:val="24"/>
        </w:rPr>
        <w:t>编号（外汇局填写）：</w:t>
      </w:r>
    </w:p>
    <w:tbl>
      <w:tblPr>
        <w:tblStyle w:val="17"/>
        <w:tblW w:w="9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sz w:val="24"/>
              </w:rPr>
            </w:pPr>
            <w:r>
              <w:rPr>
                <w:rFonts w:ascii="Times New Roman" w:hAnsi="宋体" w:cs="Times New Roman"/>
                <w:b/>
                <w:sz w:val="24"/>
              </w:rPr>
              <w:t>第一联</w:t>
            </w:r>
          </w:p>
          <w:p>
            <w:pPr>
              <w:spacing w:line="320" w:lineRule="exact"/>
              <w:jc w:val="center"/>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通讯地址</w:t>
            </w:r>
          </w:p>
          <w:p>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主要经营</w:t>
            </w:r>
          </w:p>
          <w:p>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sz w:val="24"/>
              </w:rPr>
            </w:pPr>
          </w:p>
          <w:p>
            <w:pPr>
              <w:spacing w:line="280" w:lineRule="exact"/>
              <w:ind w:firstLine="482" w:firstLineChars="200"/>
              <w:jc w:val="center"/>
              <w:rPr>
                <w:rFonts w:ascii="Times New Roman" w:hAnsi="Times New Roman" w:cs="Times New Roman"/>
                <w:b/>
                <w:sz w:val="24"/>
              </w:rPr>
            </w:pPr>
          </w:p>
          <w:p>
            <w:pPr>
              <w:spacing w:line="280" w:lineRule="exact"/>
              <w:jc w:val="center"/>
              <w:rPr>
                <w:rFonts w:ascii="Times New Roman" w:hAnsi="Times New Roman" w:cs="Times New Roman"/>
                <w:b/>
                <w:sz w:val="24"/>
              </w:rPr>
            </w:pPr>
            <w:r>
              <w:rPr>
                <w:rFonts w:ascii="Times New Roman" w:hAnsi="宋体" w:cs="Times New Roman"/>
                <w:b/>
                <w:sz w:val="24"/>
              </w:rPr>
              <w:t>机构名称（盖章）：</w:t>
            </w:r>
          </w:p>
          <w:p>
            <w:pPr>
              <w:spacing w:line="280" w:lineRule="exact"/>
              <w:jc w:val="center"/>
              <w:rPr>
                <w:rFonts w:ascii="Times New Roman" w:hAnsi="Times New Roman" w:cs="Times New Roman"/>
              </w:rPr>
            </w:pPr>
            <w:r>
              <w:rPr>
                <w:rFonts w:ascii="Times New Roman" w:hAnsi="宋体" w:cs="Times New Roman"/>
                <w:b/>
                <w:sz w:val="24"/>
              </w:rPr>
              <w:t>年</w:t>
            </w:r>
            <w:r>
              <w:rPr>
                <w:rFonts w:ascii="Times New Roman" w:hAnsi="Times New Roman" w:cs="Times New Roman"/>
                <w:b/>
                <w:sz w:val="24"/>
              </w:rPr>
              <w:t xml:space="preserve">   </w:t>
            </w:r>
            <w:r>
              <w:rPr>
                <w:rFonts w:ascii="Times New Roman" w:hAnsi="宋体" w:cs="Times New Roman"/>
                <w:b/>
                <w:sz w:val="24"/>
              </w:rPr>
              <w:t>月</w:t>
            </w:r>
            <w:r>
              <w:rPr>
                <w:rFonts w:ascii="Times New Roman" w:hAnsi="Times New Roman" w:cs="Times New Roman"/>
                <w:b/>
                <w:sz w:val="24"/>
              </w:rPr>
              <w:t xml:space="preserve">   </w:t>
            </w:r>
            <w:r>
              <w:rPr>
                <w:rFonts w:ascii="Times New Roman" w:hAnsi="宋体" w:cs="Times New Roman"/>
                <w:b/>
                <w:sz w:val="24"/>
              </w:rPr>
              <w:t>日</w:t>
            </w:r>
          </w:p>
        </w:tc>
        <w:tc>
          <w:tcPr>
            <w:tcW w:w="457" w:type="dxa"/>
            <w:vMerge w:val="continue"/>
            <w:tcBorders>
              <w:top w:val="nil"/>
              <w:left w:val="single" w:color="000000" w:sz="4" w:space="0"/>
              <w:bottom w:val="nil"/>
              <w:right w:val="nil"/>
            </w:tcBorders>
            <w:vAlign w:val="top"/>
          </w:tcPr>
          <w:p>
            <w:pPr>
              <w:spacing w:line="320" w:lineRule="exact"/>
              <w:ind w:firstLine="482" w:firstLineChars="200"/>
              <w:rPr>
                <w:rFonts w:ascii="Times New Roman" w:hAnsi="Times New Roman" w:cs="Times New Roman"/>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经办人：</w:t>
            </w: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bl>
    <w:p>
      <w:pPr>
        <w:spacing w:line="320" w:lineRule="exact"/>
        <w:rPr>
          <w:rFonts w:ascii="Times New Roman" w:hAnsi="Times New Roman" w:cs="Times New Roman"/>
          <w:b/>
        </w:rPr>
      </w:pPr>
      <w:r>
        <w:rPr>
          <w:rFonts w:ascii="Times New Roman" w:hAnsi="宋体" w:cs="Times New Roman"/>
          <w:b/>
        </w:rPr>
        <w:t>填表说明：</w:t>
      </w:r>
    </w:p>
    <w:p>
      <w:pPr>
        <w:spacing w:line="320" w:lineRule="exact"/>
        <w:ind w:firstLine="420" w:firstLineChars="20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bookmarkEnd w:id="0"/>
    <w:bookmarkEnd w:id="1"/>
    <w:bookmarkEnd w:id="2"/>
    <w:p>
      <w:pPr>
        <w:widowControl/>
        <w:spacing w:line="384" w:lineRule="auto"/>
        <w:jc w:val="left"/>
        <w:rPr>
          <w:rFonts w:ascii="Times New Roman" w:hAnsi="Times New Roman" w:eastAsia="仿宋_GB2312" w:cs="Times New Roman"/>
          <w:kern w:val="0"/>
          <w:sz w:val="30"/>
          <w:szCs w:val="30"/>
        </w:rPr>
      </w:pPr>
      <w:bookmarkStart w:id="8" w:name="_Toc428779979"/>
      <w:r>
        <w:rPr>
          <w:rFonts w:ascii="Times New Roman" w:hAnsi="Times New Roman" w:eastAsia="仿宋_GB2312" w:cs="Times New Roman"/>
          <w:kern w:val="0"/>
          <w:sz w:val="30"/>
          <w:szCs w:val="30"/>
        </w:rPr>
        <w:t>附录三</w:t>
      </w:r>
    </w:p>
    <w:bookmarkEnd w:id="8"/>
    <w:p>
      <w:pPr>
        <w:jc w:val="center"/>
        <w:rPr>
          <w:rFonts w:ascii="Times New Roman" w:hAnsi="Times New Roman" w:eastAsia="黑体" w:cs="Times New Roman"/>
          <w:sz w:val="30"/>
          <w:szCs w:val="30"/>
        </w:rPr>
      </w:pPr>
      <w:r>
        <w:rPr>
          <w:rFonts w:ascii="Times New Roman" w:hAnsi="黑体" w:eastAsia="黑体" w:cs="Times New Roman"/>
          <w:sz w:val="30"/>
          <w:szCs w:val="30"/>
        </w:rPr>
        <w:t>境内非银行金融机构外汇业务备案表（错误示例）</w:t>
      </w:r>
    </w:p>
    <w:p>
      <w:pPr>
        <w:spacing w:line="320" w:lineRule="exact"/>
        <w:rPr>
          <w:rFonts w:ascii="Times New Roman" w:hAnsi="Times New Roman" w:eastAsia="仿宋_GB2312" w:cs="Times New Roman"/>
          <w:sz w:val="30"/>
          <w:szCs w:val="30"/>
        </w:rPr>
      </w:pPr>
      <w:r>
        <w:rPr>
          <w:rFonts w:ascii="Times New Roman" w:hAnsi="Times New Roman" w:eastAsia="华文仿宋" w:cs="Times New Roman"/>
          <w:sz w:val="24"/>
        </w:rPr>
        <w:t>备案日期：  年  月  日                   编号（外汇局填写）：</w:t>
      </w:r>
    </w:p>
    <w:tbl>
      <w:tblPr>
        <w:tblStyle w:val="17"/>
        <w:tblW w:w="9356"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7"/>
        <w:gridCol w:w="7622"/>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第二联</w:t>
            </w:r>
          </w:p>
          <w:p>
            <w:pPr>
              <w:spacing w:line="320" w:lineRule="exact"/>
              <w:jc w:val="center"/>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sz w:val="24"/>
              </w:rPr>
            </w:pPr>
            <w:r>
              <w:rPr>
                <w:rFonts w:ascii="Times New Roman" w:hAnsi="Times New Roman" w:eastAsia="华文仿宋" w:cs="Times New Roman"/>
                <w:b/>
                <w:sz w:val="24"/>
              </w:rPr>
              <w:t>退备案机构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□证券公司  □基金管理公司  □期货公司     □企业集团财务公司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□其它机构（请说明：）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椭圆 105" o:spid="_x0000_s1060" type="#_x0000_t3" style="position:absolute;left:0;margin-left:-17.95pt;margin-top:-1.4pt;height:38.35pt;width:91.65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华文仿宋" w:cs="Times New Roman"/>
                <w:b/>
                <w:sz w:val="24"/>
              </w:rPr>
              <w:t>主要经营</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直接箭头连接符 104" o:spid="_x0000_s1061" type="#_x0000_t32" style="position:absolute;left:0;flip:x;margin-left:-17.95pt;margin-top:14.25pt;height:36.5pt;width:10.8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华文仿宋" w:cs="Times New Roman"/>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FF0000"/>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rPr>
            </w:pPr>
            <w:r>
              <w:rPr>
                <w:rFonts w:ascii="Times New Roman" w:hAnsi="Times New Roman" w:eastAsia="华文仿宋" w:cs="Times New Roman"/>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rPr>
            </w:pPr>
            <w:r>
              <w:rPr>
                <w:rFonts w:ascii="Times New Roman" w:hAnsi="Times New Roman" w:eastAsia="华文仿宋" w:cs="Times New Roman"/>
                <w:sz w:val="24"/>
              </w:rPr>
              <w:t xml:space="preserve">    □初始备案   □变更备案   □注销（停办）备案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rect id="矩形 103" o:spid="_x0000_s1062" style="position:absolute;left:0;margin-left:-57.5pt;margin-top:-60.3pt;height:69.2pt;width:50.6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color w:val="FF0000"/>
                            <w:sz w:val="15"/>
                          </w:rPr>
                        </w:pPr>
                        <w:r>
                          <w:rPr>
                            <w:rFonts w:hint="eastAsia" w:ascii="Times New Roman" w:hAnsi="Times New Roman" w:eastAsia="仿宋_GB2312" w:cs="Times New Roman"/>
                            <w:color w:val="FF0000"/>
                            <w:szCs w:val="30"/>
                          </w:rPr>
                          <w:t>申请材料未明确业务范围</w:t>
                        </w:r>
                      </w:p>
                    </w:txbxContent>
                  </v:textbox>
                </v:rect>
              </w:pict>
            </w:r>
            <w:r>
              <w:rPr>
                <w:rFonts w:ascii="Times New Roman" w:hAnsi="Times New Roman" w:eastAsia="华文仿宋" w:cs="Times New Roman"/>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□B股经纪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□跨境期货及衍生产品经纪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□跨境证券承销业务</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□对外证券及衍生品投资</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□境外基金或产品销售</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□跨境并购</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□跨境信托</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□跨境结构性产品</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□跨境证券投资咨询</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□外汇存款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□外汇贷款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□外汇同业拆借</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□境内外币证券承销</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□境内外汇信托/集合计划</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□境内外汇资产管理</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□境内外汇买卖</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外汇局审核意见</w:t>
            </w:r>
          </w:p>
          <w:p>
            <w:pPr>
              <w:spacing w:line="320" w:lineRule="exact"/>
              <w:jc w:val="center"/>
              <w:rPr>
                <w:rFonts w:ascii="Times New Roman" w:hAnsi="Times New Roman" w:eastAsia="华文仿宋" w:cs="Times New Roman"/>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经审核，同意公司业务予以备案。</w:t>
            </w:r>
          </w:p>
          <w:p>
            <w:pPr>
              <w:spacing w:line="320" w:lineRule="exact"/>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（资本项目外汇业务专用章）</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年  月  日</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bl>
    <w:p>
      <w:pPr>
        <w:spacing w:line="320" w:lineRule="exact"/>
        <w:rPr>
          <w:rFonts w:ascii="Times New Roman" w:hAnsi="Times New Roman" w:eastAsia="华文仿宋" w:cs="Times New Roman"/>
          <w:b/>
        </w:rPr>
      </w:pPr>
      <w:r>
        <w:rPr>
          <w:rFonts w:ascii="Times New Roman" w:hAnsi="Times New Roman" w:eastAsia="华文仿宋" w:cs="Times New Roman"/>
          <w:b/>
        </w:rPr>
        <w:t>填表说明：</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附录四    </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2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问：非银行金融机构外汇业务备案管理应注意哪些事项？</w:t>
      </w:r>
    </w:p>
    <w:p>
      <w:pPr>
        <w:pStyle w:val="2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答：非银行金融机构经监管机构或其授权的行业管理组织许可或同意或认定相关资质的，应在开展相关外汇业务前30日内到所在地外汇局办理开展外汇业务备案登记。</w:t>
      </w:r>
    </w:p>
    <w:p>
      <w:pPr>
        <w:pStyle w:val="24"/>
        <w:adjustRightInd w:val="0"/>
        <w:snapToGrid w:val="0"/>
        <w:spacing w:line="360" w:lineRule="auto"/>
        <w:ind w:firstLine="600"/>
        <w:rPr>
          <w:rFonts w:ascii="Times New Roman" w:hAnsi="Times New Roman"/>
        </w:rPr>
      </w:pPr>
      <w:r>
        <w:rPr>
          <w:rFonts w:ascii="Times New Roman" w:hAnsi="Times New Roman" w:eastAsia="仿宋_GB2312"/>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10</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7D85"/>
    <w:rsid w:val="00022191"/>
    <w:rsid w:val="00023783"/>
    <w:rsid w:val="00023FC3"/>
    <w:rsid w:val="00041960"/>
    <w:rsid w:val="00042B58"/>
    <w:rsid w:val="00054B00"/>
    <w:rsid w:val="00055270"/>
    <w:rsid w:val="00057F76"/>
    <w:rsid w:val="0006560A"/>
    <w:rsid w:val="00072F8A"/>
    <w:rsid w:val="000750C8"/>
    <w:rsid w:val="00080630"/>
    <w:rsid w:val="00091661"/>
    <w:rsid w:val="00092D53"/>
    <w:rsid w:val="00096833"/>
    <w:rsid w:val="00096CBB"/>
    <w:rsid w:val="00097F7B"/>
    <w:rsid w:val="000B1ACE"/>
    <w:rsid w:val="000B6901"/>
    <w:rsid w:val="000B728B"/>
    <w:rsid w:val="000C15B3"/>
    <w:rsid w:val="000C2B33"/>
    <w:rsid w:val="000C3109"/>
    <w:rsid w:val="000D1995"/>
    <w:rsid w:val="000D7478"/>
    <w:rsid w:val="0012271F"/>
    <w:rsid w:val="00130519"/>
    <w:rsid w:val="00135BEE"/>
    <w:rsid w:val="00141265"/>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E7CB7"/>
    <w:rsid w:val="001F4BD4"/>
    <w:rsid w:val="001F7297"/>
    <w:rsid w:val="00205D07"/>
    <w:rsid w:val="00212F39"/>
    <w:rsid w:val="00217116"/>
    <w:rsid w:val="00231EED"/>
    <w:rsid w:val="00233841"/>
    <w:rsid w:val="00235F24"/>
    <w:rsid w:val="002417D2"/>
    <w:rsid w:val="00241FE8"/>
    <w:rsid w:val="0024527E"/>
    <w:rsid w:val="00253F7B"/>
    <w:rsid w:val="00260244"/>
    <w:rsid w:val="00263773"/>
    <w:rsid w:val="00263B1F"/>
    <w:rsid w:val="00291C17"/>
    <w:rsid w:val="0029313A"/>
    <w:rsid w:val="002B0B1C"/>
    <w:rsid w:val="002B598D"/>
    <w:rsid w:val="002B61C1"/>
    <w:rsid w:val="002C6BC7"/>
    <w:rsid w:val="002D0193"/>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40A1F"/>
    <w:rsid w:val="00443603"/>
    <w:rsid w:val="00443604"/>
    <w:rsid w:val="004501EA"/>
    <w:rsid w:val="00460458"/>
    <w:rsid w:val="0046792D"/>
    <w:rsid w:val="0047659F"/>
    <w:rsid w:val="004767DF"/>
    <w:rsid w:val="004928D4"/>
    <w:rsid w:val="00493CCC"/>
    <w:rsid w:val="004A0218"/>
    <w:rsid w:val="004A7840"/>
    <w:rsid w:val="004B545A"/>
    <w:rsid w:val="004B7E80"/>
    <w:rsid w:val="004C457E"/>
    <w:rsid w:val="004C48D5"/>
    <w:rsid w:val="004D03B7"/>
    <w:rsid w:val="004D1436"/>
    <w:rsid w:val="004D57AE"/>
    <w:rsid w:val="004E0A65"/>
    <w:rsid w:val="004F07E8"/>
    <w:rsid w:val="005056D4"/>
    <w:rsid w:val="005260DD"/>
    <w:rsid w:val="00526B2B"/>
    <w:rsid w:val="005362B0"/>
    <w:rsid w:val="00542447"/>
    <w:rsid w:val="00543043"/>
    <w:rsid w:val="0054605C"/>
    <w:rsid w:val="00563796"/>
    <w:rsid w:val="00564312"/>
    <w:rsid w:val="00593D15"/>
    <w:rsid w:val="005A2981"/>
    <w:rsid w:val="005C6937"/>
    <w:rsid w:val="005C7F02"/>
    <w:rsid w:val="005F0A86"/>
    <w:rsid w:val="005F144A"/>
    <w:rsid w:val="005F1C00"/>
    <w:rsid w:val="0061621E"/>
    <w:rsid w:val="0062366A"/>
    <w:rsid w:val="00630AA8"/>
    <w:rsid w:val="00630B2E"/>
    <w:rsid w:val="00643D2A"/>
    <w:rsid w:val="00664E11"/>
    <w:rsid w:val="00673B30"/>
    <w:rsid w:val="00696E5D"/>
    <w:rsid w:val="006B5B86"/>
    <w:rsid w:val="006C3F52"/>
    <w:rsid w:val="006C5908"/>
    <w:rsid w:val="006C633E"/>
    <w:rsid w:val="006D56AB"/>
    <w:rsid w:val="006D734F"/>
    <w:rsid w:val="006E043F"/>
    <w:rsid w:val="006E4695"/>
    <w:rsid w:val="006E4B8B"/>
    <w:rsid w:val="006E5901"/>
    <w:rsid w:val="006F2455"/>
    <w:rsid w:val="006F60F2"/>
    <w:rsid w:val="006F621C"/>
    <w:rsid w:val="0071091C"/>
    <w:rsid w:val="00714961"/>
    <w:rsid w:val="0073618D"/>
    <w:rsid w:val="00743ACD"/>
    <w:rsid w:val="00744BD5"/>
    <w:rsid w:val="00745748"/>
    <w:rsid w:val="00750E36"/>
    <w:rsid w:val="00753CB0"/>
    <w:rsid w:val="00755460"/>
    <w:rsid w:val="00761FB7"/>
    <w:rsid w:val="00762107"/>
    <w:rsid w:val="00764CB9"/>
    <w:rsid w:val="00765B05"/>
    <w:rsid w:val="0077269F"/>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6FB8"/>
    <w:rsid w:val="009C4672"/>
    <w:rsid w:val="009C491B"/>
    <w:rsid w:val="009C4BD4"/>
    <w:rsid w:val="009D0911"/>
    <w:rsid w:val="009D24F8"/>
    <w:rsid w:val="009D688C"/>
    <w:rsid w:val="009F0611"/>
    <w:rsid w:val="009F1CE6"/>
    <w:rsid w:val="009F276E"/>
    <w:rsid w:val="009F7A36"/>
    <w:rsid w:val="00A249C2"/>
    <w:rsid w:val="00A24FAB"/>
    <w:rsid w:val="00A301E7"/>
    <w:rsid w:val="00A31525"/>
    <w:rsid w:val="00A42E69"/>
    <w:rsid w:val="00A4499B"/>
    <w:rsid w:val="00A456B8"/>
    <w:rsid w:val="00A45CA7"/>
    <w:rsid w:val="00A51415"/>
    <w:rsid w:val="00A6014E"/>
    <w:rsid w:val="00A60356"/>
    <w:rsid w:val="00A61A9C"/>
    <w:rsid w:val="00A66F2C"/>
    <w:rsid w:val="00A73838"/>
    <w:rsid w:val="00A81DF1"/>
    <w:rsid w:val="00A90EF3"/>
    <w:rsid w:val="00AA7717"/>
    <w:rsid w:val="00AB131E"/>
    <w:rsid w:val="00AB644F"/>
    <w:rsid w:val="00AC3F5E"/>
    <w:rsid w:val="00AE7ACF"/>
    <w:rsid w:val="00B06409"/>
    <w:rsid w:val="00B17D66"/>
    <w:rsid w:val="00B31FD9"/>
    <w:rsid w:val="00B35D3A"/>
    <w:rsid w:val="00B422F1"/>
    <w:rsid w:val="00B71531"/>
    <w:rsid w:val="00B716CB"/>
    <w:rsid w:val="00B71F89"/>
    <w:rsid w:val="00B7456C"/>
    <w:rsid w:val="00B84131"/>
    <w:rsid w:val="00B8630E"/>
    <w:rsid w:val="00B931F4"/>
    <w:rsid w:val="00B95573"/>
    <w:rsid w:val="00B96395"/>
    <w:rsid w:val="00BA2AF8"/>
    <w:rsid w:val="00BB2650"/>
    <w:rsid w:val="00BB5BDC"/>
    <w:rsid w:val="00BB7B76"/>
    <w:rsid w:val="00BD233D"/>
    <w:rsid w:val="00BF4EF0"/>
    <w:rsid w:val="00C02E44"/>
    <w:rsid w:val="00C146A6"/>
    <w:rsid w:val="00C147D2"/>
    <w:rsid w:val="00C2075F"/>
    <w:rsid w:val="00C23799"/>
    <w:rsid w:val="00C274C9"/>
    <w:rsid w:val="00C31E02"/>
    <w:rsid w:val="00C33C1A"/>
    <w:rsid w:val="00C45BC1"/>
    <w:rsid w:val="00C54291"/>
    <w:rsid w:val="00C672C3"/>
    <w:rsid w:val="00C712B2"/>
    <w:rsid w:val="00C94325"/>
    <w:rsid w:val="00C97FED"/>
    <w:rsid w:val="00CA1DBB"/>
    <w:rsid w:val="00CA2622"/>
    <w:rsid w:val="00CA7F2C"/>
    <w:rsid w:val="00CA7FF8"/>
    <w:rsid w:val="00CB4EDD"/>
    <w:rsid w:val="00CB5DE7"/>
    <w:rsid w:val="00CC068D"/>
    <w:rsid w:val="00CC4922"/>
    <w:rsid w:val="00CD1FF6"/>
    <w:rsid w:val="00CD45DE"/>
    <w:rsid w:val="00CE25C7"/>
    <w:rsid w:val="00CE3335"/>
    <w:rsid w:val="00CE3ADC"/>
    <w:rsid w:val="00CE4849"/>
    <w:rsid w:val="00CE5C8E"/>
    <w:rsid w:val="00CE5F49"/>
    <w:rsid w:val="00D01626"/>
    <w:rsid w:val="00D33A4D"/>
    <w:rsid w:val="00D33F76"/>
    <w:rsid w:val="00D4001A"/>
    <w:rsid w:val="00D41F5E"/>
    <w:rsid w:val="00D43DC0"/>
    <w:rsid w:val="00D54E56"/>
    <w:rsid w:val="00D635AB"/>
    <w:rsid w:val="00D6407D"/>
    <w:rsid w:val="00D81E20"/>
    <w:rsid w:val="00D93E78"/>
    <w:rsid w:val="00DC6E91"/>
    <w:rsid w:val="00DC7514"/>
    <w:rsid w:val="00DD3845"/>
    <w:rsid w:val="00DD5039"/>
    <w:rsid w:val="00DD5E21"/>
    <w:rsid w:val="00E15009"/>
    <w:rsid w:val="00E1687A"/>
    <w:rsid w:val="00E20A2E"/>
    <w:rsid w:val="00E277DE"/>
    <w:rsid w:val="00E27EE9"/>
    <w:rsid w:val="00E3239D"/>
    <w:rsid w:val="00E3254B"/>
    <w:rsid w:val="00E3439B"/>
    <w:rsid w:val="00E42C5F"/>
    <w:rsid w:val="00E61037"/>
    <w:rsid w:val="00E65A1B"/>
    <w:rsid w:val="00E72F1F"/>
    <w:rsid w:val="00E934AB"/>
    <w:rsid w:val="00EA06AC"/>
    <w:rsid w:val="00EA08BF"/>
    <w:rsid w:val="00EA24FB"/>
    <w:rsid w:val="00EB2813"/>
    <w:rsid w:val="00EB2F45"/>
    <w:rsid w:val="00EB3204"/>
    <w:rsid w:val="00EB50BA"/>
    <w:rsid w:val="00EC3D33"/>
    <w:rsid w:val="00ED302A"/>
    <w:rsid w:val="00ED3A42"/>
    <w:rsid w:val="00EE02BC"/>
    <w:rsid w:val="00EE6970"/>
    <w:rsid w:val="00EF38D0"/>
    <w:rsid w:val="00EF3DDF"/>
    <w:rsid w:val="00EF4A8C"/>
    <w:rsid w:val="00F07599"/>
    <w:rsid w:val="00F2678C"/>
    <w:rsid w:val="00F27B38"/>
    <w:rsid w:val="00F27E3D"/>
    <w:rsid w:val="00F329A0"/>
    <w:rsid w:val="00F40278"/>
    <w:rsid w:val="00F41832"/>
    <w:rsid w:val="00F51D34"/>
    <w:rsid w:val="00F56988"/>
    <w:rsid w:val="00F60587"/>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2B7D"/>
    <w:rsid w:val="02922612"/>
    <w:rsid w:val="05E153E1"/>
    <w:rsid w:val="0A9D03F6"/>
    <w:rsid w:val="1D274763"/>
    <w:rsid w:val="22151078"/>
    <w:rsid w:val="241565BF"/>
    <w:rsid w:val="2F4B2025"/>
    <w:rsid w:val="3690243C"/>
    <w:rsid w:val="3AB00A09"/>
    <w:rsid w:val="3E65446C"/>
    <w:rsid w:val="428D5C32"/>
    <w:rsid w:val="50FE5570"/>
    <w:rsid w:val="52AF4DCF"/>
    <w:rsid w:val="5688293D"/>
    <w:rsid w:val="638D4923"/>
    <w:rsid w:val="65B93188"/>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43"/>
        <o:r id="V:Rule2" type="connector" idref="#AutoShape 44"/>
        <o:r id="V:Rule3" type="connector" idref="#AutoShape 45"/>
        <o:r id="V:Rule4" type="connector" idref="#AutoShape 46"/>
        <o:r id="V:Rule5" type="connector" idref="#AutoShape 47"/>
        <o:r id="V:Rule6" type="connector" idref="#AutoShape 49"/>
        <o:r id="V:Rule7" type="connector" idref="#AutoShape 51"/>
        <o:r id="V:Rule8" type="connector" idref="#AutoShape 53"/>
        <o:r id="V:Rule9" type="connector" idref="#AutoShape 60"/>
        <o:r id="V:Rule10" type="connector" idref="#AutoShape 61"/>
        <o:r id="V:Rule11" type="connector" idref="#AutoShape 63"/>
        <o:r id="V:Rule12" type="connector" idref="#AutoShape 64"/>
        <o:r id="V:Rule13" type="connector" idref="#AutoShape 67"/>
        <o:r id="V:Rule14" type="connector" idref="#AutoShape 68"/>
        <o:r id="V:Rule15" type="connector" idref="#AutoShape 69"/>
        <o:r id="V:Rule16" type="connector" idref="#AutoShape 72"/>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564</Words>
  <Characters>3221</Characters>
  <Lines>26</Lines>
  <Paragraphs>7</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2020-02-26T11:46:00Z</dcterms:created>
  <dc:creator>裴建君2</dc:creator>
  <cp:lastModifiedBy>陈炅炜</cp:lastModifiedBy>
  <cp:lastPrinted>2017-12-26T09:10:00Z</cp:lastPrinted>
  <dcterms:modified xsi:type="dcterms:W3CDTF">2023-08-18T07:05:18Z</dcterms:modified>
  <dc:title>“非银行金融机构（不含保险公司）外汇业务备案管理”行政审批服务指南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