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96" w:rsidRDefault="000E0E96" w:rsidP="000E0E9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省级分局和计划单列市分局办理的金融机构外债结汇核准</w:t>
      </w:r>
    </w:p>
    <w:p w:rsidR="000E0E96" w:rsidRDefault="000E0E96" w:rsidP="000E0E9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【000171110005】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资本项目外汇资金结汇核准【00017111000Y】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0E0E96" w:rsidRDefault="000E0E96" w:rsidP="000E0E9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省级分局和计划单列市分局办理的金融机构外债结汇核准【000171110005】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0E0E96" w:rsidRDefault="000E0E96" w:rsidP="000E0E9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省级分局和计划单列市分局办理的金融机构外债结汇核准(00017111000501)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《中华人民共和国外汇管理条例》第二十一条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（1）《中国人民银行关于全口径跨境融资宏观审慎管理有关事宜的通知》（银发〔2017〕9号）第十一条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0E0E96" w:rsidRDefault="000E0E96" w:rsidP="000E0E96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《中华人民共和国外汇管理条例》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国家外汇局省级分局和计划单列市分局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省级/直属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金融机构外债结汇核准</w:t>
      </w:r>
    </w:p>
    <w:p w:rsidR="000E0E96" w:rsidRDefault="000E0E96" w:rsidP="000E0E96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金融机构融入资金用于补充资本金，服务实体经济发展，并符合国家产业宏观调控方向。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中国人民银行关于全口径跨境融资宏观审慎管理有关事宜的通知》（银发〔2017〕9号）第十一条……（四）金融机构融入资金可用于补充资本金，服务实体经济发展，并符合国家产业宏观调控方向。经国家外汇管理局批准，金融机构融入外汇资金可结汇使用。……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Pr="00493F1D" w:rsidRDefault="000E0E96" w:rsidP="00493F1D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493F1D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0E0E96" w:rsidRDefault="00C864B5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</w:t>
      </w:r>
      <w:r w:rsidR="000E0E96">
        <w:rPr>
          <w:rFonts w:ascii="方正仿宋_GBK" w:eastAsia="方正仿宋_GBK" w:hAnsi="方正仿宋_GBK" w:cs="方正仿宋_GBK"/>
          <w:sz w:val="28"/>
          <w:szCs w:val="28"/>
        </w:rPr>
        <w:t>开展“双随机、一公开”监管，依法查处违规行为，适时公开相关案例。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（2）</w:t>
      </w:r>
      <w:r w:rsidR="000E0E96">
        <w:rPr>
          <w:rFonts w:ascii="方正仿宋_GBK" w:eastAsia="方正仿宋_GBK" w:hAnsi="方正仿宋_GBK" w:cs="方正仿宋_GBK"/>
          <w:sz w:val="28"/>
          <w:szCs w:val="28"/>
        </w:rPr>
        <w:t>依法及时处理投诉举报。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（3）</w:t>
      </w:r>
      <w:r w:rsidR="000E0E96">
        <w:rPr>
          <w:rFonts w:ascii="方正仿宋_GBK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加盖公章的书面申请原件1份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ab/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资金需结汇使用相关真实性证明材料原件及加盖公章的复印件各1份（验原件，留存复印件）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营业执照（统一社会信用代码证）原件或加盖公章的复印件1份。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资本项目外汇业务指引（2020年版）》（汇综发〔2020〕89号文印发）第二部分：一、跨境信贷业务。2.1银行外债资金需结汇使用的，应用与服务实体经济发展，符合国家产业宏观调控方向，并向所在地外汇分局（外汇管理部）提交以下材料：（1）书面申请。（2）外债资金结汇使用相关真实性证明材料。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（2）《国家外汇管理局行政许可实施办法》（国家外汇管理局公告2021年第1号）第八条……申请人为机构的，应出示统一社会信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用代码证或营业执照原件，或加盖公章的上述证件复印件……。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Pr="00686529" w:rsidRDefault="000E0E96" w:rsidP="00686529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（1）申请人申请；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（2）审批机构受理/不予受理；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（3）审批机构审查；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（4）决定作出许可决定书/不予许可决定书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《国家外汇管理局行政许可实施办法》（国家外汇管理局公告2021年第1号）第十条外汇局收到行政许可申请后，应区分下列情况分别作出处理：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（1）申请事项属于本局职责范围，但依法不需要取得行政许可的，应即时告知申请人不受理，出具不予受理行政许可通知书；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（2）申请事项不属于本局职责范围，应即时作出不予受理的决定，出具不予受理行政许可通知书，并告知申请人向有关行政机关申请；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（3）申请事项属于本局职责范围，但申请材料不齐全或不符合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0E0E96" w:rsidRDefault="00B804F6" w:rsidP="00B804F6">
      <w:pPr>
        <w:spacing w:line="60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</w:t>
      </w:r>
      <w:r w:rsidR="000E0E96">
        <w:rPr>
          <w:rFonts w:ascii="方正仿宋_GBK" w:eastAsia="方正仿宋_GBK" w:hAnsi="方正仿宋_GBK" w:cs="方正仿宋_GBK"/>
          <w:sz w:val="28"/>
          <w:szCs w:val="28"/>
        </w:rPr>
        <w:t>（4）申请事项属于本局职责范围，申请材料齐全、符合法定形式，或者申请人按照要求提交全部补正申请材料的，应受理行政许可申请，出具行政许可受理通知书。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第十四条 外汇局对行政许可申请审查后，应区分下列情况分别作出处理：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（2）申请不符合法定条件、拟不予行政许可的，应出具不予行政许可决定书，并说明不予行政许可的理由，告知申请人享有依法申请行政复议的权利。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0E0E96" w:rsidRDefault="000E0E96" w:rsidP="000E0E9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《国家外汇管理局行政许可实施办法》（国家外汇管理局公告2021年第1号）第十五条外汇局应根据以下要求确保行政许可依法按时完成：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0E0E96" w:rsidRDefault="000E0E96" w:rsidP="000E0E96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的时限完成；对外承诺的时限应短于20个工作日。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E0E96" w:rsidRPr="00686529" w:rsidRDefault="000E0E96" w:rsidP="0068652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《国家外汇管理局资本项目外汇业务核准件》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当次</w:t>
      </w:r>
    </w:p>
    <w:p w:rsidR="000E0E96" w:rsidRPr="00686529" w:rsidRDefault="000E0E96" w:rsidP="0068652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0E0E96" w:rsidRPr="00686529" w:rsidRDefault="000E0E96" w:rsidP="0068652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0E0E96" w:rsidRPr="00686529" w:rsidRDefault="000E0E96" w:rsidP="0068652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686529" w:rsidRDefault="000E0E96" w:rsidP="0068652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0E0E96" w:rsidRPr="00686529" w:rsidRDefault="000E0E96" w:rsidP="00686529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686529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BA1636" w:rsidRDefault="000E0E96" w:rsidP="00BA1636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BA163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BA1636" w:rsidRDefault="000E0E96" w:rsidP="00BA163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BA163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BA1636" w:rsidRDefault="000E0E96" w:rsidP="00BA163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BA163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Pr="00BA1636" w:rsidRDefault="000E0E96" w:rsidP="00BA1636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BA1636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0E0E96" w:rsidRDefault="000E0E96" w:rsidP="000E0E96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0E0E96" w:rsidRDefault="000E0E96" w:rsidP="000E0E96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256482" w:rsidRPr="000E0E96" w:rsidRDefault="00256482"/>
    <w:sectPr w:rsidR="00256482" w:rsidRPr="000E0E96" w:rsidSect="004F3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AD" w:rsidRDefault="00DE15AD" w:rsidP="000E0E96">
      <w:r>
        <w:separator/>
      </w:r>
    </w:p>
  </w:endnote>
  <w:endnote w:type="continuationSeparator" w:id="1">
    <w:p w:rsidR="00DE15AD" w:rsidRDefault="00DE15AD" w:rsidP="000E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AD" w:rsidRDefault="00DE15AD" w:rsidP="000E0E96">
      <w:r>
        <w:separator/>
      </w:r>
    </w:p>
  </w:footnote>
  <w:footnote w:type="continuationSeparator" w:id="1">
    <w:p w:rsidR="00DE15AD" w:rsidRDefault="00DE15AD" w:rsidP="000E0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E96"/>
    <w:rsid w:val="000E0E96"/>
    <w:rsid w:val="000F79C3"/>
    <w:rsid w:val="00256482"/>
    <w:rsid w:val="002B70D9"/>
    <w:rsid w:val="0030290D"/>
    <w:rsid w:val="003310CA"/>
    <w:rsid w:val="00493F1D"/>
    <w:rsid w:val="004B7612"/>
    <w:rsid w:val="004F38FC"/>
    <w:rsid w:val="00686529"/>
    <w:rsid w:val="00785D4E"/>
    <w:rsid w:val="00B17132"/>
    <w:rsid w:val="00B804F6"/>
    <w:rsid w:val="00BA1636"/>
    <w:rsid w:val="00C864B5"/>
    <w:rsid w:val="00D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E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E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12</cp:revision>
  <dcterms:created xsi:type="dcterms:W3CDTF">2023-09-28T09:50:00Z</dcterms:created>
  <dcterms:modified xsi:type="dcterms:W3CDTF">2023-12-07T08:16:00Z</dcterms:modified>
</cp:coreProperties>
</file>