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D8" w:rsidRDefault="005E2AD8" w:rsidP="005E2AD8">
      <w:pPr>
        <w:widowControl/>
        <w:adjustRightInd w:val="0"/>
        <w:snapToGrid w:val="0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Toc487492193"/>
      <w:bookmarkStart w:id="1" w:name="_Toc485028274"/>
      <w:bookmarkStart w:id="2" w:name="_Toc492328435"/>
      <w:bookmarkStart w:id="3" w:name="_Toc495992552"/>
      <w:r>
        <w:rPr>
          <w:rFonts w:ascii="Times New Roman" w:hAnsi="Times New Roman" w:hint="eastAsia"/>
          <w:b/>
          <w:bCs/>
          <w:sz w:val="28"/>
          <w:szCs w:val="28"/>
        </w:rPr>
        <w:t>宏观审慎跨境融资风险加权余额情况表（企业版）</w:t>
      </w:r>
      <w:bookmarkEnd w:id="0"/>
      <w:bookmarkEnd w:id="1"/>
      <w:bookmarkEnd w:id="2"/>
      <w:bookmarkEnd w:id="3"/>
    </w:p>
    <w:p w:rsidR="005E2AD8" w:rsidRDefault="005E2AD8" w:rsidP="005E2AD8">
      <w:pPr>
        <w:ind w:firstLineChars="800" w:firstLine="1680"/>
      </w:pPr>
      <w:bookmarkStart w:id="4" w:name="_Toc485028275"/>
      <w:r>
        <w:rPr>
          <w:rFonts w:hint="eastAsia"/>
        </w:rPr>
        <w:t xml:space="preserve">                                          </w:t>
      </w:r>
      <w:r>
        <w:t>单位</w:t>
      </w:r>
      <w:r>
        <w:rPr>
          <w:rStyle w:val="a4"/>
        </w:rPr>
        <w:footnoteReference w:id="2"/>
      </w:r>
      <w:r>
        <w:t>：万元人民币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09"/>
        <w:gridCol w:w="1673"/>
        <w:gridCol w:w="1461"/>
        <w:gridCol w:w="268"/>
        <w:gridCol w:w="1592"/>
        <w:gridCol w:w="47"/>
        <w:gridCol w:w="23"/>
        <w:gridCol w:w="1790"/>
      </w:tblGrid>
      <w:tr w:rsidR="005E2AD8" w:rsidTr="00404A14">
        <w:trPr>
          <w:cantSplit/>
          <w:trHeight w:val="454"/>
        </w:trPr>
        <w:tc>
          <w:tcPr>
            <w:tcW w:w="959" w:type="dxa"/>
            <w:vMerge w:val="restart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基本</w:t>
            </w:r>
          </w:p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信息</w:t>
            </w:r>
          </w:p>
        </w:tc>
        <w:tc>
          <w:tcPr>
            <w:tcW w:w="2382" w:type="dxa"/>
            <w:gridSpan w:val="2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债务人名称</w:t>
            </w:r>
          </w:p>
        </w:tc>
        <w:tc>
          <w:tcPr>
            <w:tcW w:w="5181" w:type="dxa"/>
            <w:gridSpan w:val="6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2AD8" w:rsidTr="00404A14">
        <w:trPr>
          <w:cantSplit/>
          <w:trHeight w:val="454"/>
        </w:trPr>
        <w:tc>
          <w:tcPr>
            <w:tcW w:w="959" w:type="dxa"/>
            <w:vMerge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1461" w:type="dxa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债务人类型</w:t>
            </w:r>
            <w:r>
              <w:rPr>
                <w:rStyle w:val="a4"/>
                <w:rFonts w:ascii="宋体" w:hAnsi="宋体"/>
                <w:sz w:val="24"/>
              </w:rPr>
              <w:footnoteReference w:id="3"/>
            </w:r>
          </w:p>
        </w:tc>
        <w:tc>
          <w:tcPr>
            <w:tcW w:w="1860" w:type="dxa"/>
            <w:gridSpan w:val="3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2AD8" w:rsidTr="00404A14">
        <w:trPr>
          <w:cantSplit/>
          <w:trHeight w:val="454"/>
        </w:trPr>
        <w:tc>
          <w:tcPr>
            <w:tcW w:w="959" w:type="dxa"/>
            <w:vMerge w:val="restart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跨境融资</w:t>
            </w:r>
            <w:r>
              <w:rPr>
                <w:rFonts w:ascii="宋体" w:hAnsi="宋体"/>
                <w:sz w:val="24"/>
              </w:rPr>
              <w:t>风险加权余额上限</w:t>
            </w:r>
          </w:p>
        </w:tc>
        <w:tc>
          <w:tcPr>
            <w:tcW w:w="2382" w:type="dxa"/>
            <w:gridSpan w:val="2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净资产</w:t>
            </w:r>
            <w:r>
              <w:rPr>
                <w:rStyle w:val="a4"/>
                <w:rFonts w:ascii="宋体" w:hAnsi="宋体"/>
                <w:sz w:val="24"/>
              </w:rPr>
              <w:footnoteReference w:id="4"/>
            </w:r>
          </w:p>
        </w:tc>
        <w:tc>
          <w:tcPr>
            <w:tcW w:w="5181" w:type="dxa"/>
            <w:gridSpan w:val="6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2AD8" w:rsidTr="00404A14">
        <w:trPr>
          <w:cantSplit/>
          <w:trHeight w:val="454"/>
        </w:trPr>
        <w:tc>
          <w:tcPr>
            <w:tcW w:w="959" w:type="dxa"/>
            <w:vMerge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风险加权余额</w:t>
            </w:r>
          </w:p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上限</w:t>
            </w:r>
            <w:r>
              <w:rPr>
                <w:rStyle w:val="a4"/>
                <w:rFonts w:ascii="宋体" w:hAnsi="宋体"/>
                <w:sz w:val="24"/>
              </w:rPr>
              <w:footnoteReference w:id="5"/>
            </w:r>
          </w:p>
        </w:tc>
        <w:tc>
          <w:tcPr>
            <w:tcW w:w="5181" w:type="dxa"/>
            <w:gridSpan w:val="6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2AD8" w:rsidTr="00404A14">
        <w:trPr>
          <w:cantSplit/>
          <w:trHeight w:val="454"/>
        </w:trPr>
        <w:tc>
          <w:tcPr>
            <w:tcW w:w="959" w:type="dxa"/>
            <w:vMerge w:val="restart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跨境融资</w:t>
            </w:r>
            <w:r>
              <w:rPr>
                <w:rFonts w:ascii="宋体" w:hAnsi="宋体"/>
                <w:sz w:val="24"/>
              </w:rPr>
              <w:t>风险加权余额</w:t>
            </w:r>
          </w:p>
        </w:tc>
        <w:tc>
          <w:tcPr>
            <w:tcW w:w="2382" w:type="dxa"/>
            <w:gridSpan w:val="2"/>
            <w:tcBorders>
              <w:tl2br w:val="single" w:sz="4" w:space="0" w:color="auto"/>
            </w:tcBorders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5E2AD8" w:rsidRDefault="005E2AD8" w:rsidP="00404A1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中长期</w:t>
            </w:r>
          </w:p>
        </w:tc>
        <w:tc>
          <w:tcPr>
            <w:tcW w:w="1662" w:type="dxa"/>
            <w:gridSpan w:val="3"/>
            <w:vAlign w:val="center"/>
          </w:tcPr>
          <w:p w:rsidR="005E2AD8" w:rsidRDefault="005E2AD8" w:rsidP="00404A1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短期</w:t>
            </w:r>
          </w:p>
        </w:tc>
        <w:tc>
          <w:tcPr>
            <w:tcW w:w="1790" w:type="dxa"/>
            <w:vAlign w:val="center"/>
          </w:tcPr>
          <w:p w:rsidR="005E2AD8" w:rsidRDefault="005E2AD8" w:rsidP="00404A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外币</w:t>
            </w:r>
          </w:p>
        </w:tc>
      </w:tr>
      <w:tr w:rsidR="005E2AD8" w:rsidTr="00404A14">
        <w:trPr>
          <w:cantSplit/>
          <w:trHeight w:val="294"/>
        </w:trPr>
        <w:tc>
          <w:tcPr>
            <w:tcW w:w="959" w:type="dxa"/>
            <w:vMerge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现有</w:t>
            </w:r>
            <w:r>
              <w:rPr>
                <w:rFonts w:ascii="宋体" w:hAnsi="宋体" w:hint="eastAsia"/>
                <w:sz w:val="24"/>
              </w:rPr>
              <w:t>跨境融资</w:t>
            </w:r>
            <w:r>
              <w:rPr>
                <w:rFonts w:ascii="宋体" w:hAnsi="宋体"/>
                <w:sz w:val="24"/>
              </w:rPr>
              <w:t>余额</w:t>
            </w:r>
          </w:p>
        </w:tc>
        <w:tc>
          <w:tcPr>
            <w:tcW w:w="1729" w:type="dxa"/>
            <w:gridSpan w:val="2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2AD8" w:rsidTr="00404A14">
        <w:trPr>
          <w:cantSplit/>
          <w:trHeight w:val="361"/>
        </w:trPr>
        <w:tc>
          <w:tcPr>
            <w:tcW w:w="959" w:type="dxa"/>
            <w:vMerge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本笔</w:t>
            </w:r>
            <w:r>
              <w:rPr>
                <w:rFonts w:ascii="宋体" w:hAnsi="宋体" w:hint="eastAsia"/>
                <w:sz w:val="24"/>
              </w:rPr>
              <w:t>跨境融资</w:t>
            </w:r>
            <w:r>
              <w:rPr>
                <w:rFonts w:ascii="宋体" w:hAnsi="宋体"/>
                <w:sz w:val="24"/>
              </w:rPr>
              <w:t>签约额</w:t>
            </w:r>
          </w:p>
        </w:tc>
        <w:tc>
          <w:tcPr>
            <w:tcW w:w="1729" w:type="dxa"/>
            <w:gridSpan w:val="2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2AD8" w:rsidTr="00404A14">
        <w:trPr>
          <w:cantSplit/>
          <w:trHeight w:val="454"/>
        </w:trPr>
        <w:tc>
          <w:tcPr>
            <w:tcW w:w="959" w:type="dxa"/>
            <w:vMerge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不纳入计算的业务类型</w:t>
            </w:r>
          </w:p>
        </w:tc>
        <w:tc>
          <w:tcPr>
            <w:tcW w:w="1673" w:type="dxa"/>
            <w:tcBorders>
              <w:tl2br w:val="single" w:sz="4" w:space="0" w:color="auto"/>
            </w:tcBorders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5E2AD8" w:rsidRDefault="005E2AD8" w:rsidP="00404A1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中长期余额</w:t>
            </w:r>
          </w:p>
        </w:tc>
        <w:tc>
          <w:tcPr>
            <w:tcW w:w="1662" w:type="dxa"/>
            <w:gridSpan w:val="3"/>
            <w:vAlign w:val="center"/>
          </w:tcPr>
          <w:p w:rsidR="005E2AD8" w:rsidRDefault="005E2AD8" w:rsidP="00404A1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短期余额</w:t>
            </w:r>
          </w:p>
        </w:tc>
        <w:tc>
          <w:tcPr>
            <w:tcW w:w="1790" w:type="dxa"/>
            <w:vAlign w:val="center"/>
          </w:tcPr>
          <w:p w:rsidR="005E2AD8" w:rsidRDefault="005E2AD8" w:rsidP="00404A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外币余额</w:t>
            </w:r>
          </w:p>
        </w:tc>
      </w:tr>
      <w:tr w:rsidR="005E2AD8" w:rsidTr="00404A14">
        <w:trPr>
          <w:cantSplit/>
          <w:trHeight w:val="454"/>
        </w:trPr>
        <w:tc>
          <w:tcPr>
            <w:tcW w:w="959" w:type="dxa"/>
            <w:vMerge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2AD8" w:rsidTr="00404A14">
        <w:trPr>
          <w:cantSplit/>
          <w:trHeight w:val="454"/>
        </w:trPr>
        <w:tc>
          <w:tcPr>
            <w:tcW w:w="959" w:type="dxa"/>
            <w:vMerge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2AD8" w:rsidTr="00404A14">
        <w:trPr>
          <w:cantSplit/>
          <w:trHeight w:val="454"/>
        </w:trPr>
        <w:tc>
          <w:tcPr>
            <w:tcW w:w="959" w:type="dxa"/>
            <w:vMerge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2AD8" w:rsidTr="00404A14">
        <w:trPr>
          <w:cantSplit/>
          <w:trHeight w:val="454"/>
        </w:trPr>
        <w:tc>
          <w:tcPr>
            <w:tcW w:w="959" w:type="dxa"/>
            <w:vMerge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纳入计算的</w:t>
            </w:r>
            <w:r>
              <w:rPr>
                <w:rFonts w:ascii="宋体" w:hAnsi="宋体"/>
                <w:sz w:val="24"/>
              </w:rPr>
              <w:t>余额</w:t>
            </w:r>
            <w:r>
              <w:rPr>
                <w:rStyle w:val="a4"/>
                <w:rFonts w:ascii="宋体" w:hAnsi="宋体"/>
                <w:sz w:val="24"/>
              </w:rPr>
              <w:footnoteReference w:id="6"/>
            </w:r>
          </w:p>
        </w:tc>
        <w:tc>
          <w:tcPr>
            <w:tcW w:w="1729" w:type="dxa"/>
            <w:gridSpan w:val="2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2AD8" w:rsidTr="00404A14">
        <w:trPr>
          <w:cantSplit/>
          <w:trHeight w:val="454"/>
        </w:trPr>
        <w:tc>
          <w:tcPr>
            <w:tcW w:w="959" w:type="dxa"/>
            <w:vMerge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跨境融资</w:t>
            </w:r>
            <w:r>
              <w:rPr>
                <w:rFonts w:ascii="宋体" w:hAnsi="宋体"/>
                <w:sz w:val="24"/>
              </w:rPr>
              <w:t>风险加权余额</w:t>
            </w:r>
            <w:r>
              <w:rPr>
                <w:rStyle w:val="a4"/>
                <w:rFonts w:ascii="宋体" w:hAnsi="宋体"/>
                <w:sz w:val="24"/>
              </w:rPr>
              <w:footnoteReference w:id="7"/>
            </w:r>
          </w:p>
        </w:tc>
        <w:tc>
          <w:tcPr>
            <w:tcW w:w="5181" w:type="dxa"/>
            <w:gridSpan w:val="6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2AD8" w:rsidTr="00404A14">
        <w:trPr>
          <w:trHeight w:val="454"/>
        </w:trPr>
        <w:tc>
          <w:tcPr>
            <w:tcW w:w="3341" w:type="dxa"/>
            <w:gridSpan w:val="3"/>
            <w:vAlign w:val="center"/>
          </w:tcPr>
          <w:p w:rsidR="005E2AD8" w:rsidRDefault="005E2AD8" w:rsidP="00404A1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跨境融资</w:t>
            </w:r>
            <w:r>
              <w:rPr>
                <w:rFonts w:ascii="宋体" w:hAnsi="宋体"/>
                <w:sz w:val="24"/>
              </w:rPr>
              <w:t>风险加权余额上限与</w:t>
            </w:r>
            <w:r>
              <w:rPr>
                <w:rFonts w:ascii="宋体" w:hAnsi="宋体" w:hint="eastAsia"/>
                <w:sz w:val="24"/>
              </w:rPr>
              <w:t>跨境融资</w:t>
            </w:r>
            <w:r>
              <w:rPr>
                <w:rFonts w:ascii="宋体" w:hAnsi="宋体"/>
                <w:sz w:val="24"/>
              </w:rPr>
              <w:t>风险加权余额之差额</w:t>
            </w:r>
          </w:p>
        </w:tc>
        <w:tc>
          <w:tcPr>
            <w:tcW w:w="1729" w:type="dxa"/>
            <w:gridSpan w:val="2"/>
            <w:vAlign w:val="center"/>
          </w:tcPr>
          <w:p w:rsidR="005E2AD8" w:rsidRDefault="005E2AD8" w:rsidP="00404A14">
            <w:pPr>
              <w:spacing w:line="32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5E2AD8" w:rsidRDefault="005E2AD8" w:rsidP="00404A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是否超上限</w:t>
            </w:r>
          </w:p>
        </w:tc>
        <w:tc>
          <w:tcPr>
            <w:tcW w:w="1813" w:type="dxa"/>
            <w:gridSpan w:val="2"/>
            <w:vAlign w:val="center"/>
          </w:tcPr>
          <w:p w:rsidR="005E2AD8" w:rsidRDefault="005E2AD8" w:rsidP="00404A1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是（ ）否（）</w:t>
            </w:r>
          </w:p>
        </w:tc>
      </w:tr>
      <w:tr w:rsidR="005E2AD8" w:rsidTr="00404A14">
        <w:trPr>
          <w:trHeight w:val="454"/>
        </w:trPr>
        <w:tc>
          <w:tcPr>
            <w:tcW w:w="8522" w:type="dxa"/>
            <w:gridSpan w:val="9"/>
            <w:vAlign w:val="center"/>
          </w:tcPr>
          <w:p w:rsidR="005E2AD8" w:rsidRDefault="005E2AD8" w:rsidP="00404A14">
            <w:pPr>
              <w:spacing w:line="32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以上信息真实有效，本机构将严格按照相关规定认真履行相关职责，并及时准确地报送相关信息。                                 </w:t>
            </w:r>
          </w:p>
          <w:p w:rsidR="005E2AD8" w:rsidRDefault="005E2AD8" w:rsidP="00404A14">
            <w:pPr>
              <w:spacing w:line="320" w:lineRule="exact"/>
              <w:ind w:right="480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（公章）</w:t>
            </w:r>
          </w:p>
          <w:p w:rsidR="005E2AD8" w:rsidRDefault="005E2AD8" w:rsidP="00404A14">
            <w:pPr>
              <w:spacing w:line="320" w:lineRule="exact"/>
              <w:ind w:right="420" w:firstLineChars="2200" w:firstLine="4620"/>
              <w:rPr>
                <w:rFonts w:ascii="宋体" w:hAnsi="宋体"/>
                <w:sz w:val="24"/>
              </w:rPr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月</w:t>
            </w:r>
            <w:r>
              <w:rPr>
                <w:rFonts w:hint="eastAsia"/>
              </w:rPr>
              <w:t xml:space="preserve">  </w:t>
            </w:r>
            <w:r>
              <w:t>日</w:t>
            </w:r>
          </w:p>
          <w:p w:rsidR="005E2AD8" w:rsidRDefault="005E2AD8" w:rsidP="00404A14">
            <w:pPr>
              <w:spacing w:line="32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FC2D19" w:rsidRDefault="005E2AD8">
      <w:r>
        <w:rPr>
          <w:rFonts w:ascii="宋体" w:hAnsi="宋体"/>
          <w:sz w:val="24"/>
        </w:rPr>
        <w:t>联系人：                    联系电话：</w:t>
      </w:r>
      <w:bookmarkEnd w:id="4"/>
    </w:p>
    <w:sectPr w:rsidR="00FC2D19" w:rsidSect="00FC2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6DB" w:rsidRDefault="005F56DB" w:rsidP="005E2AD8">
      <w:r>
        <w:separator/>
      </w:r>
    </w:p>
  </w:endnote>
  <w:endnote w:type="continuationSeparator" w:id="1">
    <w:p w:rsidR="005F56DB" w:rsidRDefault="005F56DB" w:rsidP="005E2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6DB" w:rsidRDefault="005F56DB" w:rsidP="005E2AD8">
      <w:r>
        <w:separator/>
      </w:r>
    </w:p>
  </w:footnote>
  <w:footnote w:type="continuationSeparator" w:id="1">
    <w:p w:rsidR="005F56DB" w:rsidRDefault="005F56DB" w:rsidP="005E2AD8">
      <w:r>
        <w:continuationSeparator/>
      </w:r>
    </w:p>
  </w:footnote>
  <w:footnote w:id="2">
    <w:p w:rsidR="005E2AD8" w:rsidRDefault="005E2AD8" w:rsidP="005E2AD8">
      <w:pPr>
        <w:pStyle w:val="a3"/>
        <w:rPr>
          <w:rFonts w:ascii="宋体" w:hAnsi="宋体"/>
          <w:sz w:val="21"/>
          <w:szCs w:val="21"/>
        </w:rPr>
      </w:pPr>
      <w:r>
        <w:rPr>
          <w:rStyle w:val="a4"/>
          <w:rFonts w:ascii="宋体" w:hAnsi="宋体"/>
          <w:sz w:val="21"/>
          <w:szCs w:val="21"/>
        </w:rPr>
        <w:footnoteRef/>
      </w:r>
      <w:r>
        <w:rPr>
          <w:rFonts w:ascii="宋体" w:hAnsi="宋体" w:hint="eastAsia"/>
          <w:sz w:val="21"/>
          <w:szCs w:val="21"/>
        </w:rPr>
        <w:t>外币跨境融资以签约日的汇率水平折算。</w:t>
      </w:r>
    </w:p>
  </w:footnote>
  <w:footnote w:id="3">
    <w:p w:rsidR="005E2AD8" w:rsidRDefault="005E2AD8" w:rsidP="005E2AD8">
      <w:pPr>
        <w:pStyle w:val="a3"/>
        <w:rPr>
          <w:rFonts w:ascii="宋体" w:hAnsi="宋体"/>
          <w:sz w:val="21"/>
          <w:szCs w:val="21"/>
        </w:rPr>
      </w:pPr>
      <w:r>
        <w:rPr>
          <w:rStyle w:val="a4"/>
          <w:rFonts w:ascii="宋体" w:hAnsi="宋体"/>
          <w:sz w:val="21"/>
          <w:szCs w:val="21"/>
        </w:rPr>
        <w:footnoteRef/>
      </w:r>
      <w:r>
        <w:rPr>
          <w:rFonts w:ascii="宋体" w:hAnsi="宋体" w:hint="eastAsia"/>
          <w:sz w:val="21"/>
          <w:szCs w:val="21"/>
        </w:rPr>
        <w:t xml:space="preserve"> 债务人类型请按以下分类填写：中资企业、外资企业。</w:t>
      </w:r>
    </w:p>
  </w:footnote>
  <w:footnote w:id="4">
    <w:p w:rsidR="005E2AD8" w:rsidRDefault="005E2AD8" w:rsidP="005E2AD8">
      <w:pPr>
        <w:pStyle w:val="a3"/>
        <w:rPr>
          <w:rFonts w:ascii="宋体" w:hAnsi="宋体"/>
          <w:sz w:val="21"/>
          <w:szCs w:val="21"/>
        </w:rPr>
      </w:pPr>
      <w:r>
        <w:rPr>
          <w:rStyle w:val="a4"/>
          <w:rFonts w:ascii="宋体" w:hAnsi="宋体"/>
          <w:sz w:val="21"/>
          <w:szCs w:val="21"/>
        </w:rPr>
        <w:footnoteRef/>
      </w:r>
      <w:r>
        <w:rPr>
          <w:rFonts w:ascii="宋体" w:hAnsi="宋体" w:hint="eastAsia"/>
          <w:sz w:val="21"/>
          <w:szCs w:val="21"/>
        </w:rPr>
        <w:t>根据债务人上年度或最新的经审计的会计报表填写。</w:t>
      </w:r>
    </w:p>
  </w:footnote>
  <w:footnote w:id="5">
    <w:p w:rsidR="005E2AD8" w:rsidRDefault="005E2AD8" w:rsidP="005E2AD8">
      <w:pPr>
        <w:pStyle w:val="a3"/>
        <w:rPr>
          <w:rFonts w:ascii="宋体" w:hAnsi="宋体"/>
          <w:sz w:val="21"/>
          <w:szCs w:val="21"/>
        </w:rPr>
      </w:pPr>
      <w:r>
        <w:rPr>
          <w:rStyle w:val="a4"/>
          <w:rFonts w:ascii="宋体" w:hAnsi="宋体"/>
          <w:sz w:val="21"/>
          <w:szCs w:val="21"/>
        </w:rPr>
        <w:footnoteRef/>
      </w:r>
      <w:r>
        <w:rPr>
          <w:rFonts w:ascii="宋体" w:hAnsi="宋体" w:hint="eastAsia"/>
          <w:sz w:val="21"/>
          <w:szCs w:val="21"/>
        </w:rPr>
        <w:t>跨境融资风险加权余额上限=净资产×外债杠杆率×宏观审慎调节参数。其中，宏观审慎调节参数为</w:t>
      </w:r>
      <w:r w:rsidR="00263D38">
        <w:rPr>
          <w:rFonts w:ascii="宋体" w:hAnsi="宋体" w:hint="eastAsia"/>
          <w:sz w:val="21"/>
          <w:szCs w:val="21"/>
        </w:rPr>
        <w:t>1.5</w:t>
      </w:r>
      <w:r>
        <w:rPr>
          <w:rFonts w:ascii="宋体" w:hAnsi="宋体" w:hint="eastAsia"/>
          <w:sz w:val="21"/>
          <w:szCs w:val="21"/>
        </w:rPr>
        <w:t>，外债杠杆率为2。</w:t>
      </w:r>
    </w:p>
  </w:footnote>
  <w:footnote w:id="6">
    <w:p w:rsidR="005E2AD8" w:rsidRDefault="005E2AD8" w:rsidP="005E2AD8">
      <w:pPr>
        <w:pStyle w:val="a3"/>
        <w:rPr>
          <w:rFonts w:ascii="宋体" w:hAnsi="宋体"/>
          <w:sz w:val="21"/>
          <w:szCs w:val="21"/>
        </w:rPr>
      </w:pPr>
      <w:r>
        <w:rPr>
          <w:rStyle w:val="a4"/>
          <w:rFonts w:ascii="宋体" w:hAnsi="宋体"/>
          <w:sz w:val="21"/>
          <w:szCs w:val="21"/>
        </w:rPr>
        <w:footnoteRef/>
      </w:r>
      <w:r>
        <w:rPr>
          <w:rFonts w:ascii="宋体" w:hAnsi="宋体" w:hint="eastAsia"/>
          <w:sz w:val="21"/>
          <w:szCs w:val="21"/>
        </w:rPr>
        <w:t xml:space="preserve">纳入计算的中长期外债余额= 中长期现有外债余额 + 中长期本笔外债签约额 </w:t>
      </w:r>
      <w:r>
        <w:rPr>
          <w:rFonts w:ascii="宋体" w:hAnsi="宋体"/>
          <w:sz w:val="21"/>
          <w:szCs w:val="21"/>
        </w:rPr>
        <w:t>–</w:t>
      </w:r>
      <w:r>
        <w:rPr>
          <w:rFonts w:ascii="宋体" w:hAnsi="宋体" w:hint="eastAsia"/>
          <w:sz w:val="21"/>
          <w:szCs w:val="21"/>
        </w:rPr>
        <w:t xml:space="preserve"> 不纳入计算的业务类型的中长期外债余额。纳入计算的短期外债和外币外债余额参照此公式计算。</w:t>
      </w:r>
    </w:p>
  </w:footnote>
  <w:footnote w:id="7">
    <w:p w:rsidR="005E2AD8" w:rsidRDefault="005E2AD8" w:rsidP="005E2AD8">
      <w:pPr>
        <w:pStyle w:val="a3"/>
        <w:rPr>
          <w:rFonts w:ascii="宋体" w:hAnsi="宋体"/>
          <w:sz w:val="21"/>
          <w:szCs w:val="21"/>
        </w:rPr>
      </w:pPr>
      <w:r>
        <w:rPr>
          <w:rStyle w:val="a4"/>
          <w:rFonts w:ascii="宋体" w:hAnsi="宋体"/>
          <w:sz w:val="21"/>
          <w:szCs w:val="21"/>
        </w:rPr>
        <w:footnoteRef/>
      </w:r>
      <w:r>
        <w:rPr>
          <w:rFonts w:ascii="宋体" w:hAnsi="宋体" w:hint="eastAsia"/>
          <w:sz w:val="21"/>
          <w:szCs w:val="21"/>
        </w:rPr>
        <w:t xml:space="preserve"> 跨境融资风险加权余额=纳入计算的中长期外债余额×中长期外债期限风险转换因子+纳入计算的短期外债余额×短期外债期限风险转换因子+纳入计算的外币外债余额×汇率风险折算因子。其中，中长期、短期外债期限风险转换因子分别为1、1.5；汇率风险折算因子为0.5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AD8"/>
    <w:rsid w:val="00000B25"/>
    <w:rsid w:val="00016D5A"/>
    <w:rsid w:val="00025C80"/>
    <w:rsid w:val="000616B4"/>
    <w:rsid w:val="000B5340"/>
    <w:rsid w:val="000C6C55"/>
    <w:rsid w:val="000F2722"/>
    <w:rsid w:val="0010224C"/>
    <w:rsid w:val="00113C95"/>
    <w:rsid w:val="00144FFE"/>
    <w:rsid w:val="0014547D"/>
    <w:rsid w:val="001546A7"/>
    <w:rsid w:val="00163A94"/>
    <w:rsid w:val="00173BCB"/>
    <w:rsid w:val="001778D7"/>
    <w:rsid w:val="00186CEF"/>
    <w:rsid w:val="00193C7B"/>
    <w:rsid w:val="001950C0"/>
    <w:rsid w:val="001A1410"/>
    <w:rsid w:val="001B1DB6"/>
    <w:rsid w:val="001C7D78"/>
    <w:rsid w:val="001E68DE"/>
    <w:rsid w:val="001E72FC"/>
    <w:rsid w:val="001F005B"/>
    <w:rsid w:val="001F1238"/>
    <w:rsid w:val="001F188D"/>
    <w:rsid w:val="00222E4C"/>
    <w:rsid w:val="00223945"/>
    <w:rsid w:val="00246B87"/>
    <w:rsid w:val="002508AB"/>
    <w:rsid w:val="002603D1"/>
    <w:rsid w:val="00263D38"/>
    <w:rsid w:val="00264CA0"/>
    <w:rsid w:val="00264EBF"/>
    <w:rsid w:val="00274830"/>
    <w:rsid w:val="002813F0"/>
    <w:rsid w:val="002940CC"/>
    <w:rsid w:val="00294444"/>
    <w:rsid w:val="0029511F"/>
    <w:rsid w:val="002B3275"/>
    <w:rsid w:val="002B5DC3"/>
    <w:rsid w:val="002E031F"/>
    <w:rsid w:val="002E6645"/>
    <w:rsid w:val="003023F9"/>
    <w:rsid w:val="00321C6A"/>
    <w:rsid w:val="003378B0"/>
    <w:rsid w:val="00342AD0"/>
    <w:rsid w:val="003501BA"/>
    <w:rsid w:val="003573D0"/>
    <w:rsid w:val="003622A2"/>
    <w:rsid w:val="00366C49"/>
    <w:rsid w:val="0037095B"/>
    <w:rsid w:val="0038231A"/>
    <w:rsid w:val="003932D2"/>
    <w:rsid w:val="00393D5A"/>
    <w:rsid w:val="003A3898"/>
    <w:rsid w:val="003A53E9"/>
    <w:rsid w:val="003B0DA6"/>
    <w:rsid w:val="003D4946"/>
    <w:rsid w:val="003F04CB"/>
    <w:rsid w:val="003F09CF"/>
    <w:rsid w:val="004326AE"/>
    <w:rsid w:val="00434749"/>
    <w:rsid w:val="00444A34"/>
    <w:rsid w:val="00453D3E"/>
    <w:rsid w:val="004540A5"/>
    <w:rsid w:val="004713CF"/>
    <w:rsid w:val="004746F0"/>
    <w:rsid w:val="004805BD"/>
    <w:rsid w:val="004842D7"/>
    <w:rsid w:val="00486717"/>
    <w:rsid w:val="004B397D"/>
    <w:rsid w:val="004B4053"/>
    <w:rsid w:val="004B5301"/>
    <w:rsid w:val="004D3473"/>
    <w:rsid w:val="004D7319"/>
    <w:rsid w:val="004F3ED8"/>
    <w:rsid w:val="00510E70"/>
    <w:rsid w:val="00517049"/>
    <w:rsid w:val="005232CB"/>
    <w:rsid w:val="00545AFE"/>
    <w:rsid w:val="00553001"/>
    <w:rsid w:val="005626B3"/>
    <w:rsid w:val="00575A2E"/>
    <w:rsid w:val="005A158E"/>
    <w:rsid w:val="005C7D98"/>
    <w:rsid w:val="005E2AD8"/>
    <w:rsid w:val="005F56DB"/>
    <w:rsid w:val="00631769"/>
    <w:rsid w:val="00637EEA"/>
    <w:rsid w:val="00652CF5"/>
    <w:rsid w:val="0065327D"/>
    <w:rsid w:val="006825CB"/>
    <w:rsid w:val="00687BA1"/>
    <w:rsid w:val="00690923"/>
    <w:rsid w:val="006A22D6"/>
    <w:rsid w:val="006B7799"/>
    <w:rsid w:val="006C2128"/>
    <w:rsid w:val="006E2A87"/>
    <w:rsid w:val="006E7A6D"/>
    <w:rsid w:val="006E7D95"/>
    <w:rsid w:val="006F5250"/>
    <w:rsid w:val="00705417"/>
    <w:rsid w:val="0071184E"/>
    <w:rsid w:val="00724C75"/>
    <w:rsid w:val="00736E76"/>
    <w:rsid w:val="00740291"/>
    <w:rsid w:val="00751BB1"/>
    <w:rsid w:val="00785284"/>
    <w:rsid w:val="00787E7A"/>
    <w:rsid w:val="00793B70"/>
    <w:rsid w:val="0079794D"/>
    <w:rsid w:val="007A30B6"/>
    <w:rsid w:val="007B2B84"/>
    <w:rsid w:val="007D00D8"/>
    <w:rsid w:val="007F2057"/>
    <w:rsid w:val="00802A7F"/>
    <w:rsid w:val="008058BC"/>
    <w:rsid w:val="00814ECC"/>
    <w:rsid w:val="00826EDF"/>
    <w:rsid w:val="00847732"/>
    <w:rsid w:val="0086579C"/>
    <w:rsid w:val="00873559"/>
    <w:rsid w:val="00875458"/>
    <w:rsid w:val="00880872"/>
    <w:rsid w:val="00886494"/>
    <w:rsid w:val="008B1858"/>
    <w:rsid w:val="008E5544"/>
    <w:rsid w:val="008F5F5E"/>
    <w:rsid w:val="009050CA"/>
    <w:rsid w:val="0091024A"/>
    <w:rsid w:val="0091104B"/>
    <w:rsid w:val="00923D78"/>
    <w:rsid w:val="009334E8"/>
    <w:rsid w:val="00937C52"/>
    <w:rsid w:val="00942785"/>
    <w:rsid w:val="009527B2"/>
    <w:rsid w:val="009532EC"/>
    <w:rsid w:val="00957B49"/>
    <w:rsid w:val="00971BA8"/>
    <w:rsid w:val="00980241"/>
    <w:rsid w:val="009904FA"/>
    <w:rsid w:val="00993F20"/>
    <w:rsid w:val="009A3898"/>
    <w:rsid w:val="009B6862"/>
    <w:rsid w:val="009E1230"/>
    <w:rsid w:val="009F5E52"/>
    <w:rsid w:val="00A223FB"/>
    <w:rsid w:val="00A42268"/>
    <w:rsid w:val="00A82BAB"/>
    <w:rsid w:val="00AA536E"/>
    <w:rsid w:val="00AC20FD"/>
    <w:rsid w:val="00AD6553"/>
    <w:rsid w:val="00AE3B90"/>
    <w:rsid w:val="00AE48AF"/>
    <w:rsid w:val="00AF0D63"/>
    <w:rsid w:val="00AF351B"/>
    <w:rsid w:val="00AF516A"/>
    <w:rsid w:val="00B17C03"/>
    <w:rsid w:val="00B22D41"/>
    <w:rsid w:val="00B31A7B"/>
    <w:rsid w:val="00B3594F"/>
    <w:rsid w:val="00B44A69"/>
    <w:rsid w:val="00B51ABF"/>
    <w:rsid w:val="00B54D4E"/>
    <w:rsid w:val="00B5745E"/>
    <w:rsid w:val="00B80BE7"/>
    <w:rsid w:val="00B829F1"/>
    <w:rsid w:val="00B97CB7"/>
    <w:rsid w:val="00BA0D6F"/>
    <w:rsid w:val="00BA37CD"/>
    <w:rsid w:val="00BB460A"/>
    <w:rsid w:val="00BD749D"/>
    <w:rsid w:val="00C329EA"/>
    <w:rsid w:val="00C3304F"/>
    <w:rsid w:val="00C420A3"/>
    <w:rsid w:val="00C526FF"/>
    <w:rsid w:val="00C548F9"/>
    <w:rsid w:val="00C86652"/>
    <w:rsid w:val="00C92068"/>
    <w:rsid w:val="00C95BB3"/>
    <w:rsid w:val="00CA07A8"/>
    <w:rsid w:val="00CA506D"/>
    <w:rsid w:val="00CB047E"/>
    <w:rsid w:val="00CB3EB2"/>
    <w:rsid w:val="00CC4373"/>
    <w:rsid w:val="00D05145"/>
    <w:rsid w:val="00D10C52"/>
    <w:rsid w:val="00D10E5A"/>
    <w:rsid w:val="00D15BDD"/>
    <w:rsid w:val="00D2746F"/>
    <w:rsid w:val="00D33BE3"/>
    <w:rsid w:val="00D72B9F"/>
    <w:rsid w:val="00D73B7C"/>
    <w:rsid w:val="00D95EBD"/>
    <w:rsid w:val="00DA0877"/>
    <w:rsid w:val="00DB455C"/>
    <w:rsid w:val="00DC0E36"/>
    <w:rsid w:val="00DD5FA4"/>
    <w:rsid w:val="00DF06FD"/>
    <w:rsid w:val="00DF3B76"/>
    <w:rsid w:val="00E207FD"/>
    <w:rsid w:val="00E2504B"/>
    <w:rsid w:val="00E35A4C"/>
    <w:rsid w:val="00E4401B"/>
    <w:rsid w:val="00E519E8"/>
    <w:rsid w:val="00E52CA0"/>
    <w:rsid w:val="00E574F9"/>
    <w:rsid w:val="00E61738"/>
    <w:rsid w:val="00E670D0"/>
    <w:rsid w:val="00E730B6"/>
    <w:rsid w:val="00E80D00"/>
    <w:rsid w:val="00EE093E"/>
    <w:rsid w:val="00EE6F3F"/>
    <w:rsid w:val="00EF1100"/>
    <w:rsid w:val="00EF660D"/>
    <w:rsid w:val="00F04D87"/>
    <w:rsid w:val="00F34121"/>
    <w:rsid w:val="00F42D3F"/>
    <w:rsid w:val="00F525D0"/>
    <w:rsid w:val="00F7502D"/>
    <w:rsid w:val="00F9647A"/>
    <w:rsid w:val="00FA34B2"/>
    <w:rsid w:val="00FC2D19"/>
    <w:rsid w:val="00FE7853"/>
    <w:rsid w:val="00FF0ACB"/>
    <w:rsid w:val="00FF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qFormat/>
    <w:rsid w:val="005E2AD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脚注文本 Char"/>
    <w:basedOn w:val="a0"/>
    <w:link w:val="a3"/>
    <w:semiHidden/>
    <w:qFormat/>
    <w:rsid w:val="005E2AD8"/>
    <w:rPr>
      <w:rFonts w:ascii="Times New Roman" w:hAnsi="Times New Roman"/>
      <w:sz w:val="18"/>
      <w:szCs w:val="18"/>
    </w:rPr>
  </w:style>
  <w:style w:type="character" w:styleId="a4">
    <w:name w:val="footnote reference"/>
    <w:unhideWhenUsed/>
    <w:qFormat/>
    <w:rsid w:val="005E2AD8"/>
    <w:rPr>
      <w:rFonts w:ascii="Times New Roman" w:hAnsi="Times New Roman" w:cs="Times New Roman"/>
      <w:vertAlign w:val="superscript"/>
    </w:rPr>
  </w:style>
  <w:style w:type="paragraph" w:styleId="a5">
    <w:name w:val="header"/>
    <w:basedOn w:val="a"/>
    <w:link w:val="Char0"/>
    <w:uiPriority w:val="99"/>
    <w:semiHidden/>
    <w:unhideWhenUsed/>
    <w:rsid w:val="00263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63D3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63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63D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kylin</cp:lastModifiedBy>
  <cp:revision>1</cp:revision>
  <dcterms:created xsi:type="dcterms:W3CDTF">2022-12-28T13:20:00Z</dcterms:created>
  <dcterms:modified xsi:type="dcterms:W3CDTF">2023-12-07T00:38:00Z</dcterms:modified>
</cp:coreProperties>
</file>