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61" w:rsidRDefault="001B0D61" w:rsidP="001B0D61">
      <w:pPr>
        <w:jc w:val="center"/>
        <w:rPr>
          <w:rFonts w:ascii="方正小标宋_GBK" w:eastAsia="方正小标宋_GBK" w:hAnsi="方正小标宋_GBK" w:cs="方正小标宋_GBK"/>
          <w:sz w:val="40"/>
          <w:szCs w:val="40"/>
        </w:rPr>
      </w:pPr>
      <w:bookmarkStart w:id="0" w:name="_Toc1949061603_WPSOffice_Level1"/>
      <w:r>
        <w:rPr>
          <w:rFonts w:ascii="方正小标宋_GBK" w:eastAsia="方正小标宋_GBK" w:hAnsi="方正小标宋_GBK" w:cs="方正小标宋_GBK"/>
          <w:sz w:val="40"/>
          <w:szCs w:val="40"/>
        </w:rPr>
        <w:t>非金融企业银行间外汇市场准入审批</w:t>
      </w:r>
      <w:bookmarkEnd w:id="0"/>
    </w:p>
    <w:p w:rsidR="001B0D61" w:rsidRDefault="001B0D61" w:rsidP="001B0D61">
      <w:pPr>
        <w:spacing w:line="540" w:lineRule="exact"/>
        <w:outlineLvl w:val="1"/>
        <w:rPr>
          <w:rFonts w:ascii="Times New Roman" w:eastAsia="黑体" w:hAnsi="Times New Roman"/>
          <w:sz w:val="28"/>
          <w:szCs w:val="28"/>
        </w:rPr>
      </w:pPr>
      <w:bookmarkStart w:id="1" w:name="_Toc743432998_WPSOffice_Level1"/>
      <w:r>
        <w:rPr>
          <w:rFonts w:ascii="Times New Roman" w:eastAsia="黑体" w:hAnsi="Times New Roman"/>
          <w:sz w:val="28"/>
          <w:szCs w:val="28"/>
        </w:rPr>
        <w:t>一、</w:t>
      </w:r>
      <w:r>
        <w:rPr>
          <w:rFonts w:ascii="Times New Roman" w:eastAsia="黑体" w:hAnsi="Times New Roman" w:hint="eastAsia"/>
          <w:sz w:val="28"/>
          <w:szCs w:val="28"/>
        </w:rPr>
        <w:t>基本要素</w:t>
      </w:r>
      <w:bookmarkEnd w:id="1"/>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1B0D61" w:rsidRDefault="001B0D61" w:rsidP="001B0D61">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非金融企业银行间外汇市场准入审批</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2</w:t>
      </w:r>
      <w:r>
        <w:rPr>
          <w:rFonts w:ascii="Times New Roman" w:eastAsia="仿宋GB2312" w:hAnsi="Times New Roman" w:hint="eastAsia"/>
          <w:b/>
          <w:bCs/>
          <w:sz w:val="28"/>
          <w:szCs w:val="28"/>
        </w:rPr>
        <w:t xml:space="preserve">. </w:t>
      </w:r>
      <w:r>
        <w:rPr>
          <w:rFonts w:ascii="Times New Roman" w:eastAsia="仿宋GB2312" w:hAnsi="Times New Roman" w:hint="eastAsia"/>
          <w:b/>
          <w:bCs/>
          <w:sz w:val="28"/>
          <w:szCs w:val="28"/>
        </w:rPr>
        <w:t>对应政务服务实施清单事项名称</w:t>
      </w:r>
    </w:p>
    <w:p w:rsidR="001B0D61" w:rsidRDefault="001B0D61" w:rsidP="001B0D61">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非金融企业银行间外汇市场准入备案</w:t>
      </w:r>
    </w:p>
    <w:p w:rsidR="001B0D61" w:rsidRDefault="001B0D61" w:rsidP="001B0D61">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b/>
          <w:bCs/>
          <w:sz w:val="28"/>
          <w:szCs w:val="28"/>
        </w:rPr>
        <w:t>3</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设定依据</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《中华人民共和国外汇管理条例》第五十三条</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4</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实施依据</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（1）《中国人民银行关于加快发展外汇市场有关问题的通知》（银发〔2005〕202号）第一条</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（2）《非金融企业和非银行金融机构申请银行间即期外汇市场会员资格实施细则（暂行）》（汇发〔2005〕94号文印发）</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5</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监管依据</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6</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7</w:t>
      </w:r>
      <w:r>
        <w:rPr>
          <w:rFonts w:ascii="Times New Roman" w:eastAsia="仿宋GB2312" w:hAnsi="Times New Roman" w:hint="eastAsia"/>
          <w:b/>
          <w:bCs/>
          <w:sz w:val="28"/>
          <w:szCs w:val="28"/>
        </w:rPr>
        <w:t>.</w:t>
      </w:r>
      <w:r>
        <w:rPr>
          <w:rFonts w:ascii="Times New Roman" w:eastAsia="仿宋GB2312" w:hAnsi="Times New Roman"/>
          <w:b/>
          <w:bCs/>
          <w:sz w:val="28"/>
          <w:szCs w:val="28"/>
        </w:rPr>
        <w:t>实施机关：</w:t>
      </w:r>
      <w:r>
        <w:rPr>
          <w:rFonts w:ascii="Times New Roman" w:eastAsia="仿宋GB2312" w:hAnsi="Times New Roman"/>
          <w:sz w:val="28"/>
          <w:szCs w:val="28"/>
        </w:rPr>
        <w:t>国家外汇管理局</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8</w:t>
      </w:r>
      <w:r>
        <w:rPr>
          <w:rFonts w:ascii="Times New Roman" w:eastAsia="仿宋GB2312" w:hAnsi="Times New Roman" w:hint="eastAsia"/>
          <w:b/>
          <w:bCs/>
          <w:sz w:val="28"/>
          <w:szCs w:val="28"/>
        </w:rPr>
        <w:t>.</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9</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0</w:t>
      </w:r>
      <w:r>
        <w:rPr>
          <w:rFonts w:ascii="Times New Roman" w:eastAsia="仿宋GB2312" w:hAnsi="Times New Roman" w:hint="eastAsia"/>
          <w:b/>
          <w:bCs/>
          <w:sz w:val="28"/>
          <w:szCs w:val="28"/>
        </w:rPr>
        <w:t>.</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1</w:t>
      </w:r>
      <w:r>
        <w:rPr>
          <w:rFonts w:ascii="Times New Roman" w:eastAsia="仿宋GB2312" w:hAnsi="Times New Roman" w:hint="eastAsia"/>
          <w:b/>
          <w:bCs/>
          <w:sz w:val="28"/>
          <w:szCs w:val="28"/>
        </w:rPr>
        <w:t>.</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1B0D61" w:rsidRDefault="001B0D61" w:rsidP="001B0D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2</w:t>
      </w:r>
      <w:r>
        <w:rPr>
          <w:rFonts w:ascii="Times New Roman" w:eastAsia="仿宋GB2312" w:hAnsi="Times New Roman" w:hint="eastAsia"/>
          <w:b/>
          <w:bCs/>
          <w:sz w:val="28"/>
          <w:szCs w:val="28"/>
        </w:rPr>
        <w:t>.</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b/>
          <w:bCs/>
          <w:sz w:val="28"/>
          <w:szCs w:val="28"/>
        </w:rPr>
        <w:t>3</w:t>
      </w:r>
      <w:r>
        <w:rPr>
          <w:rFonts w:ascii="Times New Roman" w:eastAsia="仿宋GB2312" w:hAnsi="Times New Roman" w:hint="eastAsia"/>
          <w:b/>
          <w:bCs/>
          <w:sz w:val="28"/>
          <w:szCs w:val="28"/>
        </w:rPr>
        <w:t>.</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1B0D61" w:rsidRDefault="001B0D61" w:rsidP="001B0D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4</w:t>
      </w:r>
      <w:r>
        <w:rPr>
          <w:rFonts w:ascii="Times New Roman" w:eastAsia="仿宋GB2312" w:hAnsi="Times New Roman" w:hint="eastAsia"/>
          <w:b/>
          <w:bCs/>
          <w:sz w:val="28"/>
          <w:szCs w:val="28"/>
        </w:rPr>
        <w:t>.</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1B0D61" w:rsidRDefault="001B0D61" w:rsidP="001B0D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5</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1B0D61" w:rsidRDefault="001B0D61" w:rsidP="001B0D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6</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1B0D61" w:rsidRDefault="001B0D61" w:rsidP="001B0D61">
      <w:pPr>
        <w:spacing w:line="540" w:lineRule="exact"/>
        <w:outlineLvl w:val="1"/>
        <w:rPr>
          <w:rFonts w:ascii="Times New Roman" w:eastAsia="黑体" w:hAnsi="Times New Roman"/>
          <w:sz w:val="28"/>
          <w:szCs w:val="28"/>
        </w:rPr>
      </w:pPr>
      <w:bookmarkStart w:id="2" w:name="_Toc201541079_WPSOffice_Level1"/>
      <w:r>
        <w:rPr>
          <w:rFonts w:ascii="Times New Roman" w:eastAsia="黑体" w:hAnsi="Times New Roman"/>
          <w:sz w:val="28"/>
          <w:szCs w:val="28"/>
        </w:rPr>
        <w:t>二、</w:t>
      </w:r>
      <w:r>
        <w:rPr>
          <w:rFonts w:ascii="Times New Roman" w:eastAsia="黑体" w:hAnsi="Times New Roman" w:hint="eastAsia"/>
          <w:sz w:val="28"/>
          <w:szCs w:val="28"/>
        </w:rPr>
        <w:t>行政许可事项类型</w:t>
      </w:r>
      <w:bookmarkEnd w:id="2"/>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1B0D61" w:rsidRDefault="001B0D61" w:rsidP="001B0D61">
      <w:pPr>
        <w:spacing w:line="540" w:lineRule="exact"/>
        <w:outlineLvl w:val="1"/>
        <w:rPr>
          <w:rFonts w:ascii="Times New Roman" w:eastAsia="黑体" w:hAnsi="Times New Roman"/>
          <w:sz w:val="28"/>
          <w:szCs w:val="28"/>
        </w:rPr>
      </w:pPr>
      <w:bookmarkStart w:id="3" w:name="_Toc134991012_WPSOffice_Level1"/>
      <w:r>
        <w:rPr>
          <w:rFonts w:ascii="Times New Roman" w:eastAsia="黑体" w:hAnsi="Times New Roman"/>
          <w:sz w:val="28"/>
          <w:szCs w:val="28"/>
        </w:rPr>
        <w:t>三、</w:t>
      </w:r>
      <w:r>
        <w:rPr>
          <w:rFonts w:ascii="Times New Roman" w:eastAsia="黑体" w:hAnsi="Times New Roman" w:hint="eastAsia"/>
          <w:sz w:val="28"/>
          <w:szCs w:val="28"/>
        </w:rPr>
        <w:t>行政许可条件</w:t>
      </w:r>
      <w:bookmarkEnd w:id="3"/>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（1）上年度经常项目跨境外汇收支25亿美元或者货物贸易进出口总额20亿美元以上；</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（2）具有2名以上从事外汇交易的专业人员；</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（3）具备与银行间外汇市场联网的电子交易系统；</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（4）自申请日起前两年内没有重大违反外汇管理法规行为。</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国人民银行关于加快发展外汇市场有关问题的通知》（银发〔2005〕202号）第一条第一款非金融企业符合以下条件的，可以向中国外汇交易中心（以下简称交易中心）申请会员资格，进入银行间即期外汇市场进行自营性交易：</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1.上年度经常项目跨境外汇收支25亿美元或者货物贸易进出口总额20亿美元以上；</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2.具有2名以上从事外汇交易的专业人员；</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3.具备与银行间外汇市场联网的电子交易系统；</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4.自申请日起前两年内没有重大违反外汇管理法规行为；</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5.国家外汇管理局规定的其他条件。</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申请材料齐全、符合法定形式。</w:t>
      </w:r>
    </w:p>
    <w:p w:rsidR="001B0D61" w:rsidRDefault="001B0D61" w:rsidP="001B0D61">
      <w:pPr>
        <w:spacing w:line="540" w:lineRule="exact"/>
        <w:outlineLvl w:val="1"/>
        <w:rPr>
          <w:rFonts w:ascii="Times New Roman" w:eastAsia="黑体" w:hAnsi="Times New Roman"/>
          <w:sz w:val="28"/>
          <w:szCs w:val="28"/>
        </w:rPr>
      </w:pPr>
      <w:bookmarkStart w:id="4" w:name="_Toc695858721_WPSOffice_Level1"/>
      <w:r>
        <w:rPr>
          <w:rFonts w:ascii="Times New Roman" w:eastAsia="黑体" w:hAnsi="Times New Roman"/>
          <w:sz w:val="28"/>
          <w:szCs w:val="28"/>
        </w:rPr>
        <w:t>四、行政许可服务对象类型</w:t>
      </w:r>
      <w:r>
        <w:rPr>
          <w:rFonts w:ascii="Times New Roman" w:eastAsia="黑体" w:hAnsi="Times New Roman" w:hint="eastAsia"/>
          <w:sz w:val="28"/>
          <w:szCs w:val="28"/>
        </w:rPr>
        <w:t>与改革举措</w:t>
      </w:r>
      <w:bookmarkEnd w:id="4"/>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1B0D61" w:rsidRDefault="001B0D61" w:rsidP="001B0D6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b/>
          <w:bCs/>
          <w:sz w:val="28"/>
          <w:szCs w:val="28"/>
        </w:rPr>
        <w:t>2</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准营准办</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b/>
          <w:bCs/>
          <w:sz w:val="28"/>
          <w:szCs w:val="28"/>
        </w:rPr>
        <w:t>3</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是</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b/>
          <w:bCs/>
          <w:sz w:val="28"/>
          <w:szCs w:val="28"/>
        </w:rPr>
        <w:t>4</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银行、农村信用社、兑换机构及非金融机构等结汇、售汇业务市场准入、退出审批</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b/>
          <w:bCs/>
          <w:sz w:val="28"/>
          <w:szCs w:val="28"/>
        </w:rPr>
        <w:t>5</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b/>
          <w:bCs/>
          <w:sz w:val="28"/>
          <w:szCs w:val="28"/>
        </w:rPr>
        <w:t>6</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优化审批服务</w:t>
      </w:r>
    </w:p>
    <w:p w:rsidR="001B0D61" w:rsidRDefault="001B0D61" w:rsidP="001B0D6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b/>
          <w:bCs/>
          <w:sz w:val="28"/>
          <w:szCs w:val="28"/>
        </w:rPr>
        <w:t>7</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具体改革举措</w:t>
      </w:r>
    </w:p>
    <w:p w:rsidR="001B0D61" w:rsidRDefault="001B0D61" w:rsidP="001B0D61">
      <w:pPr>
        <w:spacing w:line="54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实现预审、审批进度和结果网上查询，推动实现网上办理。</w:t>
      </w:r>
    </w:p>
    <w:p w:rsidR="001B0D61" w:rsidRDefault="001B0D61" w:rsidP="001B0D6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b/>
          <w:bCs/>
          <w:sz w:val="28"/>
          <w:szCs w:val="28"/>
        </w:rPr>
        <w:t>8</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加强事中事后监管措施</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1B0D61" w:rsidRDefault="001B0D61" w:rsidP="001B0D61">
      <w:pPr>
        <w:spacing w:line="540" w:lineRule="exact"/>
        <w:outlineLvl w:val="1"/>
        <w:rPr>
          <w:rFonts w:ascii="Times New Roman" w:eastAsia="黑体" w:hAnsi="Times New Roman"/>
          <w:sz w:val="28"/>
          <w:szCs w:val="28"/>
        </w:rPr>
      </w:pPr>
      <w:bookmarkStart w:id="5" w:name="_Toc2007644076_WPSOffice_Level1"/>
      <w:r>
        <w:rPr>
          <w:rFonts w:ascii="Times New Roman" w:eastAsia="黑体" w:hAnsi="Times New Roman"/>
          <w:sz w:val="28"/>
          <w:szCs w:val="28"/>
        </w:rPr>
        <w:t>五、</w:t>
      </w:r>
      <w:r>
        <w:rPr>
          <w:rFonts w:ascii="Times New Roman" w:eastAsia="黑体" w:hAnsi="Times New Roman" w:hint="eastAsia"/>
          <w:sz w:val="28"/>
          <w:szCs w:val="28"/>
        </w:rPr>
        <w:t>申请材料</w:t>
      </w:r>
      <w:bookmarkEnd w:id="5"/>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申请报告1份（在报告中说明申请目的、人员配备和交易系统等情况）。</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上年度经常项目跨境外汇收支和货物贸易进出口总额等有关情况的报告1份（包括贸易方式主要贸易产品主要进出口市场等）。</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上年度外汇收支和结售汇业务情况1份（包括月度和年度外汇收</w:t>
      </w:r>
      <w:r>
        <w:rPr>
          <w:rFonts w:ascii="方正仿宋_GBK" w:eastAsia="方正仿宋_GBK" w:hAnsi="方正仿宋_GBK" w:cs="方正仿宋_GBK" w:hint="eastAsia"/>
          <w:sz w:val="28"/>
          <w:szCs w:val="28"/>
        </w:rPr>
        <w:lastRenderedPageBreak/>
        <w:t>支情况和结售汇情况）。</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参与银行间即期外汇市场交易的内部管理制度复印件1份（加盖企业公章，包括交易操作规程、风险管理规定业务权限管理规定等）。</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企业集团内部外汇资金集中管理制度复印件1份（加盖企业公章，对无需集中办理集团内部成员资金入市交易的企业集团可不报此材料）。</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（1）《非金融企业和非银行金融机构申请银行间即期外汇市场会员资格实施细则（暂行）》（汇发〔2005〕94号文印发）第二条非金融企业申请银行间即期外汇市场会员资格时，须提交以下备案申请材料：</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1.申请报告，并在报告中说明申请目的、人员配备和交易系统等情况。</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2.上年度经常项目跨境外汇收支和货物贸易进出口总额等有关情况的报告，包括贸易方式、主要贸易产品、主要进出口市场等。</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3.上年度外汇收支和结售汇业务情况，包括月度和年度外汇收支情况和结售汇情况。</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4.非金融企业（或集团公司）法人或者下属财务公司所在地外汇管理部门对申请前两年外汇管理合规情况的证明。</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5.参与银行间即期外汇市场交易的内部管理制度，包括交易操作规程、风险管理规定、业务权限管理规定等。</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6.企业集团内部外汇资金集中管理制度（对无需集中办理集团内部成员资金入市交易的企业集团可不报此材料）。</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w:t>
      </w:r>
      <w:r>
        <w:rPr>
          <w:rFonts w:ascii="方正仿宋_GBK" w:eastAsia="方正仿宋_GBK" w:hAnsi="方正仿宋_GBK" w:cs="方正仿宋_GBK" w:hint="eastAsia"/>
          <w:sz w:val="28"/>
          <w:szCs w:val="28"/>
        </w:rPr>
        <w:lastRenderedPageBreak/>
        <w:t>告2021年第1号）第八条……申请人为机构的，应出示统一社会信用代码证或营业执照原件，或加盖公章的上述证件复印件……。</w:t>
      </w:r>
    </w:p>
    <w:p w:rsidR="001B0D61" w:rsidRDefault="001B0D61" w:rsidP="001B0D61">
      <w:pPr>
        <w:spacing w:line="540" w:lineRule="exact"/>
        <w:outlineLvl w:val="1"/>
        <w:rPr>
          <w:rFonts w:ascii="Times New Roman" w:eastAsia="黑体" w:hAnsi="Times New Roman"/>
          <w:sz w:val="28"/>
          <w:szCs w:val="28"/>
        </w:rPr>
      </w:pPr>
      <w:bookmarkStart w:id="6" w:name="_Toc1922530969_WPSOffice_Level1"/>
      <w:r>
        <w:rPr>
          <w:rFonts w:ascii="Times New Roman" w:eastAsia="黑体" w:hAnsi="Times New Roman"/>
          <w:sz w:val="28"/>
          <w:szCs w:val="28"/>
        </w:rPr>
        <w:t>六、</w:t>
      </w:r>
      <w:r>
        <w:rPr>
          <w:rFonts w:ascii="Times New Roman" w:eastAsia="黑体" w:hAnsi="Times New Roman" w:hint="eastAsia"/>
          <w:sz w:val="28"/>
          <w:szCs w:val="28"/>
        </w:rPr>
        <w:t>中介服务</w:t>
      </w:r>
      <w:bookmarkEnd w:id="6"/>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方正仿宋_GBK" w:eastAsia="方正仿宋_GBK" w:hAnsi="方正仿宋_GBK" w:cs="方正仿宋_GBK"/>
          <w:sz w:val="28"/>
          <w:szCs w:val="28"/>
        </w:rPr>
        <w:t>无</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B0D61" w:rsidRDefault="001B0D61" w:rsidP="001B0D61">
      <w:pPr>
        <w:spacing w:line="540" w:lineRule="exact"/>
        <w:outlineLvl w:val="1"/>
        <w:rPr>
          <w:rFonts w:ascii="Times New Roman" w:eastAsia="黑体" w:hAnsi="Times New Roman"/>
          <w:sz w:val="28"/>
          <w:szCs w:val="28"/>
        </w:rPr>
      </w:pPr>
      <w:bookmarkStart w:id="7" w:name="_Toc1962353416_WPSOffice_Level1"/>
      <w:r>
        <w:rPr>
          <w:rFonts w:ascii="Times New Roman" w:eastAsia="黑体" w:hAnsi="Times New Roman"/>
          <w:sz w:val="28"/>
          <w:szCs w:val="28"/>
        </w:rPr>
        <w:t>七、</w:t>
      </w:r>
      <w:r>
        <w:rPr>
          <w:rFonts w:ascii="Times New Roman" w:eastAsia="黑体" w:hAnsi="Times New Roman" w:hint="eastAsia"/>
          <w:sz w:val="28"/>
          <w:szCs w:val="28"/>
        </w:rPr>
        <w:t>审批程序</w:t>
      </w:r>
      <w:bookmarkEnd w:id="7"/>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1B0D61" w:rsidRDefault="001B0D61" w:rsidP="001B0D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w:t>
      </w:r>
      <w:r>
        <w:rPr>
          <w:rFonts w:ascii="方正仿宋_GBK" w:eastAsia="方正仿宋_GBK" w:hAnsi="方正仿宋_GBK" w:cs="方正仿宋_GBK"/>
          <w:sz w:val="28"/>
          <w:szCs w:val="28"/>
        </w:rPr>
        <w:lastRenderedPageBreak/>
        <w:t>法定形式的，应当场或在收到申请材料之日起5个工作日内作出要求申请人补正材料的决定，出具补正告知书，一次性告知申请人需要补正的全部内容；逾期不告知的，自收到申请材料之日起即为受理；</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0D61" w:rsidRDefault="001B0D61" w:rsidP="001B0D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1B0D61" w:rsidRDefault="001B0D61" w:rsidP="001B0D61">
      <w:pPr>
        <w:spacing w:line="540" w:lineRule="exact"/>
        <w:outlineLvl w:val="1"/>
        <w:rPr>
          <w:rFonts w:ascii="Times New Roman" w:eastAsia="黑体" w:hAnsi="Times New Roman"/>
          <w:sz w:val="28"/>
          <w:szCs w:val="28"/>
        </w:rPr>
      </w:pPr>
      <w:bookmarkStart w:id="8" w:name="_Toc862528753_WPSOffice_Level1"/>
      <w:r>
        <w:rPr>
          <w:rFonts w:ascii="Times New Roman" w:eastAsia="黑体" w:hAnsi="Times New Roman"/>
          <w:sz w:val="28"/>
          <w:szCs w:val="28"/>
        </w:rPr>
        <w:t>八、</w:t>
      </w:r>
      <w:r>
        <w:rPr>
          <w:rFonts w:ascii="Times New Roman" w:eastAsia="黑体" w:hAnsi="Times New Roman" w:hint="eastAsia"/>
          <w:sz w:val="28"/>
          <w:szCs w:val="28"/>
        </w:rPr>
        <w:t>受理和审批时限</w:t>
      </w:r>
      <w:bookmarkEnd w:id="8"/>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1B0D61" w:rsidRDefault="001B0D61" w:rsidP="001B0D6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1B0D61" w:rsidRDefault="001B0D61" w:rsidP="001B0D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1B0D61" w:rsidRDefault="001B0D61" w:rsidP="001B0D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各级外汇局对行政许可办理时限具有对外承诺的，应按照其承诺的时限完成；对外承诺的时限应短于20个工作日。</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15工作日</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1B0D61" w:rsidRDefault="001B0D61" w:rsidP="001B0D61">
      <w:pPr>
        <w:spacing w:line="540" w:lineRule="exact"/>
        <w:outlineLvl w:val="1"/>
        <w:rPr>
          <w:rFonts w:ascii="Times New Roman" w:eastAsia="黑体" w:hAnsi="Times New Roman"/>
          <w:sz w:val="28"/>
          <w:szCs w:val="28"/>
        </w:rPr>
      </w:pPr>
      <w:bookmarkStart w:id="9" w:name="_Toc1472402558_WPSOffice_Level1"/>
      <w:r>
        <w:rPr>
          <w:rFonts w:ascii="Times New Roman" w:eastAsia="黑体" w:hAnsi="Times New Roman"/>
          <w:sz w:val="28"/>
          <w:szCs w:val="28"/>
        </w:rPr>
        <w:t>九、</w:t>
      </w:r>
      <w:r>
        <w:rPr>
          <w:rFonts w:ascii="Times New Roman" w:eastAsia="黑体" w:hAnsi="Times New Roman" w:hint="eastAsia"/>
          <w:sz w:val="28"/>
          <w:szCs w:val="28"/>
        </w:rPr>
        <w:t>收费</w:t>
      </w:r>
      <w:bookmarkEnd w:id="9"/>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1B0D61" w:rsidRDefault="001B0D61" w:rsidP="001B0D6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1B0D61" w:rsidRDefault="001B0D61" w:rsidP="001B0D61">
      <w:pPr>
        <w:spacing w:line="540" w:lineRule="exact"/>
        <w:outlineLvl w:val="1"/>
        <w:rPr>
          <w:rFonts w:ascii="Times New Roman" w:eastAsia="黑体" w:hAnsi="Times New Roman"/>
          <w:sz w:val="28"/>
          <w:szCs w:val="28"/>
        </w:rPr>
      </w:pPr>
      <w:bookmarkStart w:id="10" w:name="_Toc526870064_WPSOffice_Level1"/>
      <w:r>
        <w:rPr>
          <w:rFonts w:ascii="Times New Roman" w:eastAsia="黑体" w:hAnsi="Times New Roman"/>
          <w:sz w:val="28"/>
          <w:szCs w:val="28"/>
        </w:rPr>
        <w:t>十、</w:t>
      </w:r>
      <w:r>
        <w:rPr>
          <w:rFonts w:ascii="Times New Roman" w:eastAsia="黑体" w:hAnsi="Times New Roman" w:hint="eastAsia"/>
          <w:sz w:val="28"/>
          <w:szCs w:val="28"/>
        </w:rPr>
        <w:t>行政许可证件</w:t>
      </w:r>
      <w:bookmarkEnd w:id="10"/>
    </w:p>
    <w:p w:rsidR="001B0D61" w:rsidRDefault="001B0D61" w:rsidP="001B0D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《银行间即期外汇市场会员资格备案通知书》</w:t>
      </w:r>
    </w:p>
    <w:p w:rsidR="001B0D61" w:rsidRDefault="001B0D61" w:rsidP="001B0D6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无期限</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1B0D61" w:rsidRDefault="001B0D61" w:rsidP="001B0D6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Times New Roman" w:eastAsia="仿宋GB2312" w:hAnsi="Times New Roman"/>
          <w:b/>
          <w:bCs/>
          <w:sz w:val="28"/>
          <w:szCs w:val="28"/>
        </w:rPr>
        <w:t>：</w:t>
      </w:r>
      <w:r>
        <w:rPr>
          <w:rFonts w:ascii="方正仿宋_GBK" w:eastAsia="方正仿宋_GBK" w:hAnsi="方正仿宋_GBK" w:cs="方正仿宋_GBK"/>
          <w:sz w:val="28"/>
          <w:szCs w:val="28"/>
        </w:rPr>
        <w:t>无</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1B0D61" w:rsidRDefault="001B0D61" w:rsidP="001B0D61">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1B0D61" w:rsidRDefault="001B0D61" w:rsidP="001B0D6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全国</w:t>
      </w:r>
    </w:p>
    <w:p w:rsidR="001B0D61" w:rsidRDefault="001B0D61" w:rsidP="001B0D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1B0D61" w:rsidRDefault="001B0D61" w:rsidP="001B0D61">
      <w:pPr>
        <w:spacing w:line="540" w:lineRule="exact"/>
        <w:outlineLvl w:val="1"/>
        <w:rPr>
          <w:rFonts w:ascii="Times New Roman" w:eastAsia="黑体" w:hAnsi="Times New Roman"/>
          <w:sz w:val="28"/>
          <w:szCs w:val="28"/>
        </w:rPr>
      </w:pPr>
      <w:bookmarkStart w:id="11" w:name="_Toc1550266854_WPSOffice_Level1"/>
      <w:r>
        <w:rPr>
          <w:rFonts w:ascii="Times New Roman" w:eastAsia="黑体" w:hAnsi="Times New Roman"/>
          <w:sz w:val="28"/>
          <w:szCs w:val="28"/>
        </w:rPr>
        <w:t>十一、</w:t>
      </w:r>
      <w:r>
        <w:rPr>
          <w:rFonts w:ascii="Times New Roman" w:eastAsia="黑体" w:hAnsi="Times New Roman" w:hint="eastAsia"/>
          <w:sz w:val="28"/>
          <w:szCs w:val="28"/>
        </w:rPr>
        <w:t>行政许可数量限制</w:t>
      </w:r>
      <w:bookmarkEnd w:id="11"/>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1B0D61" w:rsidRDefault="001B0D61" w:rsidP="001B0D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1B0D61" w:rsidRDefault="001B0D61" w:rsidP="001B0D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1B0D61" w:rsidRDefault="001B0D61" w:rsidP="001B0D61">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1B0D61" w:rsidRDefault="001B0D61" w:rsidP="001B0D61">
      <w:pPr>
        <w:spacing w:line="540" w:lineRule="exact"/>
        <w:outlineLvl w:val="1"/>
        <w:rPr>
          <w:rFonts w:ascii="Times New Roman" w:eastAsia="黑体" w:hAnsi="Times New Roman"/>
          <w:sz w:val="28"/>
          <w:szCs w:val="28"/>
        </w:rPr>
      </w:pPr>
      <w:bookmarkStart w:id="12" w:name="_Toc468167222_WPSOffice_Level1"/>
      <w:r>
        <w:rPr>
          <w:rFonts w:ascii="Times New Roman" w:eastAsia="黑体" w:hAnsi="Times New Roman"/>
          <w:sz w:val="28"/>
          <w:szCs w:val="28"/>
        </w:rPr>
        <w:t>十二、</w:t>
      </w:r>
      <w:r>
        <w:rPr>
          <w:rFonts w:ascii="Times New Roman" w:eastAsia="黑体" w:hAnsi="Times New Roman" w:hint="eastAsia"/>
          <w:sz w:val="28"/>
          <w:szCs w:val="28"/>
        </w:rPr>
        <w:t>行政许可后年检</w:t>
      </w:r>
      <w:bookmarkEnd w:id="12"/>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1B0D61" w:rsidRDefault="001B0D61" w:rsidP="001B0D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1B0D61" w:rsidRDefault="001B0D61" w:rsidP="001B0D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1B0D61" w:rsidRDefault="001B0D61" w:rsidP="001B0D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1B0D61" w:rsidRDefault="001B0D61" w:rsidP="001B0D61">
      <w:pPr>
        <w:spacing w:line="540" w:lineRule="exact"/>
        <w:outlineLvl w:val="1"/>
        <w:rPr>
          <w:rFonts w:ascii="Times New Roman" w:eastAsia="黑体" w:hAnsi="Times New Roman"/>
          <w:sz w:val="28"/>
          <w:szCs w:val="28"/>
        </w:rPr>
      </w:pPr>
      <w:bookmarkStart w:id="13" w:name="_Toc1494270310_WPSOffice_Level1"/>
      <w:r>
        <w:rPr>
          <w:rFonts w:ascii="Times New Roman" w:eastAsia="黑体" w:hAnsi="Times New Roman"/>
          <w:sz w:val="28"/>
          <w:szCs w:val="28"/>
        </w:rPr>
        <w:t>十三、</w:t>
      </w:r>
      <w:r>
        <w:rPr>
          <w:rFonts w:ascii="Times New Roman" w:eastAsia="黑体" w:hAnsi="Times New Roman" w:hint="eastAsia"/>
          <w:sz w:val="28"/>
          <w:szCs w:val="28"/>
        </w:rPr>
        <w:t>行政许可后年报</w:t>
      </w:r>
      <w:bookmarkEnd w:id="13"/>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0D61" w:rsidRDefault="001B0D61" w:rsidP="001B0D6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方正仿宋_GBK" w:eastAsia="方正仿宋_GBK" w:hAnsi="方正仿宋_GBK" w:cs="方正仿宋_GBK" w:hint="eastAsia"/>
          <w:sz w:val="28"/>
          <w:szCs w:val="28"/>
        </w:rPr>
        <w:t>无</w:t>
      </w:r>
    </w:p>
    <w:p w:rsidR="001B0D61" w:rsidRDefault="001B0D61" w:rsidP="001B0D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0D61" w:rsidRDefault="001B0D61" w:rsidP="001B0D61">
      <w:pPr>
        <w:spacing w:line="540" w:lineRule="exact"/>
        <w:outlineLvl w:val="1"/>
        <w:rPr>
          <w:rFonts w:ascii="Times New Roman" w:eastAsia="黑体" w:hAnsi="Times New Roman"/>
          <w:sz w:val="28"/>
          <w:szCs w:val="28"/>
        </w:rPr>
      </w:pPr>
      <w:bookmarkStart w:id="14" w:name="_Toc261175020_WPSOffice_Level1"/>
      <w:r>
        <w:rPr>
          <w:rFonts w:ascii="Times New Roman" w:eastAsia="黑体" w:hAnsi="Times New Roman"/>
          <w:sz w:val="28"/>
          <w:szCs w:val="28"/>
        </w:rPr>
        <w:t>十四、</w:t>
      </w:r>
      <w:r>
        <w:rPr>
          <w:rFonts w:ascii="Times New Roman" w:eastAsia="黑体" w:hAnsi="Times New Roman" w:hint="eastAsia"/>
          <w:sz w:val="28"/>
          <w:szCs w:val="28"/>
        </w:rPr>
        <w:t>监管主体</w:t>
      </w:r>
      <w:bookmarkEnd w:id="14"/>
    </w:p>
    <w:p w:rsidR="001B0D61" w:rsidRDefault="001B0D61" w:rsidP="001B0D61">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国家外汇局及其分支局</w:t>
      </w:r>
    </w:p>
    <w:p w:rsidR="001B0D61" w:rsidRDefault="001B0D61" w:rsidP="001B0D61">
      <w:pPr>
        <w:spacing w:line="540" w:lineRule="exact"/>
        <w:outlineLvl w:val="1"/>
        <w:rPr>
          <w:rFonts w:ascii="Times New Roman" w:eastAsia="黑体" w:hAnsi="Times New Roman"/>
          <w:sz w:val="28"/>
          <w:szCs w:val="28"/>
        </w:rPr>
      </w:pPr>
      <w:bookmarkStart w:id="15" w:name="_Toc489856857_WPSOffice_Level1"/>
      <w:r>
        <w:rPr>
          <w:rFonts w:ascii="Times New Roman" w:eastAsia="黑体" w:hAnsi="Times New Roman" w:hint="eastAsia"/>
          <w:sz w:val="28"/>
          <w:szCs w:val="28"/>
        </w:rPr>
        <w:t>十五、业务办理信息</w:t>
      </w:r>
      <w:bookmarkEnd w:id="15"/>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1B0D61" w:rsidRDefault="001B0D61" w:rsidP="001B0D6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1B0D61" w:rsidRDefault="001B0D61" w:rsidP="001B0D6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1B0D61" w:rsidRDefault="001B0D61" w:rsidP="001B0D6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lastRenderedPageBreak/>
        <w:t>5</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是</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6</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互联网收件,互联网预审,互联网受理,互联网办理</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7</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网办地址：</w:t>
      </w:r>
      <w:r>
        <w:rPr>
          <w:rFonts w:ascii="方正仿宋_GBK" w:eastAsia="方正仿宋_GBK" w:hAnsi="方正仿宋_GBK" w:cs="方正仿宋_GBK"/>
          <w:sz w:val="28"/>
          <w:szCs w:val="28"/>
        </w:rPr>
        <w:t>http://zwfw.safe.gov.cn/asone</w:t>
      </w:r>
    </w:p>
    <w:p w:rsidR="001B0D61" w:rsidRDefault="001B0D61" w:rsidP="001B0D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b/>
          <w:bCs/>
          <w:sz w:val="28"/>
          <w:szCs w:val="28"/>
        </w:rPr>
        <w:t>8.</w:t>
      </w:r>
      <w:r>
        <w:rPr>
          <w:rFonts w:ascii="Times New Roman" w:eastAsia="仿宋GB2312" w:hAnsi="Times New Roman"/>
          <w:b/>
          <w:bCs/>
          <w:sz w:val="28"/>
          <w:szCs w:val="28"/>
        </w:rPr>
        <w:t>移动端是否对接单点登录：</w:t>
      </w:r>
      <w:r>
        <w:rPr>
          <w:rFonts w:ascii="Times New Roman" w:eastAsia="仿宋GB2312" w:hAnsi="Times New Roman"/>
          <w:sz w:val="28"/>
          <w:szCs w:val="28"/>
        </w:rPr>
        <w:t>否</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9</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计算机端是否对接单点登录：</w:t>
      </w:r>
      <w:r>
        <w:rPr>
          <w:rFonts w:ascii="方正仿宋_GBK" w:eastAsia="方正仿宋_GBK" w:hAnsi="方正仿宋_GBK" w:cs="方正仿宋_GBK"/>
          <w:sz w:val="28"/>
          <w:szCs w:val="28"/>
        </w:rPr>
        <w:t>是</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10</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计算机端在线办理跳转地址：</w:t>
      </w:r>
      <w:r>
        <w:rPr>
          <w:rFonts w:ascii="方正仿宋_GBK" w:eastAsia="方正仿宋_GBK" w:hAnsi="方正仿宋_GBK" w:cs="方正仿宋_GBK"/>
          <w:sz w:val="28"/>
          <w:szCs w:val="28"/>
        </w:rPr>
        <w:t>http://zwfw.safe.gov.cn/zwfw/onlineBusiness/apply_org.html?code=00017111202001</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1</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0</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2</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3</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1B0D61" w:rsidRDefault="001B0D61" w:rsidP="001B0D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b/>
          <w:bCs/>
          <w:sz w:val="28"/>
          <w:szCs w:val="28"/>
        </w:rPr>
        <w:t>14</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15</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（010）68402271</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16</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17</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1B0D61" w:rsidRDefault="001B0D61" w:rsidP="001B0D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18</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1B0D61" w:rsidRDefault="00A611B3"/>
    <w:sectPr w:rsidR="00A611B3" w:rsidRPr="001B0D61"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0D61"/>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0D61"/>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36EE"/>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6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2023-10-07T06:34:00Z</dcterms:created>
  <dcterms:modified xsi:type="dcterms:W3CDTF">2023-10-07T06:34:00Z</dcterms:modified>
</cp:coreProperties>
</file>