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FB" w:rsidRDefault="00DB0BFB" w:rsidP="00DB0BFB">
      <w:pPr>
        <w:widowControl/>
        <w:spacing w:line="500" w:lineRule="exact"/>
        <w:jc w:val="center"/>
        <w:rPr>
          <w:rFonts w:ascii="宋体" w:hAnsi="宋体" w:cs="宋体"/>
          <w:color w:val="333333"/>
          <w:sz w:val="44"/>
          <w:szCs w:val="44"/>
          <w:shd w:val="clear" w:color="auto" w:fill="FFFFFF"/>
        </w:rPr>
      </w:pPr>
    </w:p>
    <w:p w:rsidR="00DB0BFB" w:rsidRPr="00A96F50" w:rsidRDefault="00DB0BFB" w:rsidP="00DB0BFB">
      <w:pPr>
        <w:widowControl/>
        <w:spacing w:line="500" w:lineRule="exact"/>
        <w:jc w:val="center"/>
        <w:rPr>
          <w:rFonts w:ascii="宋体" w:eastAsia="宋体" w:hAnsi="宋体" w:cs="宋体"/>
          <w:sz w:val="44"/>
        </w:rPr>
      </w:pPr>
      <w:r w:rsidRPr="00A96F50">
        <w:rPr>
          <w:rFonts w:ascii="宋体" w:eastAsia="宋体" w:hAnsi="宋体" w:cs="宋体" w:hint="eastAsia"/>
          <w:sz w:val="44"/>
        </w:rPr>
        <w:t>银行间外汇市场管理暂行规定</w:t>
      </w:r>
    </w:p>
    <w:p w:rsidR="00DB0BFB" w:rsidRDefault="00DB0BFB" w:rsidP="00DB0BFB">
      <w:pPr>
        <w:ind w:firstLineChars="200" w:firstLine="640"/>
        <w:rPr>
          <w:rFonts w:ascii="楷体_GB2312" w:eastAsia="楷体_GB2312" w:hAnsi="楷体_GB2312" w:cs="楷体_GB2312"/>
          <w:color w:val="333333"/>
          <w:sz w:val="32"/>
          <w:szCs w:val="32"/>
          <w:shd w:val="clear" w:color="auto" w:fill="FFFFFF"/>
        </w:rPr>
      </w:pPr>
    </w:p>
    <w:p w:rsidR="00DB0BFB" w:rsidRPr="0007123D" w:rsidRDefault="00DB0BFB" w:rsidP="00DB0BFB">
      <w:pPr>
        <w:ind w:firstLineChars="200" w:firstLine="640"/>
        <w:rPr>
          <w:rFonts w:ascii="楷体_GB2312" w:eastAsia="楷体_GB2312" w:hAnsi="楷体_GB2312" w:cs="楷体_GB2312"/>
          <w:color w:val="333333"/>
          <w:sz w:val="32"/>
          <w:szCs w:val="32"/>
          <w:shd w:val="clear" w:color="auto" w:fill="FFFFFF"/>
        </w:rPr>
      </w:pPr>
      <w:r w:rsidRPr="0007123D">
        <w:rPr>
          <w:rFonts w:ascii="楷体_GB2312" w:eastAsia="楷体_GB2312" w:hAnsi="楷体_GB2312" w:cs="楷体_GB2312"/>
          <w:color w:val="333333"/>
          <w:sz w:val="32"/>
          <w:szCs w:val="32"/>
          <w:shd w:val="clear" w:color="auto" w:fill="FFFFFF"/>
        </w:rPr>
        <w:t>（</w:t>
      </w:r>
      <w:r w:rsidR="00F462A6" w:rsidRPr="00F462A6">
        <w:rPr>
          <w:rFonts w:ascii="楷体_GB2312" w:eastAsia="楷体_GB2312" w:hAnsi="楷体_GB2312" w:cs="楷体_GB2312" w:hint="eastAsia"/>
          <w:color w:val="333333"/>
          <w:sz w:val="32"/>
          <w:szCs w:val="32"/>
          <w:shd w:val="clear" w:color="auto" w:fill="FFFFFF"/>
        </w:rPr>
        <w:t>1996年12月2日中国人民银行银发〔1996〕423号文公布  自1996年12月2日起施行</w:t>
      </w:r>
      <w:r w:rsidRPr="0007123D">
        <w:rPr>
          <w:rFonts w:ascii="楷体_GB2312" w:eastAsia="楷体_GB2312" w:hAnsi="楷体_GB2312" w:cs="楷体_GB2312"/>
          <w:color w:val="333333"/>
          <w:sz w:val="32"/>
          <w:szCs w:val="32"/>
          <w:shd w:val="clear" w:color="auto" w:fill="FFFFFF"/>
        </w:rPr>
        <w:t>）</w:t>
      </w:r>
    </w:p>
    <w:p w:rsidR="00DB0BFB" w:rsidRPr="0007123D" w:rsidRDefault="00DB0BFB" w:rsidP="00DB0BFB">
      <w:pPr>
        <w:pStyle w:val="2"/>
        <w:spacing w:line="576" w:lineRule="auto"/>
        <w:ind w:firstLine="640"/>
        <w:jc w:val="center"/>
        <w:rPr>
          <w:rFonts w:ascii="黑体" w:eastAsia="黑体"/>
          <w:shd w:val="clear" w:color="auto" w:fill="FFFFFF"/>
        </w:rPr>
      </w:pPr>
      <w:r w:rsidRPr="0007123D">
        <w:rPr>
          <w:rFonts w:ascii="黑体" w:eastAsia="黑体" w:hint="eastAsia"/>
          <w:shd w:val="clear" w:color="auto" w:fill="FFFFFF"/>
        </w:rPr>
        <w:t>第一章 总  则</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第一条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为规范和发展我国银行间外汇市场，维护交易当事人的合法权益，根据《中华人民共和国外汇管理条例》，特制定本规定。 </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本规定所称银行间外汇市场(以下简称外汇市场)是指经国家外汇管理局批准可以经营外汇业务的境内金融机构(包括银行、非银行金融机构和外资金融机构)之间通过中国外汇交易中心(以下简称交易中心)进行人民币与外币之间的交易市场。</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 xml:space="preserve">任何境内金融机构之间不得在交易中心之外进行人民币与外币之间的交易。 </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第三条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外汇市场由中国人民银行授权国家外汇管理局进行监管。 </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第四条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交易中心在国家外汇管理局的监管下，负责外汇市场的组织和日常业务管理。 </w:t>
      </w:r>
    </w:p>
    <w:p w:rsidR="00DB0BFB" w:rsidRDefault="00DB0BFB" w:rsidP="00DB0BFB">
      <w:pPr>
        <w:ind w:firstLineChars="200" w:firstLine="640"/>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第五条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从事外汇交易，必须遵守法律、行政法规，遵守公</w:t>
      </w:r>
      <w:r>
        <w:rPr>
          <w:rFonts w:ascii="仿宋_GB2312" w:eastAsia="仿宋_GB2312" w:hAnsi="宋体" w:cs="宋体" w:hint="eastAsia"/>
          <w:color w:val="333333"/>
          <w:sz w:val="32"/>
          <w:szCs w:val="32"/>
          <w:shd w:val="clear" w:color="auto" w:fill="FFFFFF"/>
        </w:rPr>
        <w:lastRenderedPageBreak/>
        <w:t xml:space="preserve">开、公平、公正和诚实信用的原则。 </w:t>
      </w:r>
    </w:p>
    <w:p w:rsidR="00DB0BFB" w:rsidRPr="0007123D" w:rsidRDefault="00DB0BFB" w:rsidP="00DB0BFB">
      <w:pPr>
        <w:pStyle w:val="2"/>
        <w:ind w:firstLine="640"/>
        <w:jc w:val="center"/>
        <w:rPr>
          <w:rFonts w:ascii="黑体" w:eastAsia="黑体"/>
          <w:shd w:val="clear" w:color="auto" w:fill="FFFFFF"/>
        </w:rPr>
      </w:pPr>
      <w:r w:rsidRPr="0007123D">
        <w:rPr>
          <w:rFonts w:ascii="黑体" w:eastAsia="黑体" w:hint="eastAsia"/>
          <w:shd w:val="clear" w:color="auto" w:fill="FFFFFF"/>
        </w:rPr>
        <w:t>第二章 市场组织机构的设立与监管</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第六条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交易中心是中国人民银行领导下的独立核算、非盈利性的事业法人。 </w:t>
      </w:r>
    </w:p>
    <w:p w:rsidR="00DB0BFB" w:rsidRDefault="00DB0BFB" w:rsidP="00DB0BFB">
      <w:pPr>
        <w:widowControl/>
        <w:ind w:firstLineChars="200" w:firstLine="640"/>
        <w:jc w:val="left"/>
        <w:rPr>
          <w:rFonts w:ascii="方正黑体_GBK" w:eastAsia="方正黑体_GBK" w:hAnsi="黑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第七条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交易中心的主要职能是： </w:t>
      </w:r>
    </w:p>
    <w:p w:rsidR="00DB0BFB" w:rsidRDefault="00DB0BFB" w:rsidP="00DB0BFB">
      <w:pPr>
        <w:widowControl/>
        <w:numPr>
          <w:ilvl w:val="0"/>
          <w:numId w:val="1"/>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提供并维护银行间外汇交易系统； </w:t>
      </w:r>
    </w:p>
    <w:p w:rsidR="00DB0BFB" w:rsidRDefault="00DB0BFB" w:rsidP="00DB0BFB">
      <w:pPr>
        <w:widowControl/>
        <w:numPr>
          <w:ilvl w:val="0"/>
          <w:numId w:val="1"/>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组织外汇交易币种、品种的买卖； </w:t>
      </w:r>
    </w:p>
    <w:p w:rsidR="00DB0BFB" w:rsidRDefault="00DB0BFB" w:rsidP="00DB0BFB">
      <w:pPr>
        <w:widowControl/>
        <w:numPr>
          <w:ilvl w:val="0"/>
          <w:numId w:val="1"/>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办理外汇交易的清算交割； </w:t>
      </w:r>
    </w:p>
    <w:p w:rsidR="00DB0BFB" w:rsidRDefault="00DB0BFB" w:rsidP="00DB0BFB">
      <w:pPr>
        <w:widowControl/>
        <w:numPr>
          <w:ilvl w:val="0"/>
          <w:numId w:val="1"/>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提供外汇市场信息服务； </w:t>
      </w:r>
    </w:p>
    <w:p w:rsidR="00DB0BFB" w:rsidRDefault="00DB0BFB" w:rsidP="00DB0BFB">
      <w:pPr>
        <w:widowControl/>
        <w:numPr>
          <w:ilvl w:val="0"/>
          <w:numId w:val="1"/>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国家外汇管理局授权的其他职能。 </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第八条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根据业务需要，交易中心可以设立分中心、分中心的设立或撤消须报经国家外汇管理局批准。</w:t>
      </w:r>
      <w:r>
        <w:rPr>
          <w:rFonts w:ascii="微软雅黑" w:eastAsia="微软雅黑" w:hAnsi="微软雅黑" w:cs="宋体" w:hint="eastAsia"/>
          <w:color w:val="000000"/>
          <w:kern w:val="0"/>
          <w:szCs w:val="21"/>
        </w:rPr>
        <w:br/>
      </w:r>
      <w:r>
        <w:rPr>
          <w:rFonts w:ascii="微软雅黑" w:eastAsia="微软雅黑" w:hAnsi="微软雅黑" w:cs="宋体"/>
          <w:color w:val="000000"/>
          <w:kern w:val="0"/>
          <w:szCs w:val="21"/>
        </w:rPr>
        <w:t xml:space="preserve">     </w:t>
      </w:r>
      <w:r w:rsidRPr="0007123D">
        <w:rPr>
          <w:rFonts w:ascii="微软雅黑" w:eastAsia="微软雅黑" w:hAnsi="微软雅黑" w:cs="宋体"/>
          <w:color w:val="000000"/>
          <w:kern w:val="0"/>
          <w:szCs w:val="21"/>
        </w:rPr>
        <w:t xml:space="preserve"> </w:t>
      </w:r>
      <w:r w:rsidRPr="0007123D">
        <w:rPr>
          <w:rFonts w:ascii="黑体" w:eastAsia="黑体" w:hAnsi="黑体" w:cs="宋体" w:hint="eastAsia"/>
          <w:color w:val="333333"/>
          <w:sz w:val="32"/>
          <w:szCs w:val="32"/>
          <w:shd w:val="clear" w:color="auto" w:fill="FFFFFF"/>
        </w:rPr>
        <w:t>第九条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交易中心实行会员制，只有会员才能参与外汇市场的交易。</w:t>
      </w:r>
      <w:r>
        <w:rPr>
          <w:rFonts w:ascii="微软雅黑" w:eastAsia="微软雅黑" w:hAnsi="微软雅黑" w:cs="宋体" w:hint="eastAsia"/>
          <w:color w:val="000000"/>
          <w:kern w:val="0"/>
          <w:szCs w:val="21"/>
        </w:rPr>
        <w:br/>
      </w:r>
      <w:r>
        <w:rPr>
          <w:rFonts w:ascii="微软雅黑" w:eastAsia="微软雅黑" w:hAnsi="微软雅黑" w:cs="宋体"/>
          <w:color w:val="000000"/>
          <w:kern w:val="0"/>
          <w:szCs w:val="21"/>
        </w:rPr>
        <w:t xml:space="preserve">      </w:t>
      </w:r>
      <w:r w:rsidRPr="0007123D">
        <w:rPr>
          <w:rFonts w:ascii="黑体" w:eastAsia="黑体" w:hAnsi="黑体" w:cs="宋体" w:hint="eastAsia"/>
          <w:color w:val="333333"/>
          <w:sz w:val="32"/>
          <w:szCs w:val="32"/>
          <w:shd w:val="clear" w:color="auto" w:fill="FFFFFF"/>
        </w:rPr>
        <w:t>第十条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会员大会是交易中心的最高权力机构，每年召开一次。会议由交易中心理事会负责召集。</w:t>
      </w:r>
      <w:r>
        <w:rPr>
          <w:rFonts w:ascii="微软雅黑" w:eastAsia="微软雅黑" w:hAnsi="微软雅黑" w:cs="宋体" w:hint="eastAsia"/>
          <w:color w:val="000000"/>
          <w:kern w:val="0"/>
          <w:szCs w:val="21"/>
        </w:rPr>
        <w:br/>
      </w:r>
      <w:r>
        <w:rPr>
          <w:rFonts w:ascii="微软雅黑" w:eastAsia="微软雅黑" w:hAnsi="微软雅黑" w:cs="宋体"/>
          <w:color w:val="000000"/>
          <w:kern w:val="0"/>
          <w:szCs w:val="21"/>
        </w:rPr>
        <w:t xml:space="preserve">      </w:t>
      </w:r>
      <w:r w:rsidRPr="0007123D">
        <w:rPr>
          <w:rFonts w:ascii="黑体" w:eastAsia="黑体" w:hAnsi="黑体" w:cs="宋体" w:hint="eastAsia"/>
          <w:color w:val="333333"/>
          <w:sz w:val="32"/>
          <w:szCs w:val="32"/>
          <w:shd w:val="clear" w:color="auto" w:fill="FFFFFF"/>
        </w:rPr>
        <w:t>第十一</w:t>
      </w:r>
      <w:r>
        <w:rPr>
          <w:rFonts w:ascii="方正黑体_GBK" w:eastAsia="方正黑体_GBK" w:hAnsi="黑体" w:cs="宋体" w:hint="eastAsia"/>
          <w:color w:val="333333"/>
          <w:sz w:val="32"/>
          <w:szCs w:val="32"/>
          <w:shd w:val="clear" w:color="auto" w:fill="FFFFFF"/>
        </w:rPr>
        <w:t>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交易中心设立理事会，为会员大会闭会期间会员大会的常设机构。</w:t>
      </w:r>
      <w:r>
        <w:rPr>
          <w:rFonts w:ascii="微软雅黑" w:eastAsia="微软雅黑" w:hAnsi="微软雅黑" w:cs="宋体" w:hint="eastAsia"/>
          <w:color w:val="000000"/>
          <w:kern w:val="0"/>
          <w:szCs w:val="21"/>
        </w:rPr>
        <w:br/>
      </w:r>
      <w:r>
        <w:rPr>
          <w:rFonts w:ascii="微软雅黑" w:eastAsia="微软雅黑" w:hAnsi="微软雅黑" w:cs="宋体"/>
          <w:color w:val="000000"/>
          <w:kern w:val="0"/>
          <w:szCs w:val="21"/>
        </w:rPr>
        <w:t xml:space="preserve">      </w:t>
      </w:r>
      <w:r w:rsidRPr="0007123D">
        <w:rPr>
          <w:rFonts w:ascii="黑体" w:eastAsia="黑体" w:hAnsi="黑体" w:cs="宋体" w:hint="eastAsia"/>
          <w:color w:val="333333"/>
          <w:sz w:val="32"/>
          <w:szCs w:val="32"/>
          <w:shd w:val="clear" w:color="auto" w:fill="FFFFFF"/>
        </w:rPr>
        <w:t>第十二条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理事会成员不得少于九人，其中非会员理事人数</w:t>
      </w:r>
      <w:r>
        <w:rPr>
          <w:rFonts w:ascii="仿宋_GB2312" w:eastAsia="仿宋_GB2312" w:hAnsi="宋体" w:cs="宋体" w:hint="eastAsia"/>
          <w:color w:val="333333"/>
          <w:sz w:val="32"/>
          <w:szCs w:val="32"/>
          <w:shd w:val="clear" w:color="auto" w:fill="FFFFFF"/>
        </w:rPr>
        <w:lastRenderedPageBreak/>
        <w:t xml:space="preserve">不得少于理事会成员的三分之一；会员理事中中资机构会员人数不得少于理事会成员的三分之一；理事会每届任期二年，每位会员理事连任不得超过两届。　 </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第十三条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会员理事由会员大会选举产生，非会员理事由国家外汇管理局提名，会员大会选举产生。 </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第十四条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理事会设理事长一人，由非会员理事担任，经国家外汇管理局提名，理事会选举产生；副理事长三人，其中非会员理事长一人，会员理事长二人，由理事会选举产生。 　 </w:t>
      </w:r>
    </w:p>
    <w:p w:rsidR="00DB0BFB" w:rsidRPr="0007123D" w:rsidRDefault="00DB0BFB" w:rsidP="00DB0BFB">
      <w:pPr>
        <w:pStyle w:val="2"/>
        <w:ind w:firstLine="640"/>
        <w:jc w:val="center"/>
        <w:rPr>
          <w:rFonts w:ascii="黑体" w:eastAsia="黑体"/>
          <w:shd w:val="clear" w:color="auto" w:fill="FFFFFF"/>
        </w:rPr>
      </w:pPr>
      <w:r w:rsidRPr="0007123D">
        <w:rPr>
          <w:rFonts w:ascii="黑体" w:eastAsia="黑体" w:hint="eastAsia"/>
          <w:shd w:val="clear" w:color="auto" w:fill="FFFFFF"/>
        </w:rPr>
        <w:t>第三章 对会员的管理</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第十五条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境内金融机构提出申请，经交易中心理事会批准、并报国家外汇管理局备案后，可成为交易中心的会员；会员申请退会的，亦须经交易中心理事会批准并报国家外汇管理局备案。</w:t>
      </w:r>
      <w:r>
        <w:rPr>
          <w:rFonts w:ascii="方正黑体_GBK" w:eastAsia="方正黑体_GBK" w:hAnsi="黑体" w:cs="宋体" w:hint="eastAsia"/>
          <w:color w:val="333333"/>
          <w:sz w:val="32"/>
          <w:szCs w:val="32"/>
          <w:shd w:val="clear" w:color="auto" w:fill="FFFFFF"/>
        </w:rPr>
        <w:br/>
      </w:r>
      <w:r>
        <w:rPr>
          <w:rFonts w:ascii="方正黑体_GBK" w:eastAsia="方正黑体_GBK" w:hAnsi="黑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第十六条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会员选派的交易员必须经过交易中心培训并颁发许可证方可上岗参加交易。</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第十七条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会员须按规定向交易中心缴纳席位费。　 </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第十八条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会员应当遵守国家有关外汇管理法规，接受交易中心的管理。 </w:t>
      </w:r>
    </w:p>
    <w:p w:rsidR="00DB0BFB" w:rsidRPr="0007123D" w:rsidRDefault="00DB0BFB" w:rsidP="00DB0BFB">
      <w:pPr>
        <w:pStyle w:val="2"/>
        <w:ind w:firstLine="640"/>
        <w:jc w:val="center"/>
        <w:rPr>
          <w:rFonts w:ascii="黑体" w:eastAsia="黑体"/>
          <w:shd w:val="clear" w:color="auto" w:fill="FFFFFF"/>
        </w:rPr>
      </w:pPr>
      <w:r w:rsidRPr="0007123D">
        <w:rPr>
          <w:rFonts w:ascii="黑体" w:eastAsia="黑体" w:hint="eastAsia"/>
          <w:shd w:val="clear" w:color="auto" w:fill="FFFFFF"/>
        </w:rPr>
        <w:lastRenderedPageBreak/>
        <w:t>第四章 对交易行为的监管</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第十九条</w:t>
      </w:r>
      <w:r>
        <w:rPr>
          <w:rFonts w:ascii="方正黑体_GBK" w:eastAsia="方正黑体_GBK" w:hAnsi="黑体" w:cs="宋体"/>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会员之间的外汇交易必须通过交易中心进行，非会员的外汇交易必须通过有代理资格的会员进行。交易中心自身不得从事外汇交易。</w:t>
      </w:r>
      <w:r>
        <w:rPr>
          <w:rFonts w:ascii="方正黑体_GBK" w:eastAsia="方正黑体_GBK" w:hAnsi="黑体" w:cs="宋体" w:hint="eastAsia"/>
          <w:color w:val="333333"/>
          <w:sz w:val="32"/>
          <w:szCs w:val="32"/>
          <w:shd w:val="clear" w:color="auto" w:fill="FFFFFF"/>
        </w:rPr>
        <w:br/>
      </w:r>
      <w:r>
        <w:rPr>
          <w:rFonts w:ascii="方正黑体_GBK" w:eastAsia="方正黑体_GBK" w:hAnsi="黑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第二十条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会员代理非会员的外汇交易的资格应当得到交易中心的批准。</w:t>
      </w:r>
      <w:r>
        <w:rPr>
          <w:rFonts w:ascii="仿宋_GB2312" w:eastAsia="仿宋_GB2312" w:hAnsi="宋体" w:cs="宋体" w:hint="eastAsia"/>
          <w:color w:val="333333"/>
          <w:sz w:val="32"/>
          <w:szCs w:val="32"/>
          <w:shd w:val="clear" w:color="auto" w:fill="FFFFFF"/>
        </w:rPr>
        <w:br/>
      </w:r>
      <w:r>
        <w:rPr>
          <w:rFonts w:ascii="仿宋_GB2312" w:eastAsia="仿宋_GB2312" w:hAnsi="宋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第二十一条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交易价格采用直接标价法。</w:t>
      </w:r>
    </w:p>
    <w:p w:rsidR="00DB0BFB" w:rsidRDefault="00DB0BFB" w:rsidP="00DB0BFB">
      <w:pPr>
        <w:widowControl/>
        <w:ind w:firstLineChars="200" w:firstLine="640"/>
        <w:jc w:val="left"/>
        <w:rPr>
          <w:rFonts w:ascii="仿宋_GB2312" w:eastAsia="仿宋_GB2312" w:hAnsi="宋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第二十二条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宋体" w:cs="宋体" w:hint="eastAsia"/>
          <w:color w:val="333333"/>
          <w:sz w:val="32"/>
          <w:szCs w:val="32"/>
          <w:shd w:val="clear" w:color="auto" w:fill="FFFFFF"/>
        </w:rPr>
        <w:t xml:space="preserve">市场交易中的下列事项，应当报经国家外汇管理局批准： </w:t>
      </w:r>
    </w:p>
    <w:p w:rsidR="00DB0BFB" w:rsidRDefault="00DB0BFB" w:rsidP="00DB0BFB">
      <w:pPr>
        <w:widowControl/>
        <w:numPr>
          <w:ilvl w:val="0"/>
          <w:numId w:val="2"/>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交易方式；</w:t>
      </w:r>
    </w:p>
    <w:p w:rsidR="00DB0BFB" w:rsidRDefault="00DB0BFB" w:rsidP="00DB0BFB">
      <w:pPr>
        <w:widowControl/>
        <w:numPr>
          <w:ilvl w:val="0"/>
          <w:numId w:val="2"/>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交易时间；</w:t>
      </w:r>
    </w:p>
    <w:p w:rsidR="00DB0BFB" w:rsidRDefault="00DB0BFB" w:rsidP="00DB0BFB">
      <w:pPr>
        <w:widowControl/>
        <w:numPr>
          <w:ilvl w:val="0"/>
          <w:numId w:val="2"/>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交易币种及品种；</w:t>
      </w:r>
    </w:p>
    <w:p w:rsidR="00DB0BFB" w:rsidRDefault="00DB0BFB" w:rsidP="00DB0BFB">
      <w:pPr>
        <w:widowControl/>
        <w:numPr>
          <w:ilvl w:val="0"/>
          <w:numId w:val="2"/>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清算方式； </w:t>
      </w:r>
    </w:p>
    <w:p w:rsidR="00DB0BFB" w:rsidRDefault="00DB0BFB" w:rsidP="00DB0BFB">
      <w:pPr>
        <w:widowControl/>
        <w:numPr>
          <w:ilvl w:val="0"/>
          <w:numId w:val="2"/>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国家外汇管理局规定的其它事项。　 </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交易中心和会员单位应当保证用于清算的外汇和人民币资金在规定时间内办理交割入帐。</w:t>
      </w:r>
      <w:r>
        <w:rPr>
          <w:rFonts w:ascii="方正黑体_GBK" w:eastAsia="方正黑体_GBK" w:hAnsi="黑体" w:cs="宋体" w:hint="eastAsia"/>
          <w:color w:val="333333"/>
          <w:sz w:val="32"/>
          <w:szCs w:val="32"/>
          <w:shd w:val="clear" w:color="auto" w:fill="FFFFFF"/>
        </w:rPr>
        <w:br/>
      </w:r>
      <w:r>
        <w:rPr>
          <w:rFonts w:ascii="方正黑体_GBK" w:eastAsia="方正黑体_GBK" w:hAnsi="黑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第二十四条</w:t>
      </w:r>
      <w:r>
        <w:rPr>
          <w:rFonts w:ascii="方正黑体_GBK" w:eastAsia="方正黑体_GBK" w:hAnsi="黑体" w:cs="宋体"/>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交易中心可以向交易双方收取手续费，收取手续费的标准须报经国家外汇管理局批准。 </w:t>
      </w:r>
    </w:p>
    <w:p w:rsidR="00DB0BFB" w:rsidRDefault="00DB0BFB" w:rsidP="00DB0BFB">
      <w:pPr>
        <w:widowControl/>
        <w:ind w:firstLineChars="200" w:firstLine="640"/>
        <w:jc w:val="left"/>
        <w:rPr>
          <w:rFonts w:ascii="方正黑体_GBK" w:eastAsia="方正黑体_GBK" w:hAnsi="黑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lastRenderedPageBreak/>
        <w:t>第二十五条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中国人民银行授权国家外汇管理局规定和调整每日外汇市场交易价格的最大浮动幅度。 </w:t>
      </w:r>
    </w:p>
    <w:p w:rsidR="00DB0BFB" w:rsidRDefault="00DB0BFB" w:rsidP="00DB0BFB">
      <w:pPr>
        <w:widowControl/>
        <w:ind w:firstLineChars="200" w:firstLine="640"/>
        <w:jc w:val="left"/>
        <w:rPr>
          <w:rFonts w:ascii="方正黑体_GBK" w:eastAsia="方正黑体_GBK" w:hAnsi="黑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第二十六条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中国人民银行根据外汇市场形成的价格，公布当日人民币市场汇率，外汇交易应当根据当日市场汇率并在规定的每日最大价格浮动幅度内进行。</w:t>
      </w:r>
      <w:r>
        <w:rPr>
          <w:rFonts w:ascii="方正黑体_GBK" w:eastAsia="方正黑体_GBK" w:hAnsi="黑体" w:cs="宋体" w:hint="eastAsia"/>
          <w:color w:val="333333"/>
          <w:sz w:val="32"/>
          <w:szCs w:val="32"/>
          <w:shd w:val="clear" w:color="auto" w:fill="FFFFFF"/>
        </w:rPr>
        <w:br/>
      </w:r>
      <w:r>
        <w:rPr>
          <w:rFonts w:ascii="方正黑体_GBK" w:eastAsia="方正黑体_GBK" w:hAnsi="黑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第二十七条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中国人民银行可以根据货币政策的要求，在外汇市场内买卖外汇，调节外汇供求，平抑外汇市场价格。 </w:t>
      </w:r>
    </w:p>
    <w:p w:rsidR="00DB0BFB" w:rsidRPr="0007123D" w:rsidRDefault="00DB0BFB" w:rsidP="00DB0BFB">
      <w:pPr>
        <w:pStyle w:val="2"/>
        <w:ind w:firstLine="640"/>
        <w:jc w:val="center"/>
        <w:rPr>
          <w:rFonts w:ascii="黑体" w:eastAsia="黑体"/>
          <w:shd w:val="clear" w:color="auto" w:fill="FFFFFF"/>
        </w:rPr>
      </w:pPr>
      <w:r w:rsidRPr="0007123D">
        <w:rPr>
          <w:rFonts w:ascii="黑体" w:eastAsia="黑体" w:hint="eastAsia"/>
          <w:shd w:val="clear" w:color="auto" w:fill="FFFFFF"/>
        </w:rPr>
        <w:t>第五章 法律责任</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第二十八条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会员违反国家外汇管理规定、交易中心章程和业务规则的，国家外汇管理局有权对其处以通报批评、暂停交易或取消会员资格，由此造成的经济损失由会员承担。 </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第二十九条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交易员若违反交易中心的交易规则，交易中心有权给予警告、通报批评、取消交易资格等处罚，造成经济损失的，应承担民事责任，经济损失由其会员单位承担。 </w:t>
      </w:r>
      <w:r>
        <w:rPr>
          <w:rFonts w:ascii="方正黑体_GBK" w:eastAsia="方正黑体_GBK" w:hAnsi="黑体" w:cs="宋体" w:hint="eastAsia"/>
          <w:color w:val="333333"/>
          <w:sz w:val="32"/>
          <w:szCs w:val="32"/>
          <w:shd w:val="clear" w:color="auto" w:fill="FFFFFF"/>
        </w:rPr>
        <w:br/>
      </w:r>
      <w:r>
        <w:rPr>
          <w:rFonts w:ascii="方正黑体_GBK" w:eastAsia="方正黑体_GBK" w:hAnsi="黑体" w:cs="宋体"/>
          <w:color w:val="333333"/>
          <w:sz w:val="32"/>
          <w:szCs w:val="32"/>
          <w:shd w:val="clear" w:color="auto" w:fill="FFFFFF"/>
        </w:rPr>
        <w:t xml:space="preserve">    </w:t>
      </w:r>
      <w:r w:rsidRPr="0007123D">
        <w:rPr>
          <w:rFonts w:ascii="黑体" w:eastAsia="黑体" w:hAnsi="黑体" w:cs="宋体" w:hint="eastAsia"/>
          <w:color w:val="333333"/>
          <w:sz w:val="32"/>
          <w:szCs w:val="32"/>
          <w:shd w:val="clear" w:color="auto" w:fill="FFFFFF"/>
        </w:rPr>
        <w:t>第三十条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交易中心有以下行为的，造成经济损失的由交易中心承担，同时追究主管人员的责任： </w:t>
      </w:r>
    </w:p>
    <w:p w:rsidR="00DB0BFB" w:rsidRDefault="00DB0BFB" w:rsidP="00DB0BFB">
      <w:pPr>
        <w:widowControl/>
        <w:numPr>
          <w:ilvl w:val="0"/>
          <w:numId w:val="3"/>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擅自改变交易时间、交易方式、交易币种及品种、清算方式的； </w:t>
      </w:r>
    </w:p>
    <w:p w:rsidR="00DB0BFB" w:rsidRDefault="00DB0BFB" w:rsidP="00DB0BFB">
      <w:pPr>
        <w:widowControl/>
        <w:numPr>
          <w:ilvl w:val="0"/>
          <w:numId w:val="3"/>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无故拖延清算资金划拨的；</w:t>
      </w:r>
    </w:p>
    <w:p w:rsidR="00DB0BFB" w:rsidRDefault="00DB0BFB" w:rsidP="00DB0BFB">
      <w:pPr>
        <w:widowControl/>
        <w:numPr>
          <w:ilvl w:val="0"/>
          <w:numId w:val="3"/>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向上级主管机关上报虚假交易情况的；</w:t>
      </w:r>
    </w:p>
    <w:p w:rsidR="00DB0BFB" w:rsidRDefault="00DB0BFB" w:rsidP="00DB0BFB">
      <w:pPr>
        <w:widowControl/>
        <w:numPr>
          <w:ilvl w:val="0"/>
          <w:numId w:val="3"/>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违反中国人民银行及国家外汇管理局的其他规定的。  </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第三十一条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交易中心工作人员有以下行为的，交易中心理事会有权给予警告、通报批评或开除等行政处分，造成经济损失的，应承担民事责任，构成犯罪的，应当依法追究刑事责任。</w:t>
      </w:r>
    </w:p>
    <w:p w:rsidR="00DB0BFB" w:rsidRDefault="00DB0BFB" w:rsidP="00DB0BFB">
      <w:pPr>
        <w:widowControl/>
        <w:numPr>
          <w:ilvl w:val="0"/>
          <w:numId w:val="4"/>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利用职务便利贪污、挪用或其它非法占有公共财物的行为的； </w:t>
      </w:r>
    </w:p>
    <w:p w:rsidR="00DB0BFB" w:rsidRDefault="00DB0BFB" w:rsidP="00DB0BFB">
      <w:pPr>
        <w:widowControl/>
        <w:numPr>
          <w:ilvl w:val="0"/>
          <w:numId w:val="4"/>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玩忽职守给外汇市场造成损失的； </w:t>
      </w:r>
    </w:p>
    <w:p w:rsidR="00DB0BFB" w:rsidRDefault="00DB0BFB" w:rsidP="00DB0BFB">
      <w:pPr>
        <w:widowControl/>
        <w:numPr>
          <w:ilvl w:val="0"/>
          <w:numId w:val="4"/>
        </w:num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泄露不准对外公布的内部信息的。　 </w:t>
      </w:r>
    </w:p>
    <w:p w:rsidR="00DB0BFB" w:rsidRPr="0007123D" w:rsidRDefault="00DB0BFB" w:rsidP="00DB0BFB">
      <w:pPr>
        <w:pStyle w:val="2"/>
        <w:ind w:firstLine="640"/>
        <w:jc w:val="center"/>
        <w:rPr>
          <w:rFonts w:ascii="黑体" w:eastAsia="黑体"/>
          <w:shd w:val="clear" w:color="auto" w:fill="FFFFFF"/>
        </w:rPr>
      </w:pPr>
      <w:r w:rsidRPr="0007123D">
        <w:rPr>
          <w:rFonts w:ascii="黑体" w:eastAsia="黑体" w:hint="eastAsia"/>
          <w:shd w:val="clear" w:color="auto" w:fill="FFFFFF"/>
        </w:rPr>
        <w:t>第六章 附则</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第三十二条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交易中心依照本规定制定交易中心章程、业务规则，报国家外汇管理局批准后实施。 </w:t>
      </w:r>
    </w:p>
    <w:p w:rsidR="00DB0BFB" w:rsidRDefault="00DB0BFB" w:rsidP="00DB0BFB">
      <w:pPr>
        <w:widowControl/>
        <w:ind w:firstLineChars="200" w:firstLine="640"/>
        <w:jc w:val="left"/>
        <w:rPr>
          <w:rFonts w:ascii="仿宋_GB2312" w:eastAsia="仿宋_GB2312" w:hAnsi="仿宋_GB2312" w:cs="仿宋_GB2312"/>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第三十三条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本规定由国家外汇管理局负责解释。 </w:t>
      </w:r>
    </w:p>
    <w:p w:rsidR="00DB0BFB" w:rsidRDefault="00DB0BFB" w:rsidP="00DB0BFB">
      <w:pPr>
        <w:widowControl/>
        <w:ind w:firstLineChars="200" w:firstLine="640"/>
        <w:jc w:val="left"/>
        <w:rPr>
          <w:rFonts w:ascii="方正黑体_GBK" w:eastAsia="方正黑体_GBK" w:hAnsi="黑体" w:cs="宋体"/>
          <w:color w:val="333333"/>
          <w:sz w:val="32"/>
          <w:szCs w:val="32"/>
          <w:shd w:val="clear" w:color="auto" w:fill="FFFFFF"/>
        </w:rPr>
      </w:pPr>
      <w:r w:rsidRPr="0007123D">
        <w:rPr>
          <w:rFonts w:ascii="黑体" w:eastAsia="黑体" w:hAnsi="黑体" w:cs="宋体" w:hint="eastAsia"/>
          <w:color w:val="333333"/>
          <w:sz w:val="32"/>
          <w:szCs w:val="32"/>
          <w:shd w:val="clear" w:color="auto" w:fill="FFFFFF"/>
        </w:rPr>
        <w:t>第三十四条</w:t>
      </w:r>
      <w:r>
        <w:rPr>
          <w:rFonts w:ascii="方正黑体_GBK" w:eastAsia="方正黑体_GBK" w:hAnsi="黑体" w:cs="宋体"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本规定自印发之日起实施。 </w:t>
      </w:r>
    </w:p>
    <w:p w:rsidR="005C3AF3" w:rsidRPr="00DB0BFB" w:rsidRDefault="005C3AF3" w:rsidP="005C3AF3">
      <w:pPr>
        <w:ind w:firstLineChars="200" w:firstLine="640"/>
        <w:rPr>
          <w:rFonts w:ascii="黑体" w:eastAsia="黑体" w:hAnsi="黑体" w:cs="黑体"/>
          <w:color w:val="333333"/>
          <w:sz w:val="32"/>
          <w:szCs w:val="32"/>
          <w:shd w:val="clear" w:color="auto" w:fill="FFFFFF"/>
        </w:rPr>
      </w:pPr>
    </w:p>
    <w:sectPr w:rsidR="005C3AF3" w:rsidRPr="00DB0BFB" w:rsidSect="00391C0B">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58" w:rsidRDefault="00AE4758" w:rsidP="00391C0B">
      <w:r>
        <w:separator/>
      </w:r>
    </w:p>
  </w:endnote>
  <w:endnote w:type="continuationSeparator" w:id="1">
    <w:p w:rsidR="00AE4758" w:rsidRDefault="00AE4758"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8975E7">
    <w:pPr>
      <w:pStyle w:val="a5"/>
      <w:ind w:leftChars="2280" w:left="4788" w:firstLineChars="2000" w:firstLine="6400"/>
      <w:rPr>
        <w:rFonts w:eastAsia="仿宋"/>
        <w:sz w:val="32"/>
        <w:szCs w:val="48"/>
      </w:rPr>
    </w:pPr>
    <w:r w:rsidRPr="008975E7">
      <w:rPr>
        <w:sz w:val="32"/>
      </w:rPr>
      <w:pict>
        <v:shapetype id="_x0000_t202" coordsize="21600,21600" o:spt="202" path="m,l,21600r21600,l21600,xe">
          <v:stroke joinstyle="miter"/>
          <v:path gradientshapeok="t" o:connecttype="rect"/>
        </v:shapetype>
        <v:shape id="_x0000_s2050" type="#_x0000_t202" style="position:absolute;left:0;text-align:left;margin-left:520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8975E7">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462A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391C0B" w:rsidRDefault="008975E7">
    <w:pPr>
      <w:pStyle w:val="a5"/>
      <w:wordWrap w:val="0"/>
      <w:ind w:leftChars="2280" w:left="4788" w:firstLineChars="2000" w:firstLine="6400"/>
      <w:jc w:val="right"/>
      <w:rPr>
        <w:rFonts w:ascii="宋体" w:eastAsia="宋体" w:hAnsi="宋体" w:cs="宋体"/>
        <w:b/>
        <w:bCs/>
        <w:color w:val="005192"/>
        <w:sz w:val="28"/>
        <w:szCs w:val="44"/>
      </w:rPr>
    </w:pPr>
    <w:r w:rsidRPr="008975E7">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1B5B5D">
      <w:rPr>
        <w:rFonts w:ascii="宋体" w:eastAsia="宋体" w:hAnsi="宋体" w:cs="宋体" w:hint="eastAsia"/>
        <w:b/>
        <w:bCs/>
        <w:color w:val="005192"/>
        <w:sz w:val="28"/>
        <w:szCs w:val="44"/>
      </w:rPr>
      <w:t xml:space="preserve">中国人民银行发布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58" w:rsidRDefault="00AE4758" w:rsidP="00391C0B">
      <w:r>
        <w:separator/>
      </w:r>
    </w:p>
  </w:footnote>
  <w:footnote w:type="continuationSeparator" w:id="1">
    <w:p w:rsidR="00AE4758" w:rsidRDefault="00AE4758"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8975E7">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DF223C"/>
    <w:multiLevelType w:val="singleLevel"/>
    <w:tmpl w:val="EFDF223C"/>
    <w:lvl w:ilvl="0">
      <w:start w:val="1"/>
      <w:numFmt w:val="chineseCounting"/>
      <w:suff w:val="nothing"/>
      <w:lvlText w:val="（%1）"/>
      <w:lvlJc w:val="left"/>
      <w:rPr>
        <w:rFonts w:hint="eastAsia"/>
      </w:rPr>
    </w:lvl>
  </w:abstractNum>
  <w:abstractNum w:abstractNumId="1">
    <w:nsid w:val="F735E4BA"/>
    <w:multiLevelType w:val="singleLevel"/>
    <w:tmpl w:val="F735E4BA"/>
    <w:lvl w:ilvl="0">
      <w:start w:val="1"/>
      <w:numFmt w:val="chineseCounting"/>
      <w:suff w:val="nothing"/>
      <w:lvlText w:val="（%1）"/>
      <w:lvlJc w:val="left"/>
      <w:rPr>
        <w:rFonts w:hint="eastAsia"/>
      </w:rPr>
    </w:lvl>
  </w:abstractNum>
  <w:abstractNum w:abstractNumId="2">
    <w:nsid w:val="F7DBC406"/>
    <w:multiLevelType w:val="singleLevel"/>
    <w:tmpl w:val="F7DBC406"/>
    <w:lvl w:ilvl="0">
      <w:start w:val="1"/>
      <w:numFmt w:val="chineseCounting"/>
      <w:suff w:val="nothing"/>
      <w:lvlText w:val="（%1）"/>
      <w:lvlJc w:val="left"/>
      <w:rPr>
        <w:rFonts w:hint="eastAsia"/>
      </w:rPr>
    </w:lvl>
  </w:abstractNum>
  <w:abstractNum w:abstractNumId="3">
    <w:nsid w:val="FF6C7A70"/>
    <w:multiLevelType w:val="singleLevel"/>
    <w:tmpl w:val="FF6C7A70"/>
    <w:lvl w:ilvl="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172A27"/>
    <w:rsid w:val="001734D6"/>
    <w:rsid w:val="001B5B5D"/>
    <w:rsid w:val="00294F05"/>
    <w:rsid w:val="00391C0B"/>
    <w:rsid w:val="004224EB"/>
    <w:rsid w:val="00577205"/>
    <w:rsid w:val="005C3AF3"/>
    <w:rsid w:val="006B5FE2"/>
    <w:rsid w:val="00801A3C"/>
    <w:rsid w:val="008975E7"/>
    <w:rsid w:val="009F3290"/>
    <w:rsid w:val="00A96F50"/>
    <w:rsid w:val="00AE4758"/>
    <w:rsid w:val="00D9108B"/>
    <w:rsid w:val="00DB0BFB"/>
    <w:rsid w:val="00E1402D"/>
    <w:rsid w:val="00E1615F"/>
    <w:rsid w:val="00F462A6"/>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cp:revision>
  <cp:lastPrinted>2021-10-26T19:30:00Z</cp:lastPrinted>
  <dcterms:created xsi:type="dcterms:W3CDTF">2022-02-09T09:00:00Z</dcterms:created>
  <dcterms:modified xsi:type="dcterms:W3CDTF">2022-08-05T00:27:00Z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