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02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07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02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08</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四、银行（含农村信用社）人民币与外汇衍生产品业务市场准入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仅适用于总行。</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向国家外汇管理局申请；其他银行向所在地国家外汇管理局分局（外汇管理部）申请，如处于市（地、州、区）、县，应向所在地国家外汇管理局中心支局或支局申请，并逐级上报至国家外汇管理局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政策性银行、全国性商业银行决定机构为国家外汇管理局；其他银行决定机构为所在地国家外汇管理局分局（外汇管理部）。外国银行分行视同总行管理。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申请人需同时符合以下条件：</w:t>
      </w:r>
    </w:p>
    <w:p>
      <w:pPr>
        <w:pStyle w:val="14"/>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2"/>
          <w:sz w:val="30"/>
          <w:szCs w:val="30"/>
        </w:rPr>
        <w:t>取得即期结售汇业务资格。</w:t>
      </w:r>
    </w:p>
    <w:p>
      <w:pPr>
        <w:pStyle w:val="14"/>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2.有健全的衍生产品交易风险管理制度和内部控制制度及适当的风险识别、计量、管理和交易系统，配备开展衍生产品业务所需要的专业人员。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3.符合银行业监督管理部门有关金融衍生产品交易业务资格的规定。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9"/>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960"/>
        <w:gridCol w:w="457"/>
        <w:gridCol w:w="851"/>
        <w:gridCol w:w="2977"/>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97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6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申请报告、可行性报告及业务计划书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b/>
                <w:bCs/>
                <w:kern w:val="44"/>
                <w:sz w:val="24"/>
                <w:szCs w:val="24"/>
              </w:rPr>
            </w:pPr>
          </w:p>
        </w:tc>
        <w:tc>
          <w:tcPr>
            <w:tcW w:w="1064"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衍生产品业务内部管理规章制度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应当至少包括以下内容：</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1．业务操作规程，包括交易受理、客户评估、单证审核等业务流程和操作标准；2．产品定价模型，包括定价方法和各项参数的选取标准及来源；</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3．风险管理制度，包括风险管理架构、风险模型指标及量化管理指标、风险缓释措施、头寸平盘机制；</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4．会计核算制度，包括科目设置和会计核算方法；</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5．统计报告制度，包括数据采集渠道和操作程序。</w:t>
            </w:r>
          </w:p>
        </w:tc>
        <w:tc>
          <w:tcPr>
            <w:tcW w:w="106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银行应当根据拟开办各类衍生产品业务的实际特征，提交具有针对性与适用性的文件和资料。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主管人员和主要交易人员名单、履历。</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符合银行业监督管理部门有关金融衍生产品交易业务资格规定的证明文件。</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4.不予许可的，出具不予许可通知书。许可的，向申请人出具正式公文或备案通知书。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一般程序：申请、受理、审查、出具正式公文或备案通知书。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正式公文或备案通知书。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w:t>
      </w:r>
      <w:r>
        <w:rPr>
          <w:rFonts w:hint="eastAsia" w:ascii="Times New Roman" w:hAnsi="Times New Roman" w:eastAsia="黑体" w:cs="Times New Roman"/>
          <w:sz w:val="30"/>
          <w:szCs w:val="30"/>
          <w:lang w:eastAsia="zh-CN"/>
        </w:rPr>
        <w:t>受理</w:t>
      </w:r>
      <w:r>
        <w:rPr>
          <w:rFonts w:ascii="Times New Roman" w:hAnsi="Times New Roman" w:eastAsia="黑体" w:cs="Times New Roman"/>
          <w:sz w:val="30"/>
          <w:szCs w:val="30"/>
        </w:rPr>
        <w:t>地址和时间</w:t>
      </w:r>
    </w:p>
    <w:p>
      <w:pPr>
        <w:widowControl w:val="0"/>
        <w:wordWrap/>
        <w:adjustRightInd w:val="0"/>
        <w:snapToGrid w:val="0"/>
        <w:spacing w:line="360" w:lineRule="auto"/>
        <w:ind w:right="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国家外汇管理局青海省分局</w:t>
      </w:r>
      <w:r>
        <w:rPr>
          <w:rFonts w:hint="eastAsia" w:ascii="Times New Roman" w:hAnsi="Times New Roman" w:eastAsia="仿宋_GB2312" w:cs="Times New Roman"/>
          <w:sz w:val="30"/>
          <w:szCs w:val="30"/>
          <w:lang w:eastAsia="zh-CN"/>
        </w:rPr>
        <w:t>受理地址：青海省西宁市城西区昆仑路</w:t>
      </w:r>
      <w:r>
        <w:rPr>
          <w:rFonts w:hint="eastAsia" w:ascii="Times New Roman" w:hAnsi="Times New Roman" w:eastAsia="仿宋_GB2312" w:cs="Times New Roman"/>
          <w:sz w:val="30"/>
          <w:szCs w:val="30"/>
          <w:lang w:val="en-US" w:eastAsia="zh-CN"/>
        </w:rPr>
        <w:t>3号中国人民银行西宁中心支行综合办公楼1505室。</w:t>
      </w:r>
    </w:p>
    <w:p>
      <w:pPr>
        <w:widowControl w:val="0"/>
        <w:wordWrap/>
        <w:adjustRightInd w:val="0"/>
        <w:snapToGrid w:val="0"/>
        <w:spacing w:line="360" w:lineRule="auto"/>
        <w:ind w:right="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受理时间：工作日，上午8:30-11:30 ，下午14:00-17:30。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widowControl w:val="0"/>
        <w:wordWrap/>
        <w:adjustRightInd w:val="0"/>
        <w:snapToGrid w:val="0"/>
        <w:spacing w:line="360" w:lineRule="auto"/>
        <w:ind w:left="0" w:leftChars="0" w:right="0" w:firstLine="600"/>
        <w:jc w:val="both"/>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widowControl w:val="0"/>
        <w:wordWrap/>
        <w:adjustRightInd w:val="0"/>
        <w:snapToGrid w:val="0"/>
        <w:spacing w:line="360" w:lineRule="auto"/>
        <w:ind w:left="0" w:leftChars="0" w:right="0" w:firstLine="600" w:firstLineChars="200"/>
        <w:jc w:val="both"/>
        <w:textAlignment w:val="auto"/>
        <w:outlineLvl w:val="9"/>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sz w:val="30"/>
          <w:szCs w:val="30"/>
          <w:lang w:val="en-US" w:eastAsia="zh-CN"/>
        </w:rPr>
        <w:t>国家外汇管理局青海省分局咨询电话：</w:t>
      </w:r>
      <w:r>
        <w:rPr>
          <w:rFonts w:hint="eastAsia" w:ascii="Times New Roman" w:hAnsi="Times New Roman" w:eastAsia="仿宋_GB2312" w:cs="Times New Roman"/>
          <w:kern w:val="2"/>
          <w:sz w:val="30"/>
          <w:szCs w:val="30"/>
          <w:lang w:val="en-US" w:eastAsia="zh-CN" w:bidi="ar-SA"/>
        </w:rPr>
        <w:t>0971-6126149。</w:t>
      </w:r>
    </w:p>
    <w:p>
      <w:pPr>
        <w:widowControl w:val="0"/>
        <w:wordWrap/>
        <w:adjustRightInd w:val="0"/>
        <w:snapToGrid w:val="0"/>
        <w:spacing w:line="360" w:lineRule="auto"/>
        <w:ind w:left="0" w:leftChars="0" w:right="0" w:firstLine="601"/>
        <w:jc w:val="both"/>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pStyle w:val="8"/>
        <w:ind w:left="0" w:leftChars="0" w:firstLine="639" w:firstLineChars="213"/>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sz w:val="30"/>
          <w:szCs w:val="30"/>
          <w:lang w:val="en-US" w:eastAsia="zh-CN"/>
        </w:rPr>
        <w:t>通过国家外汇管理局政务服务网上办理系统（通过国家外汇管理局“数字外管”平台：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申请的行政审批事项，办理进度及结果可通过该系统查询，同时可以通过微信扫码国家政务服务平台“外汇政务服务”二维码快捷查询，也可以打电话查询；国家外汇管理局青海省分局查询电话：</w:t>
      </w:r>
      <w:r>
        <w:rPr>
          <w:rFonts w:hint="eastAsia" w:ascii="Times New Roman" w:hAnsi="Times New Roman" w:eastAsia="仿宋_GB2312" w:cs="Times New Roman"/>
          <w:kern w:val="2"/>
          <w:sz w:val="30"/>
          <w:szCs w:val="30"/>
          <w:lang w:val="en-US" w:eastAsia="zh-CN" w:bidi="ar-SA"/>
        </w:rPr>
        <w:t>0971-6126149 。</w:t>
      </w:r>
    </w:p>
    <w:p>
      <w:pPr>
        <w:adjustRightInd w:val="0"/>
        <w:snapToGrid w:val="0"/>
        <w:spacing w:line="360" w:lineRule="auto"/>
        <w:ind w:firstLine="601"/>
        <w:jc w:val="center"/>
        <w:rPr>
          <w:rFonts w:hint="eastAsia" w:ascii="Times New Roman" w:hAnsi="Times New Roman" w:eastAsia="仿宋_GB2312" w:cs="Times New Roman"/>
          <w:sz w:val="30"/>
          <w:szCs w:val="30"/>
        </w:rPr>
      </w:pPr>
      <w:r>
        <w:rPr>
          <w:rFonts w:hint="eastAsia" w:ascii="Calibri" w:hAnsi="Calibri" w:eastAsia="宋体" w:cs="黑体"/>
          <w:kern w:val="2"/>
          <w:sz w:val="21"/>
          <w:szCs w:val="22"/>
          <w:lang w:val="en-US" w:eastAsia="zh-CN" w:bidi="ar-SA"/>
        </w:rPr>
        <w:pict>
          <v:shape id="图片 4" o:spid="_x0000_s1027" type="#_x0000_t75" style="height:131.8pt;width:141.3pt;rotation:0f;" o:ole="f" fillcolor="#FFFFFF" filled="f" o:preferrelative="t" stroked="f" coordorigin="0,0" coordsize="21600,21600">
            <v:fill on="f" color2="#FFFFFF" focus="0%"/>
            <v:imagedata gain="65536f" blacklevel="0f" gamma="0" o:title="62FD23A24535CEDFE55F140FBA192A58" r:id="rId9"/>
            <o:lock v:ext="edit" position="f" selection="f" grouping="f" rotation="f" cropping="f" text="f" aspectratio="t"/>
            <w10:wrap type="none"/>
            <w10:anchorlock/>
          </v:shape>
        </w:pic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widowControl w:val="0"/>
        <w:wordWrap/>
        <w:adjustRightInd w:val="0"/>
        <w:snapToGrid w:val="0"/>
        <w:spacing w:line="312" w:lineRule="auto"/>
        <w:ind w:left="0" w:leftChars="0" w:right="0" w:firstLine="600" w:firstLineChars="200"/>
        <w:jc w:val="both"/>
        <w:textAlignment w:val="auto"/>
        <w:outlineLvl w:val="9"/>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eastAsia="zh-CN"/>
        </w:rPr>
        <w:t>国家外汇管理局青海省分局监督投诉电话：</w:t>
      </w:r>
      <w:r>
        <w:rPr>
          <w:rFonts w:hint="eastAsia" w:ascii="Times New Roman" w:hAnsi="Times New Roman" w:eastAsia="仿宋_GB2312"/>
          <w:sz w:val="30"/>
          <w:szCs w:val="30"/>
          <w:lang w:val="en-US" w:eastAsia="zh-CN"/>
        </w:rPr>
        <w:t>0971-6126148。</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申请材料不完全符合规定，例如符合银行业监督管理部门有关金融衍生产品交易业务资格规定的证明文件未加盖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firstLine="600"/>
        <w:rPr>
          <w:rFonts w:ascii="Times New Roman" w:hAnsi="Times New Roman" w:eastAsia="黑体" w:cs="Times New Roman"/>
          <w:sz w:val="30"/>
          <w:szCs w:val="30"/>
        </w:rPr>
      </w:pPr>
    </w:p>
    <w:p>
      <w:pPr>
        <w:ind w:right="300"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hint="eastAsia"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423" o:spid="_x0000_s1028" style="position:absolute;left:0;margin-left:-39.65pt;margin-top:29.1pt;height:421.5pt;width:459.7pt;rotation:0f;z-index:251658240;" coordorigin="1007,3270" coordsize="9194,8430">
            <o:lock v:ext="edit" position="f" selection="f" grouping="f" rotation="f" cropping="f" text="f" aspectratio="f"/>
            <v:shape id="Straight Connector 424" o:spid="_x0000_s1029" type="#_x0000_t32" style="position:absolute;left:2612;top:4693;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5" o:spid="_x0000_s1030" type="#_x0000_t32" style="position:absolute;left:3667;top:5789;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6" o:spid="_x0000_s1031" type="#_x0000_t32" style="position:absolute;left:3667;top:6593;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7" o:spid="_x0000_s1032" type="#_x0000_t32" style="position:absolute;left:8191;top:4642;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8" o:spid="_x0000_s1033" type="#_x0000_t32" style="position:absolute;left:2629;top:4981;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9" o:spid="_x0000_s1034" type="#_x0000_t32" style="position:absolute;left:5392;top:8652;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0" o:spid="_x0000_s1035" type="#_x0000_t32" style="position:absolute;left:6547;top:9623;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1" o:spid="_x0000_s1036" type="#_x0000_t32" style="position:absolute;left:4432;top:9623;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2" o:spid="_x0000_s1037" type="#_x0000_t32" style="position:absolute;left:2612;top:6826;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433" o:spid="_x0000_s1038" type="#_x0000_t32" style="position:absolute;left:2612;top:8217;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434" o:spid="_x0000_s1039" type="#_x0000_t110" style="position:absolute;left:1007;top:5267;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435" o:spid="_x0000_s1040" style="position:absolute;left:7272;top:4470;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436" o:spid="_x0000_s1041" style="position:absolute;left:4839;top:5537;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437" o:spid="_x0000_s1042" style="position:absolute;left:4839;top:6389;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438" o:spid="_x0000_s1043" style="position:absolute;left:3433;top:8049;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439" o:spid="_x0000_s1044" style="position:absolute;left:3434;top:9089;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440" o:spid="_x0000_s1045" style="position:absolute;left:1771;top:3270;height:1423;width:28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441" o:spid="_x0000_s1046" style="position:absolute;left:3433;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442" o:spid="_x0000_s1047" style="position:absolute;left:5790;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 PAGE   \* MERGEFORMAT </w:instrText>
    </w:r>
    <w:r>
      <w:fldChar w:fldCharType="separate"/>
    </w:r>
    <w:r>
      <w:rPr>
        <w:lang w:val="zh-CN"/>
      </w:rPr>
      <w:t>1</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 PAGE   \* MERGEFORMAT </w:instrText>
    </w:r>
    <w:r>
      <w:fldChar w:fldCharType="separate"/>
    </w:r>
    <w:r>
      <w:rPr>
        <w:lang w:val="zh-CN"/>
      </w:rPr>
      <w:t>7</w:t>
    </w:r>
    <w:r>
      <w:rPr>
        <w:lang w:val="zh-CN"/>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PAGE   \* MERGEFORMAT</w:instrText>
    </w:r>
    <w:r>
      <w:fldChar w:fldCharType="separate"/>
    </w:r>
    <w:r>
      <w:rPr>
        <w:lang w:val="zh-CN"/>
      </w:rPr>
      <w:t>8</w:t>
    </w:r>
    <w: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3278"/>
    <w:rsid w:val="00054B00"/>
    <w:rsid w:val="00055270"/>
    <w:rsid w:val="00057F76"/>
    <w:rsid w:val="0006560A"/>
    <w:rsid w:val="00072F8A"/>
    <w:rsid w:val="000750C8"/>
    <w:rsid w:val="00080630"/>
    <w:rsid w:val="00084C01"/>
    <w:rsid w:val="00091661"/>
    <w:rsid w:val="00092D53"/>
    <w:rsid w:val="00096CBB"/>
    <w:rsid w:val="00097F7B"/>
    <w:rsid w:val="000A63A6"/>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376C"/>
    <w:rsid w:val="00193175"/>
    <w:rsid w:val="00196FAE"/>
    <w:rsid w:val="001A3E49"/>
    <w:rsid w:val="001A72AA"/>
    <w:rsid w:val="001B1E2C"/>
    <w:rsid w:val="001C44C7"/>
    <w:rsid w:val="001D65A2"/>
    <w:rsid w:val="001E1407"/>
    <w:rsid w:val="001F4BD4"/>
    <w:rsid w:val="001F6AF6"/>
    <w:rsid w:val="001F7297"/>
    <w:rsid w:val="00205D07"/>
    <w:rsid w:val="00212F39"/>
    <w:rsid w:val="00217116"/>
    <w:rsid w:val="00231EED"/>
    <w:rsid w:val="00233841"/>
    <w:rsid w:val="00235F24"/>
    <w:rsid w:val="002417D2"/>
    <w:rsid w:val="00241FE8"/>
    <w:rsid w:val="0024527E"/>
    <w:rsid w:val="00253F7B"/>
    <w:rsid w:val="00263773"/>
    <w:rsid w:val="00263B1F"/>
    <w:rsid w:val="00272DF7"/>
    <w:rsid w:val="00291C17"/>
    <w:rsid w:val="0029313A"/>
    <w:rsid w:val="002B0B1C"/>
    <w:rsid w:val="002B598D"/>
    <w:rsid w:val="002B61C1"/>
    <w:rsid w:val="002C3539"/>
    <w:rsid w:val="002C3A40"/>
    <w:rsid w:val="002D2A8C"/>
    <w:rsid w:val="002D4121"/>
    <w:rsid w:val="002E1323"/>
    <w:rsid w:val="002E6E2B"/>
    <w:rsid w:val="002F3868"/>
    <w:rsid w:val="00302119"/>
    <w:rsid w:val="00302E87"/>
    <w:rsid w:val="00310261"/>
    <w:rsid w:val="00325D3D"/>
    <w:rsid w:val="00343044"/>
    <w:rsid w:val="00344107"/>
    <w:rsid w:val="00344B01"/>
    <w:rsid w:val="00353AC4"/>
    <w:rsid w:val="00356BC8"/>
    <w:rsid w:val="003616B4"/>
    <w:rsid w:val="003642BD"/>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15B6"/>
    <w:rsid w:val="004B545A"/>
    <w:rsid w:val="004B7E80"/>
    <w:rsid w:val="004C42A8"/>
    <w:rsid w:val="004C457E"/>
    <w:rsid w:val="004C48D5"/>
    <w:rsid w:val="004D03B7"/>
    <w:rsid w:val="004D1436"/>
    <w:rsid w:val="004D57AE"/>
    <w:rsid w:val="005056D4"/>
    <w:rsid w:val="00526B2B"/>
    <w:rsid w:val="0053236D"/>
    <w:rsid w:val="005362B0"/>
    <w:rsid w:val="00540FD8"/>
    <w:rsid w:val="00542447"/>
    <w:rsid w:val="00557EB9"/>
    <w:rsid w:val="00564312"/>
    <w:rsid w:val="005A2981"/>
    <w:rsid w:val="005B392B"/>
    <w:rsid w:val="005C6937"/>
    <w:rsid w:val="005C7F02"/>
    <w:rsid w:val="005F0A86"/>
    <w:rsid w:val="005F144A"/>
    <w:rsid w:val="005F1C00"/>
    <w:rsid w:val="0061621E"/>
    <w:rsid w:val="00617A05"/>
    <w:rsid w:val="00630AA8"/>
    <w:rsid w:val="00630B2E"/>
    <w:rsid w:val="00632EDB"/>
    <w:rsid w:val="00643D2A"/>
    <w:rsid w:val="00645E08"/>
    <w:rsid w:val="006476F4"/>
    <w:rsid w:val="00664E11"/>
    <w:rsid w:val="00673B30"/>
    <w:rsid w:val="00696659"/>
    <w:rsid w:val="00696E5D"/>
    <w:rsid w:val="006A22A9"/>
    <w:rsid w:val="006B5B86"/>
    <w:rsid w:val="006C5908"/>
    <w:rsid w:val="006C633E"/>
    <w:rsid w:val="006D56AB"/>
    <w:rsid w:val="006D734F"/>
    <w:rsid w:val="006E043F"/>
    <w:rsid w:val="006E4695"/>
    <w:rsid w:val="006E4B8B"/>
    <w:rsid w:val="006E5901"/>
    <w:rsid w:val="0071091C"/>
    <w:rsid w:val="00714961"/>
    <w:rsid w:val="007166B6"/>
    <w:rsid w:val="00734297"/>
    <w:rsid w:val="00744BD5"/>
    <w:rsid w:val="00745748"/>
    <w:rsid w:val="00750E36"/>
    <w:rsid w:val="00753CB0"/>
    <w:rsid w:val="00755460"/>
    <w:rsid w:val="00761FB7"/>
    <w:rsid w:val="00762107"/>
    <w:rsid w:val="00764CB9"/>
    <w:rsid w:val="00765B05"/>
    <w:rsid w:val="00767972"/>
    <w:rsid w:val="007724B0"/>
    <w:rsid w:val="0077269F"/>
    <w:rsid w:val="00785F45"/>
    <w:rsid w:val="00791CDD"/>
    <w:rsid w:val="0079240F"/>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03B"/>
    <w:rsid w:val="008731FF"/>
    <w:rsid w:val="0088294A"/>
    <w:rsid w:val="0089282A"/>
    <w:rsid w:val="008A4538"/>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F29"/>
    <w:rsid w:val="00BF4EF0"/>
    <w:rsid w:val="00C02E44"/>
    <w:rsid w:val="00C0337D"/>
    <w:rsid w:val="00C147D2"/>
    <w:rsid w:val="00C2075F"/>
    <w:rsid w:val="00C23799"/>
    <w:rsid w:val="00C274C9"/>
    <w:rsid w:val="00C31E02"/>
    <w:rsid w:val="00C54291"/>
    <w:rsid w:val="00C672C3"/>
    <w:rsid w:val="00C712B2"/>
    <w:rsid w:val="00C94325"/>
    <w:rsid w:val="00C97FED"/>
    <w:rsid w:val="00CA1DBB"/>
    <w:rsid w:val="00CA2622"/>
    <w:rsid w:val="00CA7F2C"/>
    <w:rsid w:val="00CA7FF8"/>
    <w:rsid w:val="00CB1ABB"/>
    <w:rsid w:val="00CB5DE7"/>
    <w:rsid w:val="00CC068D"/>
    <w:rsid w:val="00CC4922"/>
    <w:rsid w:val="00CC68CC"/>
    <w:rsid w:val="00CD1FF6"/>
    <w:rsid w:val="00CE25C7"/>
    <w:rsid w:val="00CE3335"/>
    <w:rsid w:val="00CE4849"/>
    <w:rsid w:val="00CE5C8E"/>
    <w:rsid w:val="00CE5F49"/>
    <w:rsid w:val="00D003EC"/>
    <w:rsid w:val="00D01626"/>
    <w:rsid w:val="00D02F0F"/>
    <w:rsid w:val="00D12296"/>
    <w:rsid w:val="00D33A4D"/>
    <w:rsid w:val="00D33F76"/>
    <w:rsid w:val="00D41F5E"/>
    <w:rsid w:val="00D43DC0"/>
    <w:rsid w:val="00D54E56"/>
    <w:rsid w:val="00D6407D"/>
    <w:rsid w:val="00D93E78"/>
    <w:rsid w:val="00DC6E91"/>
    <w:rsid w:val="00DC7514"/>
    <w:rsid w:val="00DD0902"/>
    <w:rsid w:val="00DD3845"/>
    <w:rsid w:val="00E1687A"/>
    <w:rsid w:val="00E20A2E"/>
    <w:rsid w:val="00E277DE"/>
    <w:rsid w:val="00E27EE9"/>
    <w:rsid w:val="00E3239D"/>
    <w:rsid w:val="00E3254B"/>
    <w:rsid w:val="00E3439B"/>
    <w:rsid w:val="00E42C5F"/>
    <w:rsid w:val="00E65A1B"/>
    <w:rsid w:val="00E72F1F"/>
    <w:rsid w:val="00E841A2"/>
    <w:rsid w:val="00E84B03"/>
    <w:rsid w:val="00E934AB"/>
    <w:rsid w:val="00EA06AC"/>
    <w:rsid w:val="00EA08BF"/>
    <w:rsid w:val="00EA24FB"/>
    <w:rsid w:val="00EB3204"/>
    <w:rsid w:val="00EB50BA"/>
    <w:rsid w:val="00EC3D33"/>
    <w:rsid w:val="00ED302A"/>
    <w:rsid w:val="00ED3A42"/>
    <w:rsid w:val="00ED79A0"/>
    <w:rsid w:val="00EE02BC"/>
    <w:rsid w:val="00EE6970"/>
    <w:rsid w:val="00EF03A9"/>
    <w:rsid w:val="00EF38D0"/>
    <w:rsid w:val="00EF3DDF"/>
    <w:rsid w:val="00EF4A8C"/>
    <w:rsid w:val="00F11106"/>
    <w:rsid w:val="00F2678C"/>
    <w:rsid w:val="00F27B38"/>
    <w:rsid w:val="00F40278"/>
    <w:rsid w:val="00F41832"/>
    <w:rsid w:val="00F56988"/>
    <w:rsid w:val="00F620FB"/>
    <w:rsid w:val="00F6571F"/>
    <w:rsid w:val="00F72E5A"/>
    <w:rsid w:val="00F815BC"/>
    <w:rsid w:val="00F8687E"/>
    <w:rsid w:val="00F918EC"/>
    <w:rsid w:val="00F93331"/>
    <w:rsid w:val="00F95549"/>
    <w:rsid w:val="00FA1E24"/>
    <w:rsid w:val="00FA24FB"/>
    <w:rsid w:val="00FA632B"/>
    <w:rsid w:val="00FB38EA"/>
    <w:rsid w:val="00FB5E0F"/>
    <w:rsid w:val="00FB6AFF"/>
    <w:rsid w:val="00FC4D8F"/>
    <w:rsid w:val="00FD06D3"/>
    <w:rsid w:val="00FE3157"/>
    <w:rsid w:val="00FE52AF"/>
    <w:rsid w:val="00FE6865"/>
    <w:rsid w:val="00FE6993"/>
    <w:rsid w:val="0EBC5FC4"/>
    <w:rsid w:val="263B7FE4"/>
    <w:rsid w:val="2C7C2447"/>
    <w:rsid w:val="316E704F"/>
    <w:rsid w:val="36F0294D"/>
    <w:rsid w:val="3857428B"/>
    <w:rsid w:val="385E291C"/>
    <w:rsid w:val="45757067"/>
    <w:rsid w:val="45AB301D"/>
    <w:rsid w:val="49D50896"/>
    <w:rsid w:val="4B4E76B7"/>
    <w:rsid w:val="62570549"/>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424"/>
        <o:r id="V:Rule2" type="connector" idref="#Straight Connector 425"/>
        <o:r id="V:Rule3" type="connector" idref="#Straight Connector 426"/>
        <o:r id="V:Rule4" type="connector" idref="#Straight Connector 427"/>
        <o:r id="V:Rule5" type="connector" idref="#Straight Connector 428"/>
        <o:r id="V:Rule6" type="connector" idref="#Straight Connector 429"/>
        <o:r id="V:Rule7" type="connector" idref="#Straight Connector 430"/>
        <o:r id="V:Rule8" type="connector" idref="#Straight Connector 431"/>
        <o:r id="V:Rule9" type="connector" idref="#Straight Connector 432"/>
        <o:r id="V:Rule10" type="connector" idref="#Straight Connector 43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6"/>
    <w:qFormat/>
    <w:uiPriority w:val="9"/>
    <w:pPr>
      <w:ind w:right="300"/>
      <w:outlineLvl w:val="2"/>
    </w:pPr>
    <w:rPr>
      <w:rFonts w:ascii="仿宋_GB2312" w:hAnsi="Calibri" w:eastAsia="仿宋_GB2312" w:cs="Times New Roman"/>
      <w:sz w:val="30"/>
      <w:szCs w:val="30"/>
    </w:rPr>
  </w:style>
  <w:style w:type="character" w:default="1" w:styleId="15">
    <w:name w:val="Default Paragraph Font"/>
    <w:unhideWhenUsed/>
    <w:uiPriority w:val="1"/>
  </w:style>
  <w:style w:type="table" w:default="1" w:styleId="19">
    <w:name w:val="Normal Table"/>
    <w:unhideWhenUsed/>
    <w:qFormat/>
    <w:uiPriority w:val="99"/>
    <w:tblPr>
      <w:tblStyle w:val="19"/>
      <w:tblLayout w:type="fixed"/>
      <w:tblCellMar>
        <w:top w:w="0" w:type="dxa"/>
        <w:left w:w="108" w:type="dxa"/>
        <w:bottom w:w="0" w:type="dxa"/>
        <w:right w:w="108" w:type="dxa"/>
      </w:tblCellMar>
    </w:tblPr>
    <w:tcPr>
      <w:textDirection w:val="lrTb"/>
    </w:tcPr>
  </w:style>
  <w:style w:type="paragraph" w:styleId="5">
    <w:name w:val="Document Map"/>
    <w:basedOn w:val="1"/>
    <w:link w:val="40"/>
    <w:unhideWhenUsed/>
    <w:qFormat/>
    <w:uiPriority w:val="0"/>
    <w:rPr>
      <w:rFonts w:ascii="宋体"/>
      <w:sz w:val="18"/>
      <w:szCs w:val="18"/>
    </w:rPr>
  </w:style>
  <w:style w:type="paragraph" w:styleId="6">
    <w:name w:val="annotation text"/>
    <w:basedOn w:val="1"/>
    <w:link w:val="33"/>
    <w:unhideWhenUsed/>
    <w:qFormat/>
    <w:uiPriority w:val="99"/>
    <w:pPr>
      <w:jc w:val="left"/>
    </w:pPr>
    <w:rPr>
      <w:rFonts w:ascii="Calibri" w:hAnsi="Calibri" w:eastAsia="宋体" w:cs="Times New Roman"/>
    </w:rPr>
  </w:style>
  <w:style w:type="paragraph" w:styleId="7">
    <w:name w:val="Body Text"/>
    <w:basedOn w:val="1"/>
    <w:link w:val="45"/>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Plain Text"/>
    <w:basedOn w:val="1"/>
    <w:unhideWhenUsed/>
    <w:uiPriority w:val="99"/>
    <w:rPr>
      <w:rFonts w:ascii="宋体" w:hAnsi="Courier New" w:cs="Courier New"/>
      <w:szCs w:val="21"/>
    </w:rPr>
  </w:style>
  <w:style w:type="paragraph" w:styleId="9">
    <w:name w:val="Balloon Text"/>
    <w:basedOn w:val="1"/>
    <w:link w:val="31"/>
    <w:unhideWhenUsed/>
    <w:uiPriority w:val="0"/>
    <w:rPr>
      <w:sz w:val="18"/>
      <w:szCs w:val="18"/>
    </w:rPr>
  </w:style>
  <w:style w:type="paragraph" w:styleId="10">
    <w:name w:val="footer"/>
    <w:basedOn w:val="1"/>
    <w:link w:val="30"/>
    <w:unhideWhenUsed/>
    <w:uiPriority w:val="99"/>
    <w:pPr>
      <w:tabs>
        <w:tab w:val="center" w:pos="4153"/>
        <w:tab w:val="right" w:pos="8306"/>
      </w:tabs>
      <w:snapToGrid w:val="0"/>
      <w:jc w:val="left"/>
    </w:pPr>
    <w:rPr>
      <w:sz w:val="18"/>
      <w:szCs w:val="18"/>
    </w:rPr>
  </w:style>
  <w:style w:type="paragraph" w:styleId="11">
    <w:name w:val="header"/>
    <w:basedOn w:val="1"/>
    <w:link w:val="29"/>
    <w:unhideWhenUsed/>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38"/>
    <w:semiHidden/>
    <w:qFormat/>
    <w:uiPriority w:val="0"/>
    <w:pPr>
      <w:snapToGrid w:val="0"/>
      <w:jc w:val="left"/>
    </w:pPr>
    <w:rPr>
      <w:rFonts w:ascii="Times New Roman" w:hAnsi="Times New Roman"/>
      <w:sz w:val="18"/>
      <w:szCs w:val="18"/>
    </w:rPr>
  </w:style>
  <w:style w:type="paragraph" w:styleId="13">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table" w:styleId="20">
    <w:name w:val="Table Grid"/>
    <w:basedOn w:val="19"/>
    <w:uiPriority w:val="59"/>
    <w:pPr/>
    <w:tblPr>
      <w:tblStyle w:val="1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1">
    <w:name w:val="List Paragraph"/>
    <w:basedOn w:val="1"/>
    <w:qFormat/>
    <w:uiPriority w:val="34"/>
    <w:pPr>
      <w:ind w:firstLine="420" w:firstLineChars="200"/>
    </w:pPr>
  </w:style>
  <w:style w:type="paragraph" w:customStyle="1" w:styleId="2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3">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
    <w:name w:val="Revision"/>
    <w:hidden/>
    <w:semiHidden/>
    <w:qFormat/>
    <w:uiPriority w:val="99"/>
    <w:rPr>
      <w:rFonts w:ascii="Calibri" w:hAnsi="Calibri" w:eastAsia="宋体" w:cs="黑体"/>
      <w:kern w:val="2"/>
      <w:sz w:val="21"/>
      <w:szCs w:val="22"/>
      <w:lang w:val="en-US" w:eastAsia="zh-CN" w:bidi="ar-SA"/>
    </w:rPr>
  </w:style>
  <w:style w:type="paragraph" w:customStyle="1" w:styleId="25">
    <w:name w:val="列出段落1"/>
    <w:basedOn w:val="1"/>
    <w:qFormat/>
    <w:uiPriority w:val="34"/>
    <w:pPr>
      <w:ind w:firstLine="420" w:firstLineChars="200"/>
    </w:pPr>
    <w:rPr>
      <w:rFonts w:ascii="Calibri" w:hAnsi="Calibri" w:eastAsia="宋体" w:cs="Times New Roman"/>
    </w:rPr>
  </w:style>
  <w:style w:type="paragraph" w:customStyle="1" w:styleId="26">
    <w:name w:val="列出段落4"/>
    <w:basedOn w:val="1"/>
    <w:qFormat/>
    <w:uiPriority w:val="0"/>
    <w:pPr>
      <w:ind w:firstLine="200" w:firstLineChars="200"/>
    </w:pPr>
    <w:rPr>
      <w:rFonts w:ascii="Calibri" w:hAnsi="Calibri" w:eastAsia="宋体" w:cs="Times New Roman"/>
    </w:rPr>
  </w:style>
  <w:style w:type="paragraph" w:customStyle="1" w:styleId="27">
    <w:name w:val="列出段落3"/>
    <w:basedOn w:val="1"/>
    <w:qFormat/>
    <w:uiPriority w:val="0"/>
    <w:pPr>
      <w:ind w:firstLine="420" w:firstLineChars="200"/>
    </w:pPr>
    <w:rPr>
      <w:rFonts w:ascii="Times New Roman" w:hAnsi="Times New Roman" w:eastAsia="宋体" w:cs="Times New Roman"/>
      <w:szCs w:val="24"/>
    </w:rPr>
  </w:style>
  <w:style w:type="paragraph" w:customStyle="1" w:styleId="28">
    <w:name w:val="p0"/>
    <w:basedOn w:val="1"/>
    <w:qFormat/>
    <w:uiPriority w:val="0"/>
    <w:pPr>
      <w:widowControl/>
    </w:pPr>
    <w:rPr>
      <w:rFonts w:ascii="Calibri" w:hAnsi="Calibri" w:eastAsia="宋体" w:cs="宋体"/>
      <w:kern w:val="0"/>
      <w:szCs w:val="21"/>
    </w:rPr>
  </w:style>
  <w:style w:type="character" w:customStyle="1" w:styleId="29">
    <w:name w:val="页眉 Char"/>
    <w:basedOn w:val="15"/>
    <w:link w:val="11"/>
    <w:uiPriority w:val="99"/>
    <w:rPr>
      <w:sz w:val="18"/>
      <w:szCs w:val="18"/>
    </w:rPr>
  </w:style>
  <w:style w:type="character" w:customStyle="1" w:styleId="30">
    <w:name w:val="页脚 Char"/>
    <w:basedOn w:val="15"/>
    <w:link w:val="10"/>
    <w:uiPriority w:val="99"/>
    <w:rPr>
      <w:sz w:val="18"/>
      <w:szCs w:val="18"/>
    </w:rPr>
  </w:style>
  <w:style w:type="character" w:customStyle="1" w:styleId="31">
    <w:name w:val="批注框文本 Char"/>
    <w:basedOn w:val="15"/>
    <w:link w:val="9"/>
    <w:semiHidden/>
    <w:uiPriority w:val="0"/>
    <w:rPr>
      <w:sz w:val="18"/>
      <w:szCs w:val="18"/>
    </w:rPr>
  </w:style>
  <w:style w:type="character" w:customStyle="1" w:styleId="32">
    <w:name w:val="HTML 预设格式 Char"/>
    <w:basedOn w:val="15"/>
    <w:link w:val="13"/>
    <w:uiPriority w:val="99"/>
    <w:rPr>
      <w:rFonts w:ascii="宋体" w:hAnsi="宋体" w:eastAsia="宋体" w:cs="宋体"/>
      <w:kern w:val="0"/>
      <w:sz w:val="24"/>
      <w:szCs w:val="24"/>
    </w:rPr>
  </w:style>
  <w:style w:type="character" w:customStyle="1" w:styleId="33">
    <w:name w:val="批注文字 Char"/>
    <w:basedOn w:val="15"/>
    <w:link w:val="6"/>
    <w:semiHidden/>
    <w:qFormat/>
    <w:uiPriority w:val="0"/>
    <w:rPr>
      <w:rFonts w:ascii="Calibri" w:hAnsi="Calibri" w:eastAsia="宋体" w:cs="Times New Roman"/>
    </w:rPr>
  </w:style>
  <w:style w:type="character" w:customStyle="1" w:styleId="34">
    <w:name w:val="标题 1 Char"/>
    <w:basedOn w:val="15"/>
    <w:link w:val="2"/>
    <w:qFormat/>
    <w:uiPriority w:val="9"/>
    <w:rPr>
      <w:rFonts w:ascii="黑体" w:hAnsi="黑体" w:eastAsia="黑体" w:cs="宋体"/>
      <w:color w:val="000000"/>
      <w:kern w:val="0"/>
      <w:sz w:val="30"/>
      <w:szCs w:val="30"/>
    </w:rPr>
  </w:style>
  <w:style w:type="character" w:customStyle="1" w:styleId="35">
    <w:name w:val="标题 2 Char"/>
    <w:basedOn w:val="15"/>
    <w:link w:val="3"/>
    <w:qFormat/>
    <w:uiPriority w:val="0"/>
    <w:rPr>
      <w:rFonts w:ascii="Cambria" w:hAnsi="Cambria" w:eastAsia="宋体" w:cs="Times New Roman"/>
      <w:b/>
      <w:bCs/>
      <w:sz w:val="32"/>
      <w:szCs w:val="32"/>
    </w:rPr>
  </w:style>
  <w:style w:type="character" w:customStyle="1" w:styleId="36">
    <w:name w:val="标题 3 Char"/>
    <w:basedOn w:val="15"/>
    <w:link w:val="4"/>
    <w:qFormat/>
    <w:uiPriority w:val="9"/>
    <w:rPr>
      <w:rFonts w:ascii="仿宋_GB2312" w:hAnsi="Calibri" w:eastAsia="仿宋_GB2312" w:cs="Times New Roman"/>
      <w:sz w:val="30"/>
      <w:szCs w:val="30"/>
    </w:rPr>
  </w:style>
  <w:style w:type="character" w:customStyle="1" w:styleId="37">
    <w:name w:val="脚注文本 Char"/>
    <w:basedOn w:val="15"/>
    <w:semiHidden/>
    <w:qFormat/>
    <w:uiPriority w:val="99"/>
    <w:rPr>
      <w:kern w:val="2"/>
      <w:sz w:val="18"/>
      <w:szCs w:val="18"/>
    </w:rPr>
  </w:style>
  <w:style w:type="character" w:customStyle="1" w:styleId="38">
    <w:name w:val="脚注文本 Char1"/>
    <w:basedOn w:val="15"/>
    <w:link w:val="12"/>
    <w:semiHidden/>
    <w:qFormat/>
    <w:uiPriority w:val="0"/>
    <w:rPr>
      <w:rFonts w:ascii="Times New Roman" w:hAnsi="Times New Roman"/>
      <w:sz w:val="18"/>
      <w:szCs w:val="18"/>
    </w:rPr>
  </w:style>
  <w:style w:type="character" w:customStyle="1" w:styleId="39">
    <w:name w:val="标题 4 Char Char"/>
    <w:qFormat/>
    <w:uiPriority w:val="0"/>
    <w:rPr>
      <w:rFonts w:ascii="Calibri" w:hAnsi="Calibri"/>
      <w:b/>
      <w:bCs/>
      <w:sz w:val="28"/>
      <w:szCs w:val="28"/>
      <w:lang w:eastAsia="en-US" w:bidi="en-US"/>
    </w:rPr>
  </w:style>
  <w:style w:type="character" w:customStyle="1" w:styleId="40">
    <w:name w:val="文档结构图 Char"/>
    <w:basedOn w:val="15"/>
    <w:link w:val="5"/>
    <w:qFormat/>
    <w:uiPriority w:val="0"/>
    <w:rPr>
      <w:rFonts w:ascii="宋体"/>
      <w:sz w:val="18"/>
      <w:szCs w:val="18"/>
    </w:rPr>
  </w:style>
  <w:style w:type="character" w:customStyle="1" w:styleId="41">
    <w:name w:val="批注文字 Char1"/>
    <w:basedOn w:val="15"/>
    <w:semiHidden/>
    <w:qFormat/>
    <w:uiPriority w:val="99"/>
    <w:rPr>
      <w:kern w:val="2"/>
      <w:sz w:val="21"/>
      <w:szCs w:val="22"/>
    </w:rPr>
  </w:style>
  <w:style w:type="character" w:customStyle="1" w:styleId="42">
    <w:name w:val="Intense Emphasis"/>
    <w:basedOn w:val="15"/>
    <w:qFormat/>
    <w:uiPriority w:val="21"/>
    <w:rPr>
      <w:b/>
      <w:bCs/>
      <w:i/>
      <w:iCs/>
      <w:color w:val="4F81BD"/>
    </w:rPr>
  </w:style>
  <w:style w:type="character" w:customStyle="1" w:styleId="43">
    <w:name w:val="文档结构图 Char1"/>
    <w:basedOn w:val="15"/>
    <w:semiHidden/>
    <w:qFormat/>
    <w:uiPriority w:val="99"/>
    <w:rPr>
      <w:rFonts w:ascii="宋体" w:eastAsia="宋体"/>
      <w:sz w:val="18"/>
      <w:szCs w:val="18"/>
    </w:rPr>
  </w:style>
  <w:style w:type="character" w:customStyle="1" w:styleId="44">
    <w:name w:val="脚注文本 Char2"/>
    <w:basedOn w:val="15"/>
    <w:semiHidden/>
    <w:qFormat/>
    <w:uiPriority w:val="99"/>
    <w:rPr>
      <w:sz w:val="18"/>
      <w:szCs w:val="18"/>
    </w:rPr>
  </w:style>
  <w:style w:type="character" w:customStyle="1" w:styleId="45">
    <w:name w:val="正文文本 Char"/>
    <w:basedOn w:val="15"/>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404</Words>
  <Characters>2309</Characters>
  <Lines>19</Lines>
  <Paragraphs>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韩志宏</cp:lastModifiedBy>
  <cp:lastPrinted>2017-11-24T00:22:00Z</cp:lastPrinted>
  <dcterms:modified xsi:type="dcterms:W3CDTF">2021-02-07T08:12:38Z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