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编号：57001-2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“进口付汇事前审核”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w:t>
      </w:r>
      <w:bookmarkStart w:id="0" w:name="_GoBack"/>
      <w:bookmarkEnd w:id="0"/>
      <w:r>
        <w:rPr>
          <w:rFonts w:ascii="Times New Roman" w:hAnsi="Times New Roman" w:eastAsia="仿宋_GB2312" w:cs="Times New Roman"/>
          <w:sz w:val="30"/>
          <w:szCs w:val="30"/>
        </w:rPr>
        <w:t>家外汇管理局</w:t>
      </w:r>
      <w:r>
        <w:rPr>
          <w:rFonts w:hint="eastAsia" w:ascii="Times New Roman" w:hAnsi="Times New Roman" w:eastAsia="仿宋_GB2312" w:cs="Times New Roman"/>
          <w:sz w:val="30"/>
          <w:szCs w:val="30"/>
          <w:lang w:val="en-US" w:eastAsia="zh-CN"/>
        </w:rPr>
        <w:t>青海省分局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jc w:val="left"/>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子项名称：进口付汇事前审核；</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本指南适用于“进口付汇事前审核”的申请和办理。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（二）《国务院对确需保留的行政审批项目设定行政许可的决定》（国务院令第412号）附件第490项“进口单位进口付汇备案核准”。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（三）《国家外汇管理局关于印发〈跨国公司跨境资金集中运营管理规定〉的通知》（汇发〔2019〕7号）；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（四）</w:t>
      </w:r>
      <w:r>
        <w:rPr>
          <w:rFonts w:ascii="Times New Roman" w:hAnsi="Times New Roman" w:eastAsia="仿宋_GB2312" w:cs="Times New Roman"/>
          <w:sz w:val="30"/>
          <w:szCs w:val="30"/>
          <w:lang w:bidi="zh-CN"/>
        </w:rPr>
        <w:t>《国家外汇管理局关于优化外汇管理 支持涉外业务发展的通知》（汇发〔2020〕8号）；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（五）《国家外汇管理局关于印发〈经常项目外汇业务指引（2020年版）〉的通知》（汇发〔2020〕14号）</w:t>
      </w:r>
      <w:r>
        <w:rPr>
          <w:rFonts w:ascii="Times New Roman" w:hAnsi="Times New Roman" w:eastAsia="仿宋_GB2312" w:cs="Times New Roman"/>
          <w:sz w:val="30"/>
          <w:szCs w:val="30"/>
          <w:lang w:bidi="zh-CN"/>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申请人注册所在地国家外汇管理局分支局。</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跨国公司资金集中运营-经常项目资金集中收付和轧差净额结算业务相关行政许可的决定机构为申请人注册所在地国家外汇管理局分局</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其他行政许可的决定机构为申请人注册所在地国家外汇管理局分支局。</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2.超过付汇额度的B类企业；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3.发生90天以上（不含）延期付款的B类企业；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4.办理退汇日期与原收、付款日期间隔在180天以上（不含）或由于特殊情况无法原路退回的退汇业务时，A类企业单笔等值5万美元以上（不含）或B、C类企业；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6.办理新出现的贸易新业态外汇支出业务的企业。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（二）具备或符合如下条件的，准予批准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1.对于C类企业：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交易合规：C类企业原则上不得办理90天以上（不含）的远期信用证（含展期）、海外代付等进口贸易融资业务；不得办理90天以上（不含）的延期付款、托收业务；不得办理离岸转手买卖外汇支出；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2.对于超过付汇额度的B类企业：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交易合规：B类企业原则上不得办理90天以上（不含）的延期付款业务；不得办理离岸转手买卖外汇支出；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3.对于90天以上（不含）延期付款的B类企业：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交易合规：在分类监管有效期内，此前导致降级的情况已改善或纠正，且没有发生法规规定情形的，自列入B类之日起6个月后，可经外汇局登记办理该业务。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4.对于超期限或无法原路退汇的企业：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5.对于办理经常项目资金集中收付和轧差净额结算业务的跨国公司主办企业：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（1）具备真实业务需求；</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（2）具有完善的跨境资金管理架构、内控制度；</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（3）建立相应的内部管理电子系统；</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（4）上年度本外币国际收支规模超过1亿美元（参加跨境资金集中运营业务的境内成员企业合并计算）；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（5）近三年无重大外汇违法违规行为（成立不满三年的企业，自成立之日起无重大外汇违规行为）；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（6）主办企业和境内成员企业如为贸易外汇收支名录内企业，货物贸易分类结果应为A类；</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（7）国家外汇管理局规定的其他审慎监管条件。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6.对于新出现的贸易新业态外汇支出业务：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禁止性要求：1.申请材料不齐全，不符合法规规定。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2.申请业务不具有真实、合法的交易背景。</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（一）C类企业进口付汇登记申请材料清单</w:t>
      </w:r>
    </w:p>
    <w:tbl>
      <w:tblPr>
        <w:tblStyle w:val="8"/>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6"/>
        <w:gridCol w:w="2346"/>
        <w:gridCol w:w="1417"/>
        <w:gridCol w:w="425"/>
        <w:gridCol w:w="851"/>
        <w:gridCol w:w="226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34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说明需登记的事项和具体内容。对于贸易收汇的退汇支付，应在书面申请中具体说明退汇原因以及退汇同时是否发生货物退运。</w:t>
            </w:r>
          </w:p>
        </w:tc>
        <w:tc>
          <w:tcPr>
            <w:tcW w:w="992"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对于代理进口业务，代理方为C类企业的，应当按规定办理贸易外汇支出登记。</w:t>
            </w:r>
          </w:p>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346" w:type="dxa"/>
            <w:vAlign w:val="center"/>
          </w:tcPr>
          <w:p>
            <w:pPr>
              <w:jc w:val="center"/>
              <w:rPr>
                <w:rFonts w:ascii="Times New Roman" w:hAnsi="Times New Roman" w:eastAsia="仿宋_GB2312" w:cs="Times New Roman"/>
                <w:b/>
                <w:bCs/>
                <w:kern w:val="44"/>
                <w:sz w:val="24"/>
                <w:szCs w:val="24"/>
              </w:rPr>
            </w:pPr>
            <w:r>
              <w:rPr>
                <w:rFonts w:ascii="Times New Roman" w:hAnsi="Times New Roman" w:eastAsia="仿宋_GB2312" w:cs="Times New Roman"/>
                <w:sz w:val="24"/>
                <w:szCs w:val="24"/>
              </w:rPr>
              <w:t>合同</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1.一般情况应提交进口合同；2.对于贸易收汇的退汇支付，因错误汇入以外的其他原因产生的，提交原出口合同。</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1.除信用证、托收、预付货款外其他方式结算，货物已进口报关的，需提供报关单，货物不报关的，可提供运输单据等其他材料；2.发生货物退运而产生贸易收汇退汇支付时应提供。 </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2346" w:type="dxa"/>
            <w:vAlign w:val="center"/>
          </w:tcPr>
          <w:p>
            <w:pPr>
              <w:jc w:val="center"/>
              <w:rPr>
                <w:rStyle w:val="14"/>
                <w:rFonts w:ascii="Times New Roman" w:hAnsi="Times New Roman" w:cs="Times New Roman"/>
              </w:rPr>
            </w:pPr>
            <w:r>
              <w:rPr>
                <w:rFonts w:ascii="Times New Roman" w:hAnsi="Times New Roman" w:eastAsia="仿宋_GB2312" w:cs="Times New Roman"/>
                <w:sz w:val="24"/>
                <w:szCs w:val="24"/>
              </w:rPr>
              <w:t>原收汇凭证</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宋体" w:cs="Times New Roman"/>
                <w:kern w:val="0"/>
                <w:sz w:val="24"/>
                <w:szCs w:val="24"/>
              </w:rPr>
            </w:pPr>
            <w:r>
              <w:rPr>
                <w:rFonts w:ascii="Times New Roman" w:hAnsi="Times New Roman" w:eastAsia="仿宋_GB2312" w:cs="Times New Roman"/>
                <w:sz w:val="24"/>
                <w:szCs w:val="24"/>
              </w:rPr>
              <w:t>贸易收汇退汇时提供原收汇凭证。</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2346" w:type="dxa"/>
            <w:vAlign w:val="center"/>
          </w:tcPr>
          <w:p>
            <w:pPr>
              <w:jc w:val="center"/>
              <w:rPr>
                <w:rStyle w:val="14"/>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widowControl/>
              <w:jc w:val="left"/>
              <w:rPr>
                <w:rFonts w:ascii="Times New Roman" w:hAnsi="Times New Roman" w:eastAsia="仿宋_GB2312" w:cs="Times New Roman"/>
                <w:kern w:val="0"/>
                <w:sz w:val="24"/>
                <w:szCs w:val="24"/>
              </w:rPr>
            </w:pPr>
          </w:p>
        </w:tc>
        <w:tc>
          <w:tcPr>
            <w:tcW w:w="992"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（二）超过付汇额度的B类企业进口付汇登记申请材料清单</w:t>
      </w:r>
    </w:p>
    <w:tbl>
      <w:tblPr>
        <w:tblStyle w:val="8"/>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244"/>
        <w:gridCol w:w="457"/>
        <w:gridCol w:w="851"/>
        <w:gridCol w:w="3218"/>
        <w:gridCol w:w="1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4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2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说明为B类企业及具有超过可付汇额度付汇需要。</w:t>
            </w:r>
          </w:p>
        </w:tc>
        <w:tc>
          <w:tcPr>
            <w:tcW w:w="1176" w:type="dxa"/>
            <w:vMerge w:val="restart"/>
            <w:vAlign w:val="center"/>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对于代理业务，代理方为B类企业且可付汇额度不足的，应当按规定办理贸易外汇支出登记。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可付汇额度不足的证明材料</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keepNext/>
              <w:keepLines/>
              <w:spacing w:before="340" w:after="330" w:line="578" w:lineRule="auto"/>
              <w:rPr>
                <w:rFonts w:ascii="Times New Roman" w:hAnsi="Times New Roman" w:eastAsia="仿宋_GB2312" w:cs="Times New Roman"/>
                <w:sz w:val="24"/>
                <w:szCs w:val="24"/>
              </w:rPr>
            </w:pPr>
          </w:p>
        </w:tc>
        <w:tc>
          <w:tcPr>
            <w:tcW w:w="1176"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合同</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一般情况应提交进口合同；2.对于贸易收汇的退汇支付，因错误汇入以外的其他原因产生的，提交原出口合同。</w:t>
            </w:r>
          </w:p>
        </w:tc>
        <w:tc>
          <w:tcPr>
            <w:tcW w:w="1176" w:type="dxa"/>
            <w:vMerge w:val="continue"/>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除信用证、托收、预付货款外其他方式结算的，货物已进口报关的，需提供报关单，货物不报关的，可提供运输单据等其他材料；2.发生货物退运而产生贸易收汇退汇支付时应提供。</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贸易收汇退汇时提供原收汇凭证。</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keepNext/>
              <w:keepLines/>
              <w:spacing w:before="340" w:after="330" w:line="578"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p>
        </w:tc>
        <w:tc>
          <w:tcPr>
            <w:tcW w:w="1176"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（三）90天以上延期付款的B类企业进口付汇登记申请材料清单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985"/>
        <w:gridCol w:w="992"/>
        <w:gridCol w:w="851"/>
        <w:gridCol w:w="1701"/>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说明需登记的事项和具体内容。 </w:t>
            </w:r>
          </w:p>
        </w:tc>
        <w:tc>
          <w:tcPr>
            <w:tcW w:w="1275"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进口合同</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进口货物报关单</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货物不报关的可提供运输单据等其他材料</w:t>
            </w: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需90天以上延期付款的证明材料</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（四）超期限或无法原路退汇的企业付汇登记申请材料清单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486"/>
        <w:gridCol w:w="993"/>
        <w:gridCol w:w="457"/>
        <w:gridCol w:w="818"/>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说明需要登记事项的具体内容，超期限或无法原路退汇的原因，退汇同时是否发生货物退运。</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超期限或无法原路退汇的证明材料</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原出口合同</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因错误汇入以外的其他原因产生的贸易收汇退汇，提供原出口合同。 </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发生货物退运时提供进口报关单。</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（五）新出现的贸易新业态进口付汇登记申请材料清单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说明登记业务真实性和合理性的材料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（六）跨国公司资金集中运营-经常项目资金集中收付和轧差净额结算业务备案申请材料清单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494"/>
        <w:gridCol w:w="1276"/>
        <w:gridCol w:w="457"/>
        <w:gridCol w:w="960"/>
        <w:gridCol w:w="2268"/>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包括跨国公司及主办企业基本情况、拟开展的业务种类、成员企业名单、主办企业及成员企业股权结构情况、拟选择的合作银行情况等； </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此项材料应加盖跨国公司公章。</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非中文的同时提供中文翻译件。</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仅主办企业为财务公司的需提供。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（七）跨国公司资金集中运营-经常项目资金集中收付和轧差净额结算业务变更申请材料清单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1134"/>
        <w:gridCol w:w="1559"/>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5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申请书</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需列明变更事项和相关内容。</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加盖银行业务公章的原账户余额对账单</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主办企业与变更后合作银行签署的《跨国公司跨境资金集中运营业务办理确认书》</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78"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跨国公司对主办企业开展跨境资金集中运营业务的授权书</w:t>
            </w:r>
          </w:p>
        </w:tc>
        <w:tc>
          <w:tcPr>
            <w:tcW w:w="1417"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主办企业变更、成员企业新增或退出、外债和境外放款额度变更、业务种类变更时提供。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主办企业变更、成员企业新增或退出、业务种类变更时提供；非中文的同时提供中文翻译件。</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主办企业变更、成员企业新增或退出、业务种类变更时提供；仅主办企业为财务公司的需提供。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p>
        </w:tc>
        <w:tc>
          <w:tcPr>
            <w:tcW w:w="1778" w:type="dxa"/>
            <w:vAlign w:val="center"/>
          </w:tcPr>
          <w:p>
            <w:pPr>
              <w:jc w:val="center"/>
              <w:rPr>
                <w:rFonts w:ascii="Times New Roman" w:hAnsi="Times New Roman" w:eastAsia="仿宋_GB2312" w:cs="Times New Roman"/>
                <w:sz w:val="24"/>
                <w:szCs w:val="24"/>
              </w:rPr>
            </w:pPr>
          </w:p>
        </w:tc>
        <w:tc>
          <w:tcPr>
            <w:tcW w:w="1417" w:type="dxa"/>
            <w:vAlign w:val="center"/>
          </w:tcPr>
          <w:p>
            <w:pPr>
              <w:jc w:val="center"/>
              <w:rPr>
                <w:rFonts w:ascii="Times New Roman" w:hAnsi="Times New Roman" w:eastAsia="仿宋_GB2312" w:cs="Times New Roman"/>
                <w:sz w:val="24"/>
                <w:szCs w:val="24"/>
              </w:rPr>
            </w:pPr>
          </w:p>
        </w:tc>
        <w:tc>
          <w:tcPr>
            <w:tcW w:w="567" w:type="dxa"/>
            <w:vAlign w:val="center"/>
          </w:tcPr>
          <w:p>
            <w:pPr>
              <w:jc w:val="center"/>
              <w:rPr>
                <w:rFonts w:ascii="Times New Roman" w:hAnsi="Times New Roman" w:eastAsia="仿宋_GB2312" w:cs="Times New Roman"/>
                <w:sz w:val="24"/>
                <w:szCs w:val="24"/>
              </w:rPr>
            </w:pPr>
          </w:p>
        </w:tc>
        <w:tc>
          <w:tcPr>
            <w:tcW w:w="1134" w:type="dxa"/>
            <w:vAlign w:val="center"/>
          </w:tcPr>
          <w:p>
            <w:pPr>
              <w:jc w:val="center"/>
              <w:rPr>
                <w:rFonts w:ascii="Times New Roman" w:hAnsi="Times New Roman" w:eastAsia="仿宋_GB2312" w:cs="Times New Roman"/>
                <w:sz w:val="24"/>
                <w:szCs w:val="24"/>
              </w:rPr>
            </w:pPr>
          </w:p>
        </w:tc>
        <w:tc>
          <w:tcPr>
            <w:tcW w:w="1559" w:type="dxa"/>
            <w:vAlign w:val="center"/>
          </w:tcPr>
          <w:p>
            <w:pPr>
              <w:rPr>
                <w:rFonts w:ascii="Times New Roman" w:hAnsi="Times New Roman" w:eastAsia="仿宋_GB2312" w:cs="Times New Roman"/>
                <w:sz w:val="24"/>
                <w:szCs w:val="24"/>
              </w:rPr>
            </w:pP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（八）跨国公司资金集中运营-经常项目资金集中收付和轧差净额结算业务注销申请材料清单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包括跨国公司跨境资金集中运营的跨境收支及结售汇、国内资金主账户的关闭等相关情况。</w:t>
            </w:r>
          </w:p>
        </w:tc>
        <w:tc>
          <w:tcPr>
            <w:tcW w:w="1701" w:type="dxa"/>
            <w:vAlign w:val="center"/>
          </w:tcPr>
          <w:p>
            <w:pPr>
              <w:rPr>
                <w:rFonts w:ascii="Times New Roman" w:hAnsi="Times New Roman" w:eastAsia="仿宋_GB2312" w:cs="Times New Roman"/>
                <w:sz w:val="24"/>
                <w:szCs w:val="24"/>
              </w:rPr>
            </w:pPr>
          </w:p>
        </w:tc>
      </w:tr>
    </w:tbl>
    <w:p>
      <w:pPr>
        <w:rPr>
          <w:rFonts w:ascii="Times New Roman" w:hAnsi="Times New Roman" w:eastAsia="黑体" w:cs="Times New Roman"/>
          <w:sz w:val="30"/>
          <w:szCs w:val="30"/>
        </w:rPr>
      </w:pPr>
      <w:r>
        <w:rPr>
          <w:rFonts w:ascii="Times New Roman" w:hAnsi="Times New Roman" w:eastAsia="黑体" w:cs="Times New Roman"/>
          <w:sz w:val="30"/>
          <w:szCs w:val="30"/>
        </w:rPr>
        <w:t xml:space="preserve">    十、申请接受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申请人可通过国家外汇管理局分支局提交材料。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（二）决定是否予以受理；</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（六）不予许可的，做出不予许可的行政许可书面决定并说明理由；予以许可的，出具贸易外汇业务登记表或备案通知书。</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tabs>
          <w:tab w:val="left" w:pos="615"/>
        </w:tabs>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tabs>
          <w:tab w:val="left" w:pos="615"/>
        </w:tabs>
        <w:rPr>
          <w:rFonts w:ascii="Times New Roman" w:hAnsi="Times New Roman" w:eastAsia="黑体" w:cs="Times New Roman"/>
          <w:sz w:val="30"/>
          <w:szCs w:val="30"/>
        </w:rPr>
      </w:pPr>
      <w:r>
        <w:rPr>
          <w:rFonts w:ascii="Times New Roman" w:hAnsi="Times New Roman" w:eastAsia="黑体" w:cs="Times New Roman"/>
          <w:sz w:val="30"/>
          <w:szCs w:val="30"/>
        </w:rPr>
        <w:t xml:space="preserve">    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外汇局向申请企业出具贸易外汇业务登记表或备案通知书。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通过电话等方式通知申请企业，并通过现场领取或邮寄等方式将结果送达。</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十八、咨询途径、监督和投诉、公开查询等由所在地分支局办理</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青海省分局：</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咨询电话：0971—6126143</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监督和投诉电话：0971—6126148</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咨询电话：0972—8685145</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监督和投诉电话：0972—867008</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咨询电话：0977—8205400</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监督和投诉电话：0977—8220142</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咨询电话：0979—8418430</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监督和投诉电话：0979—8412176</w:t>
      </w:r>
    </w:p>
    <w:p>
      <w:pPr>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向各地外汇局进行咨询、进程查询、监督和投诉等可通过各地外汇局官方互联网站</w:t>
      </w:r>
      <w:r>
        <w:rPr>
          <w:rFonts w:hint="eastAsia" w:ascii="Times New Roman" w:hAnsi="Times New Roman" w:eastAsia="仿宋_GB2312" w:cs="Times New Roman"/>
          <w:sz w:val="30"/>
          <w:szCs w:val="30"/>
          <w:lang w:eastAsia="zh-CN"/>
        </w:rPr>
        <w:t>咨询反馈功能</w:t>
      </w:r>
      <w:r>
        <w:rPr>
          <w:rFonts w:ascii="Times New Roman" w:hAnsi="Times New Roman" w:eastAsia="仿宋_GB2312" w:cs="Times New Roman"/>
          <w:sz w:val="30"/>
          <w:szCs w:val="30"/>
        </w:rPr>
        <w:t>进行。</w:t>
      </w:r>
      <w:r>
        <w:rPr>
          <w:rFonts w:hint="eastAsia" w:ascii="Times New Roman" w:hAnsi="Times New Roman" w:eastAsia="仿宋_GB2312" w:cs="Times New Roman"/>
          <w:sz w:val="30"/>
          <w:szCs w:val="30"/>
          <w:lang w:eastAsia="zh-CN"/>
        </w:rPr>
        <w:t>青海省分局互联网站网址：</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"http://www.safe.gov.cn/qinghai/index.html。" </w:instrText>
      </w:r>
      <w:r>
        <w:rPr>
          <w:rFonts w:hint="eastAsia" w:ascii="Times New Roman" w:hAnsi="Times New Roman" w:eastAsia="仿宋_GB2312" w:cs="Times New Roman"/>
          <w:sz w:val="30"/>
          <w:szCs w:val="30"/>
          <w:lang w:val="en-US" w:eastAsia="zh-CN"/>
        </w:rPr>
        <w:fldChar w:fldCharType="separate"/>
      </w:r>
      <w:r>
        <w:rPr>
          <w:rStyle w:val="6"/>
          <w:rFonts w:hint="eastAsia" w:ascii="Times New Roman" w:hAnsi="Times New Roman" w:eastAsia="仿宋_GB2312" w:cs="Times New Roman"/>
          <w:sz w:val="30"/>
          <w:szCs w:val="30"/>
          <w:lang w:val="en-US" w:eastAsia="zh-CN"/>
        </w:rPr>
        <w:t>www.safe.gov.cn/qinghai/index.html。</w:t>
      </w:r>
      <w:r>
        <w:rPr>
          <w:rFonts w:hint="eastAsia" w:ascii="Times New Roman" w:hAnsi="Times New Roman" w:eastAsia="仿宋_GB2312" w:cs="Times New Roman"/>
          <w:sz w:val="30"/>
          <w:szCs w:val="30"/>
          <w:lang w:val="en-US" w:eastAsia="zh-CN"/>
        </w:rPr>
        <w:fldChar w:fldCharType="end"/>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对行政许可进程信息进行查询，也可登陆国家外汇管理局政务服务网上办理系统（通过国家外汇管理局“数字外管”平台：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，或</w:t>
      </w:r>
      <w:r>
        <w:rPr>
          <w:rFonts w:ascii="Times New Roman" w:hAnsi="Times New Roman" w:eastAsia="仿宋_GB2312" w:cs="Times New Roman"/>
          <w:sz w:val="30"/>
          <w:szCs w:val="30"/>
          <w:lang w:val="en-US" w:eastAsia="zh-CN"/>
        </w:rPr>
        <w:t>通过微信扫码国家政务服务平台“外汇政务服务”二维码快捷查询</w:t>
      </w:r>
      <w:r>
        <w:rPr>
          <w:rFonts w:hint="eastAsia" w:ascii="Times New Roman" w:hAnsi="Times New Roman" w:eastAsia="仿宋_GB2312" w:cs="Times New Roman"/>
          <w:sz w:val="30"/>
          <w:szCs w:val="30"/>
          <w:lang w:val="en-US" w:eastAsia="zh-CN"/>
        </w:rPr>
        <w:t>：</w:t>
      </w:r>
    </w:p>
    <w:p>
      <w:pPr>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             </w:t>
      </w:r>
      <w:r>
        <w:rPr>
          <w:rFonts w:hint="eastAsia" w:ascii="宋体" w:hAnsi="宋体" w:eastAsia="宋体" w:cs="宋体"/>
          <w:i w:val="0"/>
          <w:snapToGrid w:val="0"/>
          <w:color w:val="000000"/>
          <w:kern w:val="0"/>
          <w:sz w:val="24"/>
          <w:szCs w:val="24"/>
          <w:u w:val="none"/>
          <w:lang w:val="en-US" w:eastAsia="zh-CN" w:bidi="ar-SA"/>
        </w:rPr>
        <w:fldChar w:fldCharType="begin"/>
      </w:r>
      <w:r>
        <w:rPr>
          <w:rFonts w:hint="eastAsia" w:ascii="宋体" w:hAnsi="宋体" w:eastAsia="宋体" w:cs="宋体"/>
          <w:i w:val="0"/>
          <w:snapToGrid w:val="0"/>
          <w:color w:val="000000"/>
          <w:kern w:val="0"/>
          <w:sz w:val="24"/>
          <w:szCs w:val="24"/>
          <w:u w:val="none"/>
          <w:lang w:val="en-US" w:eastAsia="zh-CN" w:bidi="ar-SA"/>
        </w:rPr>
        <w:instrText xml:space="preserve">INCLUDEPICTURE \d "C:\\Users\\zhangqian\\Documents\\My PBC IM\\21474886701899\\images\\4136C81620F6051F3AEC01B3596866FA.jpg" \* MERGEFORMATINET </w:instrText>
      </w:r>
      <w:r>
        <w:rPr>
          <w:rFonts w:hint="eastAsia" w:ascii="宋体" w:hAnsi="宋体" w:eastAsia="宋体" w:cs="宋体"/>
          <w:i w:val="0"/>
          <w:snapToGrid w:val="0"/>
          <w:color w:val="000000"/>
          <w:kern w:val="0"/>
          <w:sz w:val="24"/>
          <w:szCs w:val="24"/>
          <w:u w:val="none"/>
          <w:lang w:val="en-US" w:eastAsia="zh-CN" w:bidi="ar-SA"/>
        </w:rPr>
        <w:fldChar w:fldCharType="separate"/>
      </w:r>
      <w:r>
        <w:rPr>
          <w:rFonts w:hint="eastAsia" w:ascii="宋体" w:hAnsi="宋体" w:eastAsia="宋体" w:cs="宋体"/>
          <w:i w:val="0"/>
          <w:snapToGrid w:val="0"/>
          <w:color w:val="000000"/>
          <w:kern w:val="0"/>
          <w:sz w:val="24"/>
          <w:szCs w:val="24"/>
          <w:u w:val="none"/>
          <w:lang w:val="en-US" w:eastAsia="zh-CN" w:bidi="ar-SA"/>
        </w:rPr>
        <w:pict>
          <v:shape id="图片 1025" o:spid="_x0000_s1027" type="#_x0000_t75" style="height:165pt;width:177pt;rotation:0f;" o:ole="f" fillcolor="#FFFFFF" filled="f" o:preferrelative="t" stroked="f" coordorigin="0,0" coordsize="21600,21600">
            <v:fill on="f" color2="#FFFFFF" focus="0%"/>
            <v:imagedata gain="65536f" blacklevel="0f" gamma="0" o:title="IMG_256" r:id="rId9"/>
            <o:lock v:ext="edit" position="f" selection="f" grouping="f" rotation="f" cropping="f" text="f" aspectratio="t"/>
            <w10:wrap type="none"/>
            <w10:anchorlock/>
          </v:shape>
        </w:pict>
      </w:r>
      <w:r>
        <w:rPr>
          <w:rFonts w:hint="eastAsia" w:ascii="宋体" w:hAnsi="宋体" w:eastAsia="宋体" w:cs="宋体"/>
          <w:i w:val="0"/>
          <w:snapToGrid w:val="0"/>
          <w:color w:val="000000"/>
          <w:kern w:val="0"/>
          <w:sz w:val="24"/>
          <w:szCs w:val="24"/>
          <w:u w:val="none"/>
          <w:lang w:val="en-US" w:eastAsia="zh-CN" w:bidi="ar-SA"/>
        </w:rPr>
        <w:fldChar w:fldCharType="end"/>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w:t>
      </w:r>
      <w:r>
        <w:rPr>
          <w:rFonts w:hint="eastAsia" w:ascii="Times New Roman" w:hAnsi="Times New Roman" w:eastAsia="黑体" w:cs="Times New Roman"/>
          <w:sz w:val="30"/>
          <w:szCs w:val="30"/>
          <w:lang w:eastAsia="zh-CN"/>
        </w:rPr>
        <w:t>受理</w:t>
      </w:r>
      <w:r>
        <w:rPr>
          <w:rFonts w:ascii="Times New Roman" w:hAnsi="Times New Roman" w:eastAsia="黑体" w:cs="Times New Roman"/>
          <w:sz w:val="30"/>
          <w:szCs w:val="30"/>
        </w:rPr>
        <w:t>地址和</w:t>
      </w:r>
      <w:r>
        <w:rPr>
          <w:rFonts w:hint="eastAsia" w:ascii="Times New Roman" w:hAnsi="Times New Roman" w:eastAsia="黑体" w:cs="Times New Roman"/>
          <w:sz w:val="30"/>
          <w:szCs w:val="30"/>
          <w:lang w:eastAsia="zh-CN"/>
        </w:rPr>
        <w:t>受理</w:t>
      </w:r>
      <w:r>
        <w:rPr>
          <w:rFonts w:ascii="Times New Roman" w:hAnsi="Times New Roman" w:eastAsia="黑体" w:cs="Times New Roman"/>
          <w:sz w:val="30"/>
          <w:szCs w:val="30"/>
        </w:rPr>
        <w:t>时间</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除跨国公司资金集中运营-经常项目资金集中收付和轧差净额结算业务相关行政许可由国家外汇管理局分局办理外，其他行政许可具体由国家外汇管理局分支局办理。</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青海省分局：</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受理地址：青海省西宁市昆仑路</w:t>
      </w:r>
      <w:r>
        <w:rPr>
          <w:rFonts w:hint="eastAsia" w:ascii="Times New Roman" w:hAnsi="Times New Roman" w:eastAsia="仿宋_GB2312" w:cs="Times New Roman"/>
          <w:sz w:val="30"/>
          <w:szCs w:val="30"/>
          <w:lang w:val="en-US" w:eastAsia="zh-CN"/>
        </w:rPr>
        <w:t>3号，中国人民银行西宁中心支行综合办公楼1506室。</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受理时间：工作日，上午：8:30-11:30；下午：14:00-17:30。</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受理地址：</w:t>
      </w:r>
      <w:r>
        <w:rPr>
          <w:rFonts w:hint="eastAsia" w:ascii="Times New Roman" w:hAnsi="Times New Roman" w:eastAsia="仿宋_GB2312" w:cs="Times New Roman"/>
          <w:sz w:val="30"/>
          <w:szCs w:val="30"/>
          <w:lang w:val="en-US" w:eastAsia="zh-CN"/>
        </w:rPr>
        <w:t>青海省海东市平安区乐都路3号，中国人民银行海东市中心支行综合楼4楼外汇管理科。</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受理时间：工作日，上午：8:30-12:00；下午：14:00-17:30。</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val="en-US" w:eastAsia="zh-CN"/>
        </w:rPr>
        <w:t>受理地址：青海省海西州德令哈市长江路18号，中国人民银行海西州中心支行410室。</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受理时间：工作日，上午：8:30-11:30；下午：14:00-17:30。</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受理地址：青海省海西蒙古族藏族自治州格尔木市柴达木中路20号，中国人民银行格尔木市支行406室。</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受理时间：工作日，上午：8:30-11:30；下午：14:00-17:30。</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二十一、常见问题解答和错误示例。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1.《贸易外汇业务登记表》的有效期是多久？</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《贸易外汇业务登记表》有效期原则上不超过1个月。</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2.错误示例</w:t>
      </w:r>
    </w:p>
    <w:p>
      <w:pPr>
        <w:widowControl/>
        <w:spacing w:line="384" w:lineRule="auto"/>
        <w:ind w:firstLine="600" w:firstLineChars="2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0"/>
          <w:sz w:val="30"/>
          <w:szCs w:val="30"/>
        </w:rPr>
        <w:t>企业在填写申请书时，要写明具体的登记业务类型，如B类企业办理90天以上延期付款登记，注意不要只填写B类企业登记业务</w:t>
      </w:r>
      <w:r>
        <w:rPr>
          <w:rFonts w:ascii="Times New Roman" w:hAnsi="Times New Roman" w:eastAsia="仿宋_GB2312" w:cs="Times New Roman"/>
          <w:sz w:val="30"/>
          <w:szCs w:val="30"/>
        </w:rPr>
        <w:t>。</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Flowchart: Terminator 78" o:spid="_x0000_s1028" type="#_x0000_t116" style="position:absolute;left:0;margin-left:-5.25pt;margin-top:4.45pt;height:70.75pt;width:99.8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86" o:spid="_x0000_s1029" type="#_x0000_t32" style="position:absolute;left:0;margin-left:39.8pt;margin-top:12.8pt;height:43.4pt;width:0.8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0" o:spid="_x0000_s1030" type="#_x0000_t32" style="position:absolute;left:0;flip:x;margin-left:41.45pt;margin-top:21.05pt;height:0.05pt;width:232.15pt;rotation:0f;z-index:2516602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0" o:spid="_x0000_s1031"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94" o:spid="_x0000_s1032" type="#_x0000_t32" style="position:absolute;left:0;margin-left:41.45pt;margin-top:125.3pt;height:57.55pt;width:0.05pt;rotation:0f;z-index:25166233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8" o:spid="_x0000_s1033" type="#_x0000_t32" style="position:absolute;left:0;margin-left:99.95pt;margin-top:92.5pt;height:0.05pt;width:52pt;rotation:0f;z-index:25166336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2" o:spid="_x0000_s1034" style="position:absolute;left:0;margin-left:151.95pt;margin-top:80pt;height:45.3pt;width:268.1pt;rotation:0f;z-index:251664384;"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Flowchart: Terminator 85" o:spid="_x0000_s1035" type="#_x0000_t116" style="position:absolute;left:0;margin-left:-5.25pt;margin-top:375.2pt;height:63.55pt;width:197.6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Flowchart: Terminator 84" o:spid="_x0000_s1036" type="#_x0000_t116" style="position:absolute;left:0;margin-left:198.8pt;margin-top:375.2pt;height:63.55pt;width:180.85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Straight Connector 92" o:spid="_x0000_s1037" type="#_x0000_t32" style="position:absolute;left:0;margin-left:237.25pt;margin-top:323.1pt;height:52.1pt;width:0.05pt;rotation:0f;z-index:25166745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3" o:spid="_x0000_s1038" type="#_x0000_t32" style="position:absolute;left:0;margin-left:117.65pt;margin-top:323.1pt;height:52.1pt;width:0.0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Decision 96" o:spid="_x0000_s1039" type="#_x0000_t110" style="position:absolute;left:0;margin-left:94.55pt;margin-top:265.4pt;height:86.2pt;width:166.25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Straight Connector 91" o:spid="_x0000_s1040" type="#_x0000_t32" style="position:absolute;left:0;margin-left:179.6pt;margin-top:231.45pt;height:33.95pt;width:0.05pt;rotation:0f;z-index:2516705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7" o:spid="_x0000_s1041" type="#_x0000_t32" style="position:absolute;left:0;margin-left:103.8pt;margin-top:61.4pt;height:0.05pt;width:48.15pt;rotation:0f;z-index:25167155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Decision 79" o:spid="_x0000_s1042" type="#_x0000_t110" style="position:absolute;left:0;margin-left:-42.55pt;margin-top:25pt;height:100.3pt;width:166.25pt;rotation:0f;z-index:25167257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rect id="Rectangle 83" o:spid="_x0000_s1043" style="position:absolute;left:0;margin-left:81.7pt;margin-top:162.05pt;height:69.4pt;width:210.9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Straight Connector 95" o:spid="_x0000_s1044" type="#_x0000_t32" style="position:absolute;left:0;margin-left:40.6pt;margin-top:182.85pt;height:0.05pt;width:41.1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9" o:spid="_x0000_s1045" type="#_x0000_t32" style="position:absolute;left:0;flip:y;margin-left:345.35pt;margin-top:4.1pt;height:44.75pt;width:0.05pt;rotation:0f;z-index:25167564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1" o:spid="_x0000_s1046" style="position:absolute;left:0;margin-left:151.95pt;margin-top:48.85pt;height:25pt;width:268.1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p>
    <w:p>
      <w:pPr>
        <w:widowControl/>
        <w:spacing w:line="384"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r>
        <w:rPr>
          <w:rFonts w:ascii="Times New Roman" w:hAnsi="Times New Roman" w:eastAsia="仿宋_GB2312" w:cs="Times New Roman"/>
          <w:kern w:val="0"/>
          <w:sz w:val="30"/>
          <w:szCs w:val="30"/>
        </w:rPr>
        <w:t>材料示范文本</w:t>
      </w:r>
      <w:r>
        <w:rPr>
          <w:rFonts w:ascii="Times New Roman" w:hAnsi="Times New Roman" w:eastAsia="仿宋_GB2312" w:cs="Times New Roman"/>
          <w:sz w:val="30"/>
          <w:szCs w:val="30"/>
        </w:rPr>
        <w:t>）</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申请书</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国家外汇管理局XX分（支）局：</w:t>
      </w:r>
      <w:r>
        <w:rPr>
          <w:rFonts w:ascii="Times New Roman" w:hAnsi="Times New Roman" w:eastAsia="仿宋_GB2312" w:cs="Times New Roman"/>
          <w:kern w:val="0"/>
          <w:sz w:val="30"/>
          <w:szCs w:val="30"/>
        </w:rPr>
        <w:br/>
      </w:r>
      <w:r>
        <w:rPr>
          <w:rFonts w:ascii="Times New Roman" w:hAnsi="Times New Roman" w:eastAsia="仿宋_GB2312" w:cs="Times New Roman"/>
          <w:kern w:val="0"/>
          <w:sz w:val="30"/>
          <w:szCs w:val="30"/>
        </w:rPr>
        <w:t>　　一、申请业务的基本情况</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包括但不限于：业务基本情况介绍、业务类别、结算方式、经办金融机构名称、币种和金额等。</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二、申请事项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包括但不限于：需登记的事项，原因（如按法规规定需说明原因的）等其他内容。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三、其他需说明的情况（如无，可不填写）</w:t>
      </w:r>
    </w:p>
    <w:p>
      <w:pPr>
        <w:widowControl/>
        <w:spacing w:line="384" w:lineRule="auto"/>
        <w:ind w:firstLine="600"/>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r>
    </w:p>
    <w:p>
      <w:pPr>
        <w:widowControl/>
        <w:spacing w:line="384" w:lineRule="auto"/>
        <w:ind w:right="600"/>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单位（盖章）：</w:t>
      </w:r>
    </w:p>
    <w:p>
      <w:pPr>
        <w:widowControl/>
        <w:spacing w:line="384" w:lineRule="auto"/>
        <w:ind w:right="900" w:firstLine="5400" w:firstLineChars="18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年  月  日</w:t>
      </w:r>
    </w:p>
    <w:p>
      <w:pPr>
        <w:widowControl/>
        <w:spacing w:line="384" w:lineRule="auto"/>
        <w:ind w:right="900" w:firstLine="5400" w:firstLineChars="1800"/>
        <w:rPr>
          <w:rFonts w:ascii="Times New Roman" w:hAnsi="Times New Roman" w:eastAsia="仿宋_GB2312" w:cs="Times New Roman"/>
          <w:kern w:val="0"/>
          <w:sz w:val="30"/>
          <w:szCs w:val="30"/>
        </w:rPr>
      </w:pPr>
    </w:p>
    <w:p>
      <w:pPr>
        <w:rPr>
          <w:rFonts w:ascii="Times New Roman" w:hAnsi="Times New Roman" w:cs="Times New Roman"/>
        </w:rPr>
      </w:pPr>
    </w:p>
    <w:p>
      <w:pPr>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t>1</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t>2</w:t>
    </w:r>
    <w:r>
      <w:rPr>
        <w:lang w:val="zh-CN"/>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t>16</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B19B3"/>
    <w:rsid w:val="000003C0"/>
    <w:rsid w:val="000021D6"/>
    <w:rsid w:val="00004BD5"/>
    <w:rsid w:val="00007A67"/>
    <w:rsid w:val="000233D5"/>
    <w:rsid w:val="00027E45"/>
    <w:rsid w:val="000351A4"/>
    <w:rsid w:val="00037A07"/>
    <w:rsid w:val="0004414D"/>
    <w:rsid w:val="00050681"/>
    <w:rsid w:val="00061C5F"/>
    <w:rsid w:val="000652D6"/>
    <w:rsid w:val="00070716"/>
    <w:rsid w:val="000B0E34"/>
    <w:rsid w:val="000D3467"/>
    <w:rsid w:val="000D61BB"/>
    <w:rsid w:val="000E2AD6"/>
    <w:rsid w:val="000E2D98"/>
    <w:rsid w:val="000E55BC"/>
    <w:rsid w:val="000E5910"/>
    <w:rsid w:val="000F1C17"/>
    <w:rsid w:val="000F24B5"/>
    <w:rsid w:val="00102A7C"/>
    <w:rsid w:val="00106460"/>
    <w:rsid w:val="001156C5"/>
    <w:rsid w:val="001172B3"/>
    <w:rsid w:val="00134BF3"/>
    <w:rsid w:val="00140DE8"/>
    <w:rsid w:val="001418D3"/>
    <w:rsid w:val="001437E6"/>
    <w:rsid w:val="00154329"/>
    <w:rsid w:val="00163202"/>
    <w:rsid w:val="001870AC"/>
    <w:rsid w:val="00193A89"/>
    <w:rsid w:val="00195B37"/>
    <w:rsid w:val="001A1E83"/>
    <w:rsid w:val="001A61DE"/>
    <w:rsid w:val="001C084E"/>
    <w:rsid w:val="001C2B84"/>
    <w:rsid w:val="001C3568"/>
    <w:rsid w:val="001C4BB1"/>
    <w:rsid w:val="001D095F"/>
    <w:rsid w:val="001D2DD9"/>
    <w:rsid w:val="001D56F0"/>
    <w:rsid w:val="001D5C07"/>
    <w:rsid w:val="001E37D7"/>
    <w:rsid w:val="001F1B4B"/>
    <w:rsid w:val="001F2A75"/>
    <w:rsid w:val="00212F1A"/>
    <w:rsid w:val="00215F91"/>
    <w:rsid w:val="002178A9"/>
    <w:rsid w:val="002226D7"/>
    <w:rsid w:val="0023361F"/>
    <w:rsid w:val="00233CB8"/>
    <w:rsid w:val="00233F9E"/>
    <w:rsid w:val="00235C6D"/>
    <w:rsid w:val="002453CB"/>
    <w:rsid w:val="00253212"/>
    <w:rsid w:val="00254875"/>
    <w:rsid w:val="00256B77"/>
    <w:rsid w:val="002654CB"/>
    <w:rsid w:val="00266E25"/>
    <w:rsid w:val="00273E50"/>
    <w:rsid w:val="002756E4"/>
    <w:rsid w:val="002A0834"/>
    <w:rsid w:val="002B0553"/>
    <w:rsid w:val="002B05F7"/>
    <w:rsid w:val="002B3F08"/>
    <w:rsid w:val="002B4E65"/>
    <w:rsid w:val="002C7EAF"/>
    <w:rsid w:val="002F2577"/>
    <w:rsid w:val="002F6202"/>
    <w:rsid w:val="00316E50"/>
    <w:rsid w:val="00316F0E"/>
    <w:rsid w:val="00321272"/>
    <w:rsid w:val="00325547"/>
    <w:rsid w:val="00326B8C"/>
    <w:rsid w:val="003314E4"/>
    <w:rsid w:val="00331E1E"/>
    <w:rsid w:val="003371EB"/>
    <w:rsid w:val="00337ED9"/>
    <w:rsid w:val="00345800"/>
    <w:rsid w:val="003508A5"/>
    <w:rsid w:val="00354A7C"/>
    <w:rsid w:val="00364BB9"/>
    <w:rsid w:val="00377012"/>
    <w:rsid w:val="00387FD0"/>
    <w:rsid w:val="00396CD5"/>
    <w:rsid w:val="003A1721"/>
    <w:rsid w:val="003A2E79"/>
    <w:rsid w:val="003A4630"/>
    <w:rsid w:val="003A496B"/>
    <w:rsid w:val="003B1325"/>
    <w:rsid w:val="003B6057"/>
    <w:rsid w:val="003C3480"/>
    <w:rsid w:val="003C5C1F"/>
    <w:rsid w:val="003D1EDA"/>
    <w:rsid w:val="003D1F9B"/>
    <w:rsid w:val="003D2BBB"/>
    <w:rsid w:val="003D3BB2"/>
    <w:rsid w:val="003D7B66"/>
    <w:rsid w:val="00404086"/>
    <w:rsid w:val="0040580D"/>
    <w:rsid w:val="00413782"/>
    <w:rsid w:val="00417C88"/>
    <w:rsid w:val="004311DF"/>
    <w:rsid w:val="00436919"/>
    <w:rsid w:val="00437717"/>
    <w:rsid w:val="0044021E"/>
    <w:rsid w:val="00445A64"/>
    <w:rsid w:val="0045411C"/>
    <w:rsid w:val="004573E4"/>
    <w:rsid w:val="00460F9A"/>
    <w:rsid w:val="004735FC"/>
    <w:rsid w:val="004924A7"/>
    <w:rsid w:val="004935B2"/>
    <w:rsid w:val="00497B08"/>
    <w:rsid w:val="00497FC6"/>
    <w:rsid w:val="004A6503"/>
    <w:rsid w:val="004B1BDA"/>
    <w:rsid w:val="004B3A9F"/>
    <w:rsid w:val="004C5477"/>
    <w:rsid w:val="004D3F83"/>
    <w:rsid w:val="004E4AD4"/>
    <w:rsid w:val="004E746C"/>
    <w:rsid w:val="004E7E2D"/>
    <w:rsid w:val="00512742"/>
    <w:rsid w:val="00512786"/>
    <w:rsid w:val="00514ABC"/>
    <w:rsid w:val="005263C0"/>
    <w:rsid w:val="00544909"/>
    <w:rsid w:val="00551A5A"/>
    <w:rsid w:val="0056706F"/>
    <w:rsid w:val="00567128"/>
    <w:rsid w:val="005845DF"/>
    <w:rsid w:val="00584DF2"/>
    <w:rsid w:val="0058649D"/>
    <w:rsid w:val="00593352"/>
    <w:rsid w:val="00595487"/>
    <w:rsid w:val="005A32AB"/>
    <w:rsid w:val="005A3A70"/>
    <w:rsid w:val="005A61D4"/>
    <w:rsid w:val="005B322C"/>
    <w:rsid w:val="005C4A17"/>
    <w:rsid w:val="005E1F6F"/>
    <w:rsid w:val="005E6464"/>
    <w:rsid w:val="005F1522"/>
    <w:rsid w:val="005F1DCD"/>
    <w:rsid w:val="005F3C89"/>
    <w:rsid w:val="005F5952"/>
    <w:rsid w:val="006017F9"/>
    <w:rsid w:val="00603617"/>
    <w:rsid w:val="00611E81"/>
    <w:rsid w:val="0064768C"/>
    <w:rsid w:val="006509E6"/>
    <w:rsid w:val="00654AA7"/>
    <w:rsid w:val="006553EF"/>
    <w:rsid w:val="006603EC"/>
    <w:rsid w:val="006667EE"/>
    <w:rsid w:val="006675D3"/>
    <w:rsid w:val="00673F17"/>
    <w:rsid w:val="00675C64"/>
    <w:rsid w:val="006847AE"/>
    <w:rsid w:val="00693E03"/>
    <w:rsid w:val="00696646"/>
    <w:rsid w:val="00696A7B"/>
    <w:rsid w:val="006B1D92"/>
    <w:rsid w:val="006B28AD"/>
    <w:rsid w:val="006B3076"/>
    <w:rsid w:val="006B5EF5"/>
    <w:rsid w:val="006B6370"/>
    <w:rsid w:val="006B71D2"/>
    <w:rsid w:val="006C4C39"/>
    <w:rsid w:val="006C5121"/>
    <w:rsid w:val="006D3427"/>
    <w:rsid w:val="006D6A5B"/>
    <w:rsid w:val="006E7C82"/>
    <w:rsid w:val="006F61C6"/>
    <w:rsid w:val="0071311B"/>
    <w:rsid w:val="007157B6"/>
    <w:rsid w:val="0072541C"/>
    <w:rsid w:val="00732949"/>
    <w:rsid w:val="0073340E"/>
    <w:rsid w:val="00735659"/>
    <w:rsid w:val="00735A28"/>
    <w:rsid w:val="007510E5"/>
    <w:rsid w:val="007544BC"/>
    <w:rsid w:val="007632A0"/>
    <w:rsid w:val="007634FF"/>
    <w:rsid w:val="0076451B"/>
    <w:rsid w:val="007704CD"/>
    <w:rsid w:val="0078686C"/>
    <w:rsid w:val="00795D93"/>
    <w:rsid w:val="007A1978"/>
    <w:rsid w:val="007B0E48"/>
    <w:rsid w:val="007B0EBE"/>
    <w:rsid w:val="007B6675"/>
    <w:rsid w:val="007D1D7B"/>
    <w:rsid w:val="007E7441"/>
    <w:rsid w:val="007F233E"/>
    <w:rsid w:val="0080044E"/>
    <w:rsid w:val="0081373A"/>
    <w:rsid w:val="00815287"/>
    <w:rsid w:val="00824D07"/>
    <w:rsid w:val="008269C3"/>
    <w:rsid w:val="00827911"/>
    <w:rsid w:val="00832D42"/>
    <w:rsid w:val="00833A95"/>
    <w:rsid w:val="00834DF4"/>
    <w:rsid w:val="00837990"/>
    <w:rsid w:val="00841DE9"/>
    <w:rsid w:val="00842C2F"/>
    <w:rsid w:val="00846D5D"/>
    <w:rsid w:val="00864463"/>
    <w:rsid w:val="00865B37"/>
    <w:rsid w:val="00871300"/>
    <w:rsid w:val="00871BB2"/>
    <w:rsid w:val="0087457D"/>
    <w:rsid w:val="008767C3"/>
    <w:rsid w:val="00876926"/>
    <w:rsid w:val="008A068A"/>
    <w:rsid w:val="008A0A76"/>
    <w:rsid w:val="008A53DB"/>
    <w:rsid w:val="008A6143"/>
    <w:rsid w:val="008A6DDB"/>
    <w:rsid w:val="008A6EEC"/>
    <w:rsid w:val="008B019D"/>
    <w:rsid w:val="008B4359"/>
    <w:rsid w:val="008C33D3"/>
    <w:rsid w:val="008D285E"/>
    <w:rsid w:val="008E0D30"/>
    <w:rsid w:val="008E324F"/>
    <w:rsid w:val="008E57E6"/>
    <w:rsid w:val="008E6700"/>
    <w:rsid w:val="008F3E08"/>
    <w:rsid w:val="008F5475"/>
    <w:rsid w:val="00916523"/>
    <w:rsid w:val="009245CA"/>
    <w:rsid w:val="009347F8"/>
    <w:rsid w:val="009379DE"/>
    <w:rsid w:val="00945AC3"/>
    <w:rsid w:val="009516B1"/>
    <w:rsid w:val="009545B6"/>
    <w:rsid w:val="009568D7"/>
    <w:rsid w:val="00960764"/>
    <w:rsid w:val="009640DB"/>
    <w:rsid w:val="00966422"/>
    <w:rsid w:val="00970C40"/>
    <w:rsid w:val="009732FA"/>
    <w:rsid w:val="00976900"/>
    <w:rsid w:val="00977A16"/>
    <w:rsid w:val="00981057"/>
    <w:rsid w:val="00984619"/>
    <w:rsid w:val="009849B6"/>
    <w:rsid w:val="00985C45"/>
    <w:rsid w:val="00986690"/>
    <w:rsid w:val="0098731F"/>
    <w:rsid w:val="009976AB"/>
    <w:rsid w:val="009A32EE"/>
    <w:rsid w:val="009A6053"/>
    <w:rsid w:val="009B0566"/>
    <w:rsid w:val="009B19B3"/>
    <w:rsid w:val="009B4EC4"/>
    <w:rsid w:val="009D2CA3"/>
    <w:rsid w:val="009D7865"/>
    <w:rsid w:val="009F0EE6"/>
    <w:rsid w:val="00A011E0"/>
    <w:rsid w:val="00A019DC"/>
    <w:rsid w:val="00A053EC"/>
    <w:rsid w:val="00A20682"/>
    <w:rsid w:val="00A20869"/>
    <w:rsid w:val="00A21B4B"/>
    <w:rsid w:val="00A23CC9"/>
    <w:rsid w:val="00A31633"/>
    <w:rsid w:val="00A333A8"/>
    <w:rsid w:val="00A33C4E"/>
    <w:rsid w:val="00A42BA0"/>
    <w:rsid w:val="00A437F1"/>
    <w:rsid w:val="00A4638A"/>
    <w:rsid w:val="00A56380"/>
    <w:rsid w:val="00A724BB"/>
    <w:rsid w:val="00A76F2C"/>
    <w:rsid w:val="00A828DC"/>
    <w:rsid w:val="00A85917"/>
    <w:rsid w:val="00A86C39"/>
    <w:rsid w:val="00AA2782"/>
    <w:rsid w:val="00AB1454"/>
    <w:rsid w:val="00AC2C69"/>
    <w:rsid w:val="00AD6356"/>
    <w:rsid w:val="00AD7F95"/>
    <w:rsid w:val="00AE1454"/>
    <w:rsid w:val="00AE1E55"/>
    <w:rsid w:val="00AF3753"/>
    <w:rsid w:val="00AF57E1"/>
    <w:rsid w:val="00B03FA1"/>
    <w:rsid w:val="00B047C5"/>
    <w:rsid w:val="00B063D5"/>
    <w:rsid w:val="00B11981"/>
    <w:rsid w:val="00B14564"/>
    <w:rsid w:val="00B150F1"/>
    <w:rsid w:val="00B1706B"/>
    <w:rsid w:val="00B241DC"/>
    <w:rsid w:val="00B24922"/>
    <w:rsid w:val="00B327C8"/>
    <w:rsid w:val="00B35ADB"/>
    <w:rsid w:val="00B37501"/>
    <w:rsid w:val="00B43476"/>
    <w:rsid w:val="00B44E28"/>
    <w:rsid w:val="00B525C6"/>
    <w:rsid w:val="00B61130"/>
    <w:rsid w:val="00B614A1"/>
    <w:rsid w:val="00B73A28"/>
    <w:rsid w:val="00B84802"/>
    <w:rsid w:val="00B87216"/>
    <w:rsid w:val="00B94AEF"/>
    <w:rsid w:val="00BA5B48"/>
    <w:rsid w:val="00BB3C0B"/>
    <w:rsid w:val="00BB6FB7"/>
    <w:rsid w:val="00BB71AE"/>
    <w:rsid w:val="00BC4ACD"/>
    <w:rsid w:val="00BD1960"/>
    <w:rsid w:val="00BE47E8"/>
    <w:rsid w:val="00BF58A4"/>
    <w:rsid w:val="00BF69EA"/>
    <w:rsid w:val="00C01288"/>
    <w:rsid w:val="00C20EC9"/>
    <w:rsid w:val="00C266D2"/>
    <w:rsid w:val="00C26BC0"/>
    <w:rsid w:val="00C314B5"/>
    <w:rsid w:val="00C31ECE"/>
    <w:rsid w:val="00C34F82"/>
    <w:rsid w:val="00C4111F"/>
    <w:rsid w:val="00C5180B"/>
    <w:rsid w:val="00C545CE"/>
    <w:rsid w:val="00C5521A"/>
    <w:rsid w:val="00C57574"/>
    <w:rsid w:val="00C659B4"/>
    <w:rsid w:val="00C66EDA"/>
    <w:rsid w:val="00C71261"/>
    <w:rsid w:val="00C903FE"/>
    <w:rsid w:val="00C90E8C"/>
    <w:rsid w:val="00C95743"/>
    <w:rsid w:val="00CA4D41"/>
    <w:rsid w:val="00CA5928"/>
    <w:rsid w:val="00CB1ED8"/>
    <w:rsid w:val="00CB751C"/>
    <w:rsid w:val="00CC02F5"/>
    <w:rsid w:val="00CC2FE6"/>
    <w:rsid w:val="00CD6F3B"/>
    <w:rsid w:val="00CE1482"/>
    <w:rsid w:val="00CE55F6"/>
    <w:rsid w:val="00CF249D"/>
    <w:rsid w:val="00CF5E83"/>
    <w:rsid w:val="00D007CE"/>
    <w:rsid w:val="00D01106"/>
    <w:rsid w:val="00D07C35"/>
    <w:rsid w:val="00D143B3"/>
    <w:rsid w:val="00D16C12"/>
    <w:rsid w:val="00D224E4"/>
    <w:rsid w:val="00D3006E"/>
    <w:rsid w:val="00D327EC"/>
    <w:rsid w:val="00D3615F"/>
    <w:rsid w:val="00D402BA"/>
    <w:rsid w:val="00D408D0"/>
    <w:rsid w:val="00D55E8C"/>
    <w:rsid w:val="00D80592"/>
    <w:rsid w:val="00D81AB8"/>
    <w:rsid w:val="00D85E50"/>
    <w:rsid w:val="00D92ED1"/>
    <w:rsid w:val="00DA5B01"/>
    <w:rsid w:val="00DB2D9A"/>
    <w:rsid w:val="00DD10B4"/>
    <w:rsid w:val="00DD4792"/>
    <w:rsid w:val="00DD6A30"/>
    <w:rsid w:val="00DE791B"/>
    <w:rsid w:val="00DF15BD"/>
    <w:rsid w:val="00DF7356"/>
    <w:rsid w:val="00E02AE9"/>
    <w:rsid w:val="00E049C8"/>
    <w:rsid w:val="00E129F8"/>
    <w:rsid w:val="00E144BB"/>
    <w:rsid w:val="00E27EE9"/>
    <w:rsid w:val="00E30DEB"/>
    <w:rsid w:val="00E33EFE"/>
    <w:rsid w:val="00E430A6"/>
    <w:rsid w:val="00E46A26"/>
    <w:rsid w:val="00E505E0"/>
    <w:rsid w:val="00E55B0D"/>
    <w:rsid w:val="00E61CED"/>
    <w:rsid w:val="00E645AF"/>
    <w:rsid w:val="00E75B2F"/>
    <w:rsid w:val="00E77119"/>
    <w:rsid w:val="00E92470"/>
    <w:rsid w:val="00E955CC"/>
    <w:rsid w:val="00EA12C1"/>
    <w:rsid w:val="00EA2A2D"/>
    <w:rsid w:val="00EA3634"/>
    <w:rsid w:val="00EA5CDF"/>
    <w:rsid w:val="00EA6B80"/>
    <w:rsid w:val="00EB156E"/>
    <w:rsid w:val="00EB574D"/>
    <w:rsid w:val="00EB6DFA"/>
    <w:rsid w:val="00EC0133"/>
    <w:rsid w:val="00EC36EB"/>
    <w:rsid w:val="00EC7A79"/>
    <w:rsid w:val="00ED3C09"/>
    <w:rsid w:val="00EE1E1E"/>
    <w:rsid w:val="00EE29F0"/>
    <w:rsid w:val="00EE36F3"/>
    <w:rsid w:val="00EE69DD"/>
    <w:rsid w:val="00EF5BC8"/>
    <w:rsid w:val="00F005E2"/>
    <w:rsid w:val="00F10FD7"/>
    <w:rsid w:val="00F16F75"/>
    <w:rsid w:val="00F201F4"/>
    <w:rsid w:val="00F21D92"/>
    <w:rsid w:val="00F32657"/>
    <w:rsid w:val="00F36247"/>
    <w:rsid w:val="00F405D0"/>
    <w:rsid w:val="00F4072A"/>
    <w:rsid w:val="00F416D6"/>
    <w:rsid w:val="00F424E1"/>
    <w:rsid w:val="00F45FB3"/>
    <w:rsid w:val="00F50CE9"/>
    <w:rsid w:val="00F52218"/>
    <w:rsid w:val="00F53245"/>
    <w:rsid w:val="00F5552D"/>
    <w:rsid w:val="00F61D32"/>
    <w:rsid w:val="00F622F9"/>
    <w:rsid w:val="00F62A8B"/>
    <w:rsid w:val="00F6439F"/>
    <w:rsid w:val="00F8030E"/>
    <w:rsid w:val="00F8305D"/>
    <w:rsid w:val="00F85E60"/>
    <w:rsid w:val="00F87754"/>
    <w:rsid w:val="00FA48B7"/>
    <w:rsid w:val="00FC6843"/>
    <w:rsid w:val="00FC754C"/>
    <w:rsid w:val="00FD19D2"/>
    <w:rsid w:val="00FF083E"/>
    <w:rsid w:val="00FF35CC"/>
    <w:rsid w:val="020546FC"/>
    <w:rsid w:val="07F71631"/>
    <w:rsid w:val="0AE540FD"/>
    <w:rsid w:val="0D891629"/>
    <w:rsid w:val="11311F96"/>
    <w:rsid w:val="18652D73"/>
    <w:rsid w:val="363B216D"/>
    <w:rsid w:val="667F255B"/>
    <w:rsid w:val="6EAD01F3"/>
    <w:rsid w:val="772D335F"/>
    <w:rsid w:val="7E3E1B0A"/>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6"/>
        <o:r id="V:Rule2" type="connector" idref="#Straight Connector 90"/>
        <o:r id="V:Rule3" type="connector" idref="#Straight Connector 94"/>
        <o:r id="V:Rule4" type="connector" idref="#Straight Connector 88"/>
        <o:r id="V:Rule5" type="connector" idref="#Straight Connector 92"/>
        <o:r id="V:Rule6" type="connector" idref="#Straight Connector 93"/>
        <o:r id="V:Rule7" type="connector" idref="#Straight Connector 91"/>
        <o:r id="V:Rule8" type="connector" idref="#Straight Connector 87"/>
        <o:r id="V:Rule9" type="connector" idref="#Straight Connector 95"/>
        <o:r id="V:Rule10" type="connector" idref="#Straight Connector 89"/>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3"/>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table" w:styleId="8">
    <w:name w:val="Table Grid"/>
    <w:basedOn w:val="7"/>
    <w:uiPriority w:val="59"/>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9">
    <w:name w:val="List Paragraph"/>
    <w:basedOn w:val="1"/>
    <w:qFormat/>
    <w:uiPriority w:val="34"/>
    <w:pPr>
      <w:ind w:firstLine="420" w:firstLineChars="200"/>
    </w:pPr>
  </w:style>
  <w:style w:type="paragraph" w:customStyle="1" w:styleId="10">
    <w:name w:val="Revision"/>
    <w:hidden/>
    <w:semiHidden/>
    <w:uiPriority w:val="99"/>
    <w:rPr>
      <w:rFonts w:ascii="Calibri" w:hAnsi="Calibri" w:eastAsia="宋体" w:cs="黑体"/>
      <w:kern w:val="2"/>
      <w:sz w:val="21"/>
      <w:szCs w:val="22"/>
      <w:lang w:val="en-US" w:eastAsia="zh-CN" w:bidi="ar-SA"/>
    </w:rPr>
  </w:style>
  <w:style w:type="character" w:customStyle="1" w:styleId="11">
    <w:name w:val="页眉 Char"/>
    <w:basedOn w:val="5"/>
    <w:link w:val="4"/>
    <w:uiPriority w:val="99"/>
    <w:rPr>
      <w:sz w:val="18"/>
      <w:szCs w:val="18"/>
    </w:rPr>
  </w:style>
  <w:style w:type="character" w:customStyle="1" w:styleId="12">
    <w:name w:val="页脚 Char"/>
    <w:basedOn w:val="5"/>
    <w:link w:val="3"/>
    <w:uiPriority w:val="99"/>
    <w:rPr>
      <w:sz w:val="18"/>
      <w:szCs w:val="18"/>
    </w:rPr>
  </w:style>
  <w:style w:type="character" w:customStyle="1" w:styleId="13">
    <w:name w:val="批注框文本 Char"/>
    <w:basedOn w:val="5"/>
    <w:link w:val="2"/>
    <w:semiHidden/>
    <w:uiPriority w:val="99"/>
    <w:rPr>
      <w:sz w:val="18"/>
      <w:szCs w:val="18"/>
    </w:rPr>
  </w:style>
  <w:style w:type="character" w:customStyle="1" w:styleId="14">
    <w:name w:val="mini-outputtext"/>
    <w:basedOn w:val="5"/>
    <w:uiPriority w:val="0"/>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875</Words>
  <Characters>4994</Characters>
  <Lines>41</Lines>
  <Paragraphs>11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张谦</cp:lastModifiedBy>
  <cp:lastPrinted>2021-02-04T02:15:00Z</cp:lastPrinted>
  <dcterms:modified xsi:type="dcterms:W3CDTF">2021-02-07T07:47:39Z</dcterms:modified>
  <dc:title>编号：57001-2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