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省级分局和计划单列市分局办理的内保外贷担保履约形成对外债权登记</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【000171109002】</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境内机构（不含银行业金融机构）对外债权核准【00017110900Y】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省级分局和计划单列市分局办理的内保外贷担保履约形成对外债权登记【000171109002】</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1.省级分局和计划单列市分局办理的内保外贷担保履约形成对外债权登记(00017110900201)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2.省级分局和计划单列市分局办理的内保外贷担保履约形成对外债权变更登记(00017110900202)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3.省级分局和计划单列市分局办理的内保外贷担保履约形成对外债权注销登记(00017110900203)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（1）《中华人民共和国外汇管理条例》第二十条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（1）《国家外汇管理局关于发布〈跨境担保外汇管理规定〉的通知》（汇发〔2014〕29号）第十五条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（3）《资本项目外汇业务指引（2024版）》（汇发[2024]12号）3.6</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（1）《中华人民共和国外汇管理条例》</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国家外汇局省级分局和计划单列市分局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国家级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省级/直属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省级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内保外贷担保履约对外债权登记</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（1）省级分局和计划单列市分局办理的内保外贷担保履约形成对外债权登记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内保外贷发生担保履约的，境内担保人或境内反担保人成为对外债权人。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（2）省级分局和计划单列市分局办理的内保外贷担保履约形成对外债权变更登记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对外债权额度、变更或原协议发生变化（如利率调整、期限变更等）的。</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（3）省级分局和计划单列市分局办理的内保外贷担保履约形成对外债权注销登记</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对外债权到期（含展期到期）收回本息，或未到期但本息已回收完毕的。</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关于发布〈跨境担保外汇管理规定〉的通知》（汇发〔2014〕29号）第十五条债权人为非银行机构的，应在担保履约后15个工作日内到所在地外汇局办理对外债权登记，并按规定办理与对外债权相关的变更、注销手续。</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1.开展“双随机、一公开”监管，依法查处违规行为，适时公开相关案例。2.依法及时处理投诉举报。3.开展数据统计与监测，掌握外汇业务情况。</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（1）省级分局和计划单列市分局办理的内保外贷担保履约形成对外债权登记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营业执照（统一社会信用代码证）原件或加盖公章的复印件1份。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加盖公章的书面申请（包括内保外贷签约登记办理情况、担保履约的原因、履约资金来源、境外债务人还款计划及未来还款资金来源等）原件1份。</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担保履约证明材料原件及加盖公章的复印件各1份（验原件，留存复印件）。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（2）省级分局和计划单列市分局办理的内保外贷担保履约形成对外债权变更登记。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变更后的内保外贷担保履约对外债权协议。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（3）省级分局和计划单列市分局办理的内保外贷担保履约形成对外债权注销登记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到期收回对外债权本息相关证明材料。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因客观原因无法按期收回担保履约款本息（或有关债务豁免、债转股、债券转让等交易）的证明材料（如有）。</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（1）《国家外汇管理局行政许可实施办法》（国家外汇管理局公告2021年第1号）第八条……申请人为机构的，应出示统一社会信用代码证或营业执照原件，或加盖公章的上述证件复印件……。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（2）《资本项目外汇业务指引（2024版）》（汇发[2024]12号）3.6审核材料：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（1）内保外贷担保履约形成对外债权登记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①书面申请，包括内保外贷签约登记办理情况、担保履约的原因、履约资金来源、境外债务人还款计划及未来还款资金来源等。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②担保履约证明材料。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③营业执照。</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（2）内保外贷担保履约形成对外债权变更登记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②变更后的内保外贷担保履约对外债权协议。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（3）内保外贷担保履约形成对外债权注销登记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①书面申请。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②到期收回对外债权本息相关证明材料。</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③因客观原因无法按期收回担保履约款本息（或有关债务豁免、债转股、债权转让等交易）的证明材料（如有）。</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（3）《国家外汇管理局关于发布〈跨境担保外汇管理规定〉的通知》（汇发〔2014〕29号）第十五条内保外贷业务发生担保履约的，成为对外债权人的境内担保人或反担保人应当按规定办理对外债权登记手续。</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（1）申请人申请；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（2）审批机构受理/不予受理；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（3）审批机构审查；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（4）决定作出许可决定书/不予许可决定书</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（1）《国家外汇管理局行政许可实施办法》第十条外汇局收到行政许可申请后，应区分下列情况分别作出处理：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三</w:t>
      </w:r>
      <w:r>
        <w:rPr>
          <w:rFonts w:ascii="方正仿宋_GBK" w:hAnsi="方正仿宋_GBK" w:eastAsia="方正仿宋_GBK" w:cs="方正仿宋_GBK"/>
          <w:sz w:val="28"/>
          <w:szCs w:val="28"/>
        </w:rPr>
        <w:t>）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rPr>
        <w:t>四</w:t>
      </w:r>
      <w:r>
        <w:rPr>
          <w:rFonts w:ascii="方正仿宋_GBK" w:hAnsi="方正仿宋_GBK" w:eastAsia="方正仿宋_GBK" w:cs="方正仿宋_GBK"/>
          <w:sz w:val="28"/>
          <w:szCs w:val="28"/>
        </w:rPr>
        <w:t>）申请事项属于本局职责范围，申请材料齐全、符合法定形式，或者申请人按照要求提交全部补正申请材料的，应受理行政许可申请，出具行政许可受理通知书。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（2）《国家外汇管理局行政许可实施办法》第十四条外汇局对行政许可申请审查后，应区分下列情况分别作出处理：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一</w:t>
      </w:r>
      <w:r>
        <w:rPr>
          <w:rFonts w:ascii="方正仿宋_GBK" w:hAnsi="方正仿宋_GBK" w:eastAsia="方正仿宋_GBK" w:cs="方正仿宋_GBK"/>
          <w:sz w:val="28"/>
          <w:szCs w:val="28"/>
        </w:rPr>
        <w:t>）申请符合法定条件、拟准予行政许可的，应出具准予行政许可的书面决定。准予行政许可的书面决定应载明名称、出具单位、被许可人姓名或名称、行政许可事项、颁发日期、有效期（如有）等；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二</w:t>
      </w:r>
      <w:r>
        <w:rPr>
          <w:rFonts w:ascii="方正仿宋_GBK" w:hAnsi="方正仿宋_GBK" w:eastAsia="方正仿宋_GBK" w:cs="方正仿宋_GBK"/>
          <w:sz w:val="28"/>
          <w:szCs w:val="28"/>
        </w:rPr>
        <w:t>）申请不符合法定条件、拟不予行政许可的，应出具不予行政许可决定书，并说明不予行政许可的理由，告知申请人享有依法申请行政复议的权利。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3.规定法定审批时限依据：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20个工作日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《业务登记凭证》</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b/>
          <w:bCs/>
          <w:sz w:val="28"/>
          <w:szCs w:val="28"/>
        </w:rPr>
      </w:pPr>
      <w:r>
        <w:rPr>
          <w:rFonts w:hint="eastAsia" w:ascii="Times New Roman" w:hAnsi="Times New Roman" w:eastAsia="仿宋GB2312"/>
          <w:b/>
          <w:bCs/>
          <w:sz w:val="28"/>
          <w:szCs w:val="28"/>
        </w:rPr>
        <w:t>5.规定在数量限制条件下实施行政许可方式的依据：</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国家外汇局及其分局</w:t>
      </w:r>
    </w:p>
    <w:p>
      <w:pPr>
        <w:outlineLvl w:val="1"/>
        <w:rPr>
          <w:rFonts w:ascii="Times New Roman" w:hAnsi="Times New Roman" w:eastAsia="黑体"/>
          <w:sz w:val="30"/>
          <w:szCs w:val="30"/>
        </w:rPr>
      </w:pPr>
      <w:r>
        <w:rPr>
          <w:rFonts w:hint="eastAsia" w:ascii="Times New Roman" w:hAnsi="Times New Roman" w:eastAsia="黑体"/>
          <w:sz w:val="30"/>
          <w:szCs w:val="30"/>
        </w:rPr>
        <w:t>十五、业务办理信息</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（一）是否通办：</w:t>
      </w:r>
      <w:r>
        <w:rPr>
          <w:rFonts w:hint="eastAsia" w:ascii="Times New Roman" w:hAnsi="Times New Roman" w:eastAsia="仿宋" w:cs="仿宋"/>
          <w:sz w:val="30"/>
          <w:szCs w:val="30"/>
        </w:rPr>
        <w:t>否</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（二）通办业务模式：</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（三）跨省通办事项名称：</w:t>
      </w:r>
      <w:r>
        <w:rPr>
          <w:rFonts w:hint="eastAsia" w:ascii="Times New Roman" w:hAnsi="Times New Roman" w:eastAsia="仿宋" w:cs="仿宋"/>
          <w:sz w:val="30"/>
          <w:szCs w:val="30"/>
        </w:rPr>
        <w:t>无</w:t>
      </w:r>
    </w:p>
    <w:p>
      <w:pPr>
        <w:ind w:firstLine="602" w:firstLineChars="200"/>
        <w:rPr>
          <w:rFonts w:ascii="Times New Roman" w:hAnsi="Times New Roman" w:eastAsia="仿宋" w:cs="仿宋"/>
          <w:sz w:val="30"/>
          <w:szCs w:val="30"/>
        </w:rPr>
      </w:pPr>
      <w:r>
        <w:rPr>
          <w:rFonts w:hint="eastAsia" w:ascii="Times New Roman" w:hAnsi="Times New Roman" w:eastAsia="仿宋GB2312"/>
          <w:b/>
          <w:bCs/>
          <w:sz w:val="30"/>
          <w:szCs w:val="30"/>
        </w:rPr>
        <w:t>（四）是否是35号文中的跨省通办事项：</w:t>
      </w:r>
      <w:r>
        <w:rPr>
          <w:rFonts w:hint="eastAsia" w:ascii="Times New Roman" w:hAnsi="Times New Roman" w:eastAsia="仿宋" w:cs="仿宋"/>
          <w:sz w:val="30"/>
          <w:szCs w:val="30"/>
        </w:rPr>
        <w:t>无</w:t>
      </w:r>
    </w:p>
    <w:p>
      <w:pPr>
        <w:ind w:firstLine="602" w:firstLineChars="200"/>
        <w:rPr>
          <w:rFonts w:hint="eastAsia" w:ascii="Times New Roman" w:hAnsi="Times New Roman" w:eastAsia="仿宋GB2312" w:cs="仿宋"/>
          <w:sz w:val="30"/>
          <w:szCs w:val="30"/>
          <w:lang w:eastAsia="zh-CN"/>
        </w:rPr>
      </w:pPr>
      <w:r>
        <w:rPr>
          <w:rFonts w:hint="eastAsia" w:ascii="Times New Roman" w:hAnsi="Times New Roman" w:eastAsia="仿宋GB2312"/>
          <w:b/>
          <w:bCs/>
          <w:sz w:val="30"/>
          <w:szCs w:val="30"/>
        </w:rPr>
        <w:t>（五）是否网办：</w:t>
      </w:r>
      <w:r>
        <w:rPr>
          <w:rFonts w:hint="eastAsia" w:ascii="Times New Roman" w:hAnsi="Times New Roman" w:eastAsia="仿宋" w:cs="仿宋"/>
          <w:sz w:val="30"/>
          <w:szCs w:val="30"/>
          <w:lang w:eastAsia="zh-CN"/>
        </w:rPr>
        <w:t>否</w:t>
      </w:r>
    </w:p>
    <w:p>
      <w:pPr>
        <w:ind w:firstLine="602" w:firstLineChars="200"/>
        <w:rPr>
          <w:rFonts w:hint="eastAsia" w:ascii="Times New Roman" w:hAnsi="Times New Roman" w:eastAsia="仿宋GB2312"/>
          <w:b/>
          <w:bCs/>
          <w:sz w:val="30"/>
          <w:szCs w:val="30"/>
          <w:lang w:eastAsia="zh-CN"/>
        </w:rPr>
      </w:pPr>
      <w:r>
        <w:rPr>
          <w:rFonts w:hint="eastAsia" w:ascii="Times New Roman" w:hAnsi="Times New Roman" w:eastAsia="仿宋GB2312"/>
          <w:b/>
          <w:bCs/>
          <w:sz w:val="30"/>
          <w:szCs w:val="30"/>
        </w:rPr>
        <w:t>（六）网上办理深度：</w:t>
      </w:r>
      <w:r>
        <w:rPr>
          <w:rFonts w:hint="eastAsia" w:ascii="Times New Roman" w:hAnsi="Times New Roman" w:eastAsia="仿宋GB2312"/>
          <w:b w:val="0"/>
          <w:bCs w:val="0"/>
          <w:sz w:val="30"/>
          <w:szCs w:val="30"/>
          <w:lang w:eastAsia="zh-CN"/>
        </w:rPr>
        <w:t>无</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（七）到办事现场次数：</w:t>
      </w:r>
      <w:r>
        <w:rPr>
          <w:rFonts w:ascii="Times New Roman" w:hAnsi="Times New Roman" w:eastAsia="方正仿宋_GBK"/>
          <w:sz w:val="30"/>
          <w:szCs w:val="30"/>
        </w:rPr>
        <w:t>1</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（八）必须现场办理原因说明：</w:t>
      </w:r>
      <w:r>
        <w:rPr>
          <w:rFonts w:hint="eastAsia" w:ascii="Times New Roman" w:hAnsi="Times New Roman" w:eastAsia="仿宋" w:cs="仿宋"/>
          <w:sz w:val="30"/>
          <w:szCs w:val="30"/>
          <w:lang w:eastAsia="zh-CN"/>
        </w:rPr>
        <w:t>尚不支持</w:t>
      </w:r>
      <w:r>
        <w:rPr>
          <w:rFonts w:hint="eastAsia" w:ascii="Times New Roman" w:hAnsi="Times New Roman" w:eastAsia="仿宋" w:cs="仿宋"/>
          <w:sz w:val="30"/>
          <w:szCs w:val="30"/>
        </w:rPr>
        <w:t>互联网办理</w:t>
      </w:r>
    </w:p>
    <w:p>
      <w:pPr>
        <w:ind w:firstLine="602" w:firstLineChars="200"/>
        <w:rPr>
          <w:rFonts w:hint="eastAsia" w:ascii="Times New Roman" w:hAnsi="Times New Roman" w:eastAsia="仿宋GB2312" w:cs="方正仿宋_GBK"/>
          <w:sz w:val="30"/>
          <w:szCs w:val="30"/>
          <w:lang w:eastAsia="zh-CN"/>
        </w:rPr>
      </w:pPr>
      <w:r>
        <w:rPr>
          <w:rFonts w:hint="eastAsia" w:ascii="Times New Roman" w:hAnsi="Times New Roman" w:eastAsia="仿宋GB2312"/>
          <w:b/>
          <w:bCs/>
          <w:sz w:val="30"/>
          <w:szCs w:val="30"/>
        </w:rPr>
        <w:t>（九）是否进驻政务大厅：</w:t>
      </w:r>
      <w:r>
        <w:rPr>
          <w:rFonts w:hint="eastAsia" w:ascii="Times New Roman" w:hAnsi="Times New Roman" w:eastAsia="仿宋GB2312"/>
          <w:b w:val="0"/>
          <w:bCs w:val="0"/>
          <w:sz w:val="30"/>
          <w:szCs w:val="30"/>
          <w:lang w:eastAsia="zh-CN"/>
        </w:rPr>
        <w:t>否</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w:t>
      </w:r>
      <w:r>
        <w:rPr>
          <w:rFonts w:hint="eastAsia" w:ascii="Times New Roman" w:hAnsi="Times New Roman" w:eastAsia="仿宋GB2312"/>
          <w:b/>
          <w:bCs/>
          <w:sz w:val="30"/>
          <w:szCs w:val="30"/>
        </w:rPr>
        <w:t>办理地点：</w:t>
      </w:r>
      <w:r>
        <w:rPr>
          <w:rFonts w:hint="eastAsia" w:ascii="Times New Roman" w:hAnsi="Times New Roman" w:eastAsia="仿宋GB2312"/>
          <w:b w:val="0"/>
          <w:bCs w:val="0"/>
          <w:sz w:val="30"/>
          <w:szCs w:val="30"/>
        </w:rPr>
        <w:t>宁夏回族自治区银川市兴庆区北京东路215号</w:t>
      </w:r>
      <w:r>
        <w:rPr>
          <w:rFonts w:hint="eastAsia" w:ascii="Times New Roman" w:hAnsi="Times New Roman" w:eastAsia="仿宋GB2312"/>
          <w:b w:val="0"/>
          <w:bCs w:val="0"/>
          <w:sz w:val="30"/>
          <w:szCs w:val="30"/>
          <w:lang w:eastAsia="zh-CN"/>
        </w:rPr>
        <w:t>国家外汇管理局宁夏分局</w:t>
      </w:r>
      <w:r>
        <w:rPr>
          <w:rFonts w:hint="eastAsia" w:ascii="Times New Roman" w:hAnsi="Times New Roman" w:eastAsia="仿宋GB2312"/>
          <w:b w:val="0"/>
          <w:bCs w:val="0"/>
          <w:sz w:val="30"/>
          <w:szCs w:val="30"/>
        </w:rPr>
        <w:t>外汇管理处</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（十一）</w:t>
      </w:r>
      <w:r>
        <w:rPr>
          <w:rFonts w:hint="eastAsia" w:ascii="Times New Roman" w:hAnsi="Times New Roman" w:eastAsia="仿宋GB2312"/>
          <w:b/>
          <w:bCs/>
          <w:sz w:val="30"/>
          <w:szCs w:val="30"/>
        </w:rPr>
        <w:t>办理时间：</w:t>
      </w:r>
      <w:r>
        <w:rPr>
          <w:rFonts w:hint="eastAsia" w:ascii="Times New Roman" w:hAnsi="Times New Roman" w:eastAsia="仿宋GB2312"/>
          <w:b w:val="0"/>
          <w:bCs w:val="0"/>
          <w:sz w:val="30"/>
          <w:szCs w:val="30"/>
        </w:rPr>
        <w:t>周一至周五，夏季上午08:30到12:00,下午14:00到17:00；冬季上午09:00到12:00,下午13:30到17:00；周六、周日及法定节假日不对外办理业务</w:t>
      </w:r>
    </w:p>
    <w:p>
      <w:pPr>
        <w:ind w:firstLine="602" w:firstLineChars="200"/>
        <w:rPr>
          <w:rFonts w:hint="eastAsia" w:ascii="Times New Roman" w:hAnsi="Times New Roman" w:eastAsia="仿宋GB2312"/>
          <w:b/>
          <w:bCs/>
          <w:sz w:val="30"/>
          <w:szCs w:val="30"/>
        </w:rPr>
      </w:pPr>
      <w:r>
        <w:rPr>
          <w:rFonts w:hint="eastAsia" w:ascii="Times New Roman" w:hAnsi="Times New Roman" w:eastAsia="仿宋GB2312"/>
          <w:b/>
          <w:bCs/>
          <w:sz w:val="30"/>
          <w:szCs w:val="30"/>
          <w:lang w:eastAsia="zh-CN"/>
        </w:rPr>
        <w:t>（十二）</w:t>
      </w:r>
      <w:r>
        <w:rPr>
          <w:rFonts w:hint="eastAsia" w:ascii="Times New Roman" w:hAnsi="Times New Roman" w:eastAsia="仿宋GB2312"/>
          <w:b/>
          <w:bCs/>
          <w:sz w:val="30"/>
          <w:szCs w:val="30"/>
        </w:rPr>
        <w:t>咨询方式：</w:t>
      </w:r>
      <w:r>
        <w:rPr>
          <w:rFonts w:hint="eastAsia" w:ascii="Times New Roman" w:hAnsi="Times New Roman" w:eastAsia="仿宋GB2312"/>
          <w:b w:val="0"/>
          <w:bCs w:val="0"/>
          <w:sz w:val="30"/>
          <w:szCs w:val="30"/>
        </w:rPr>
        <w:t>（0951）5189608；（0951）5189609</w:t>
      </w:r>
    </w:p>
    <w:p>
      <w:pPr>
        <w:ind w:firstLine="602" w:firstLineChars="200"/>
        <w:rPr>
          <w:rFonts w:hint="eastAsia" w:ascii="Times New Roman" w:hAnsi="Times New Roman" w:eastAsia="仿宋GB2312"/>
          <w:b w:val="0"/>
          <w:bCs w:val="0"/>
          <w:sz w:val="30"/>
          <w:szCs w:val="30"/>
        </w:rPr>
      </w:pPr>
      <w:r>
        <w:rPr>
          <w:rFonts w:hint="eastAsia" w:ascii="Times New Roman" w:hAnsi="Times New Roman" w:eastAsia="仿宋GB2312"/>
          <w:b/>
          <w:bCs/>
          <w:sz w:val="30"/>
          <w:szCs w:val="30"/>
          <w:lang w:eastAsia="zh-CN"/>
        </w:rPr>
        <w:t>（十三）</w:t>
      </w:r>
      <w:r>
        <w:rPr>
          <w:rFonts w:hint="eastAsia" w:ascii="Times New Roman" w:hAnsi="Times New Roman" w:eastAsia="仿宋GB2312"/>
          <w:b/>
          <w:bCs/>
          <w:sz w:val="30"/>
          <w:szCs w:val="30"/>
        </w:rPr>
        <w:t>监督投诉方式：</w:t>
      </w:r>
      <w:r>
        <w:rPr>
          <w:rFonts w:hint="eastAsia" w:ascii="Times New Roman" w:hAnsi="Times New Roman" w:eastAsia="仿宋GB2312"/>
          <w:b w:val="0"/>
          <w:bCs w:val="0"/>
          <w:sz w:val="30"/>
          <w:szCs w:val="30"/>
        </w:rPr>
        <w:t>监督和投诉等可通过国家外汇管理局宁夏回族自治区分局网站www.safe.gov.cn/ningxia/的投诉建议栏目进行,也可通过该网站公布的电话进行。</w:t>
      </w:r>
    </w:p>
    <w:p>
      <w:pPr>
        <w:ind w:firstLine="602" w:firstLineChars="200"/>
        <w:rPr>
          <w:rFonts w:ascii="Times New Roman" w:hAnsi="Times New Roman" w:eastAsia="方正仿宋_GBK" w:cs="方正仿宋_GBK"/>
          <w:sz w:val="30"/>
          <w:szCs w:val="30"/>
        </w:rPr>
      </w:pPr>
      <w:r>
        <w:rPr>
          <w:rFonts w:hint="eastAsia" w:ascii="Times New Roman" w:hAnsi="Times New Roman" w:eastAsia="仿宋GB2312"/>
          <w:b/>
          <w:bCs/>
          <w:sz w:val="30"/>
          <w:szCs w:val="30"/>
        </w:rPr>
        <w:t>（十四）是否支持网上支付：</w:t>
      </w:r>
      <w:r>
        <w:rPr>
          <w:rFonts w:hint="eastAsia" w:ascii="Times New Roman" w:hAnsi="Times New Roman" w:eastAsia="仿宋" w:cs="仿宋"/>
          <w:sz w:val="30"/>
          <w:szCs w:val="30"/>
        </w:rPr>
        <w:t>否</w:t>
      </w:r>
    </w:p>
    <w:p>
      <w:pPr>
        <w:ind w:firstLine="602" w:firstLineChars="200"/>
        <w:rPr>
          <w:rFonts w:hint="eastAsia" w:ascii="Times New Roman" w:hAnsi="Times New Roman" w:eastAsia="黑体"/>
          <w:sz w:val="28"/>
          <w:szCs w:val="28"/>
        </w:rPr>
      </w:pPr>
      <w:r>
        <w:rPr>
          <w:rFonts w:hint="eastAsia" w:ascii="Times New Roman" w:hAnsi="Times New Roman" w:eastAsia="仿宋GB2312"/>
          <w:b/>
          <w:bCs/>
          <w:sz w:val="30"/>
          <w:szCs w:val="30"/>
        </w:rPr>
        <w:t>（十五）是否支持物流快递：</w:t>
      </w:r>
      <w:r>
        <w:rPr>
          <w:rFonts w:hint="eastAsia" w:ascii="Times New Roman" w:hAnsi="Times New Roman" w:eastAsia="仿宋" w:cs="仿宋"/>
          <w:sz w:val="30"/>
          <w:szCs w:val="30"/>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w:t>
      </w:r>
      <w:r>
        <w:rPr>
          <w:rFonts w:hint="eastAsia" w:ascii="Times New Roman" w:hAnsi="Times New Roman" w:eastAsia="黑体"/>
          <w:sz w:val="28"/>
          <w:szCs w:val="28"/>
          <w:lang w:eastAsia="zh-CN"/>
        </w:rPr>
        <w:t>六</w:t>
      </w:r>
      <w:r>
        <w:rPr>
          <w:rFonts w:hint="eastAsia" w:ascii="Times New Roman" w:hAnsi="Times New Roman" w:eastAsia="黑体"/>
          <w:sz w:val="28"/>
          <w:szCs w:val="28"/>
        </w:rPr>
        <w:t>、备注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MwOWE3ZWQxYTViMWU0Y2M3ZDcxNzg5NmUzMzNiNTQifQ=="/>
  </w:docVars>
  <w:rsids>
    <w:rsidRoot w:val="00AE1B38"/>
    <w:rsid w:val="007F4042"/>
    <w:rsid w:val="00AE1B38"/>
    <w:rsid w:val="39974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3359</Words>
  <Characters>3573</Characters>
  <Lines>26</Lines>
  <Paragraphs>7</Paragraphs>
  <TotalTime>0</TotalTime>
  <ScaleCrop>false</ScaleCrop>
  <LinksUpToDate>false</LinksUpToDate>
  <CharactersWithSpaces>3574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2024-05-16T11:30:00Z</dcterms:created>
  <dc:creator>kylin</dc:creator>
  <cp:lastModifiedBy>asd</cp:lastModifiedBy>
  <dcterms:modified xsi:type="dcterms:W3CDTF">2024-08-15T01:05:56Z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E37AA2D765B748AE8E1EDBD7CC21D25B_12</vt:lpwstr>
  </property>
</Properties>
</file>