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BFD" w:rsidRDefault="005C4BFD" w:rsidP="005C4BFD">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地（市）分局办理的购汇偿还已结汇使用的国内外汇贷款核准</w:t>
      </w:r>
    </w:p>
    <w:p w:rsidR="005C4BFD" w:rsidRDefault="005C4BFD" w:rsidP="005C4BFD">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【000171111013】</w:t>
      </w:r>
    </w:p>
    <w:p w:rsidR="005C4BFD" w:rsidRDefault="005C4BFD" w:rsidP="005C4BF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5C4BFD" w:rsidRDefault="005C4BFD" w:rsidP="005C4BF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5C4BFD" w:rsidRDefault="005C4BFD" w:rsidP="005C4BF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资本项目外汇资金购付汇核准【00017111100Y】</w:t>
      </w:r>
    </w:p>
    <w:p w:rsidR="005C4BFD" w:rsidRDefault="005C4BFD" w:rsidP="005C4BF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5C4BFD" w:rsidRDefault="005C4BFD" w:rsidP="005C4BFD">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地（市）分局办理的购汇偿还已结汇使用的国内外汇贷款核准【000171111013】</w:t>
      </w:r>
    </w:p>
    <w:p w:rsidR="005C4BFD" w:rsidRDefault="005C4BFD" w:rsidP="005C4BF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5C4BFD" w:rsidRDefault="005C4BFD" w:rsidP="005C4BFD">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地（市）分局办理的购汇偿还已结汇使用的国内外汇贷款核准</w:t>
      </w:r>
      <w:r w:rsidR="00DF0489">
        <w:rPr>
          <w:rFonts w:ascii="方正仿宋_GBK" w:eastAsia="方正仿宋_GBK" w:hAnsi="方正仿宋_GBK" w:cs="方正仿宋_GBK" w:hint="eastAsia"/>
          <w:sz w:val="28"/>
          <w:szCs w:val="28"/>
        </w:rPr>
        <w:t>(00017111101301)</w:t>
      </w:r>
    </w:p>
    <w:p w:rsidR="005C4BFD" w:rsidRDefault="005C4BFD" w:rsidP="005C4BF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5C4BFD" w:rsidRDefault="005C4BFD" w:rsidP="005C4BF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《中华人民共和国外汇管理条例》第二十二条</w:t>
      </w:r>
    </w:p>
    <w:p w:rsidR="005C4BFD" w:rsidRDefault="005C4BFD" w:rsidP="005C4BF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5C4BFD" w:rsidRDefault="005C4BFD" w:rsidP="005C4BF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国内外汇贷款：《国家外汇管理局关于进一步推进外汇管理改革完善真实合规性审核的通知》（汇发〔2017〕3号）第一条</w:t>
      </w:r>
    </w:p>
    <w:p w:rsidR="005C4BFD" w:rsidRDefault="005C4BFD" w:rsidP="005C4BF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5C4BFD" w:rsidRDefault="005C4BFD" w:rsidP="005C4BF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C4BFD" w:rsidRDefault="005C4BFD" w:rsidP="005C4BFD">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C4BFD" w:rsidRDefault="005C4BFD" w:rsidP="005C4BFD">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购汇偿还已结汇使用的国内外汇贷款备案</w:t>
      </w:r>
    </w:p>
    <w:p w:rsidR="005C4BFD" w:rsidRDefault="005C4BFD" w:rsidP="005C4BFD">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5C4BFD" w:rsidRDefault="005C4BFD" w:rsidP="005C4BF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5C4BFD" w:rsidRDefault="005C4BFD" w:rsidP="005C4BF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5C4BFD" w:rsidRDefault="005C4BFD" w:rsidP="005C4BF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5C4BFD" w:rsidRDefault="008C39A0"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5C4BFD">
        <w:rPr>
          <w:rFonts w:ascii="方正仿宋_GBK" w:eastAsia="方正仿宋_GBK" w:hAnsi="方正仿宋_GBK" w:cs="方正仿宋_GBK"/>
          <w:sz w:val="28"/>
          <w:szCs w:val="28"/>
        </w:rPr>
        <w:t>所借国内外汇贷款已经进入国内外汇贷款专户；</w:t>
      </w:r>
    </w:p>
    <w:p w:rsidR="005C4BFD" w:rsidRDefault="008C39A0"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5C4BFD">
        <w:rPr>
          <w:rFonts w:ascii="方正仿宋_GBK" w:eastAsia="方正仿宋_GBK" w:hAnsi="方正仿宋_GBK" w:cs="方正仿宋_GBK"/>
          <w:sz w:val="28"/>
          <w:szCs w:val="28"/>
        </w:rPr>
        <w:t>所借国内外汇贷款应以自有外汇或货物贸易出口收汇资金偿还，原则上不允许购汇偿还。如货物贸易出口确实无法按期收汇，且企业没有其他外汇资金可用于偿还的，应由企业通过购汇银行，向所在地外汇局提出申请。</w:t>
      </w:r>
    </w:p>
    <w:p w:rsidR="005C4BFD" w:rsidRDefault="005C4BFD" w:rsidP="005C4BF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关于进一步推进外汇管理改革完善真实合规性审核的通知》（汇发〔2017〕3号）第一条扩大境内外汇贷款结汇范围。允许具有货物贸易出口背景的境内外汇贷款办理结汇。境内机构应以货物贸易出口收汇资金偿还，原则上不允许购汇偿还。</w:t>
      </w:r>
    </w:p>
    <w:p w:rsidR="005C4BFD" w:rsidRDefault="005C4BFD" w:rsidP="005C4BF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5C4BFD" w:rsidRPr="005011CF" w:rsidRDefault="005C4BFD" w:rsidP="005011CF">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5011CF">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C4BFD" w:rsidRDefault="005C4BFD" w:rsidP="005C4BFD">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5C4BFD" w:rsidRDefault="008C39A0"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5C4BFD">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5C4BFD">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5C4BFD">
        <w:rPr>
          <w:rFonts w:ascii="方正仿宋_GBK" w:eastAsia="方正仿宋_GBK" w:hAnsi="方正仿宋_GBK" w:cs="方正仿宋_GBK"/>
          <w:sz w:val="28"/>
          <w:szCs w:val="28"/>
        </w:rPr>
        <w:t>开展数据统计与监测，掌握外汇业务情况。</w:t>
      </w:r>
    </w:p>
    <w:p w:rsidR="005C4BFD" w:rsidRDefault="005C4BFD" w:rsidP="005C4BF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5C4BFD" w:rsidRDefault="005C4BFD" w:rsidP="005C4BF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申请国内外汇贷款所涉及的贷款合同出口合同原件及加盖公章的复印件各1份（验原件，留存复印件）</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证明购汇归还贷款的必要性的材料原件及加盖公章的复印件各1份（验原件，留存复印件）</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国内外汇贷款已结汇使用相关真实性证明材料原件或加盖公章的复印件各1份（验原件，留存复印件）</w:t>
      </w:r>
    </w:p>
    <w:p w:rsidR="00806770" w:rsidRPr="00806770" w:rsidRDefault="00806770"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5C4BFD" w:rsidRDefault="005C4BFD" w:rsidP="005C4BF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（1）《国家外汇管理局关于进一步推进外汇管理改革完善真实合规性审核的通知》（汇发〔2017〕3号）政策问答（第二期）6、企</w:t>
      </w:r>
      <w:r>
        <w:rPr>
          <w:rFonts w:ascii="方正仿宋_GBK" w:eastAsia="方正仿宋_GBK" w:hAnsi="方正仿宋_GBK" w:cs="方正仿宋_GBK" w:hint="eastAsia"/>
          <w:sz w:val="28"/>
          <w:szCs w:val="28"/>
        </w:rPr>
        <w:lastRenderedPageBreak/>
        <w:t>业可否购汇偿还已结汇使用的国内外汇贷款？什么情况下可以购汇偿还？银行应如何办理？</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答：已经进入国内外汇贷款专户、且按照《通知》要求结汇使用的国内外汇贷款，境内机构应以自有外汇或货物贸易出口收汇资金偿还，原则上不允许购汇偿还。如货物贸易出口确实无法按期收汇、且企业没有其他外汇资金可用于偿还国内外汇贷款，应由企业通过购汇银行、向购汇银行所在地外汇局备案后，方可办理购汇偿还国内外汇贷款相关手续。</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资本项目外汇业务指引（2020年版）》（汇综发〔2020〕89号文印发）8.9非金融机构国内外汇贷款账户开立、使用及关闭，审核原则四、国内外汇贷款还本付息，2.已经进入国内外汇贷款账户且按照规定结汇使用的国内外汇贷款，债务人应以自有外汇或货物贸易出口收汇资金偿还，原则上不允许购汇偿还。如货物贸易出口确实无法按期收汇且债务人没有其他外汇资金可用于偿还境内外汇贷款，应由债务人通过购汇银行向购汇银行所在地外汇局资本项目管理部门备案后，方可办理购汇偿还境内外汇贷款相关手续。</w:t>
      </w:r>
    </w:p>
    <w:p w:rsidR="005C4BFD" w:rsidRDefault="005C4BFD" w:rsidP="005C4BF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5C4BFD" w:rsidRDefault="005C4BFD" w:rsidP="005C4BF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C4BFD" w:rsidRPr="005011CF" w:rsidRDefault="005C4BFD" w:rsidP="005011CF">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5011CF">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C4BFD" w:rsidRDefault="005C4BFD" w:rsidP="005C4BF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5C4BFD" w:rsidRDefault="005C4BFD" w:rsidP="005C4BF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办理行政许可的程序环节</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5C4BFD" w:rsidRDefault="005C4BFD" w:rsidP="005C4BF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5C4BFD" w:rsidRDefault="00AB734E" w:rsidP="00AB734E">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 xml:space="preserve">    </w:t>
      </w:r>
      <w:r w:rsidR="005C4BFD">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 外汇局对行政许可申请审查后，应区分下列情况分别作出处理：</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C4BFD" w:rsidRDefault="005C4BFD" w:rsidP="005C4BF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5C4BFD" w:rsidRDefault="005C4BFD" w:rsidP="005C4BF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5C4BFD" w:rsidRDefault="005C4BFD" w:rsidP="005C4BF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5C4BFD" w:rsidRDefault="005C4BFD" w:rsidP="005C4BF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规定法定审批时限依据</w:t>
      </w:r>
    </w:p>
    <w:p w:rsidR="005C4BFD" w:rsidRDefault="005C4BFD" w:rsidP="005C4BF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5C4BFD" w:rsidRDefault="005C4BFD" w:rsidP="005C4BF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5C4BFD" w:rsidRDefault="005C4BFD" w:rsidP="005C4BF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5C4BFD" w:rsidRPr="005011CF" w:rsidRDefault="005C4BFD" w:rsidP="005011C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5011C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C4BFD" w:rsidRDefault="005C4BFD" w:rsidP="005C4BF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5C4BFD" w:rsidRDefault="005C4BFD" w:rsidP="005C4BF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《国家外汇管理局资本项目外汇业务核准件》</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5C4BFD" w:rsidRPr="005011CF" w:rsidRDefault="005C4BFD" w:rsidP="005011C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5011C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5C4BFD" w:rsidRPr="005011CF" w:rsidRDefault="005C4BFD" w:rsidP="005011C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5011C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5C4BFD" w:rsidRPr="005011CF" w:rsidRDefault="005C4BFD" w:rsidP="005011C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5011C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C4BFD" w:rsidRPr="005011CF" w:rsidRDefault="005C4BFD" w:rsidP="005011C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5011C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5C4BFD" w:rsidRPr="005011CF" w:rsidRDefault="005C4BFD" w:rsidP="005011C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5011C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C4BFD" w:rsidRDefault="005C4BFD" w:rsidP="005C4BF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5C4BFD" w:rsidRDefault="005C4BFD" w:rsidP="005C4BF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5C4BFD" w:rsidRDefault="005C4BFD" w:rsidP="005C4BF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5C4BFD" w:rsidRPr="005011CF" w:rsidRDefault="005C4BFD" w:rsidP="005011CF">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5011C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C4BFD" w:rsidRDefault="005C4BFD" w:rsidP="005C4BF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5C4BFD" w:rsidRPr="005011CF" w:rsidRDefault="005C4BFD" w:rsidP="005011C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5011C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C4BFD" w:rsidRDefault="005C4BFD" w:rsidP="005C4BF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5C4BFD" w:rsidRPr="005011CF" w:rsidRDefault="005C4BFD" w:rsidP="005011CF">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5011C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C4BFD" w:rsidRDefault="005C4BFD" w:rsidP="005C4BF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5C4BFD" w:rsidRDefault="005C4BFD" w:rsidP="005C4BF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C4BFD" w:rsidRPr="005011CF" w:rsidRDefault="005C4BFD" w:rsidP="005011C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5011C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C4BFD" w:rsidRDefault="005C4BFD" w:rsidP="005C4BF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C4BFD" w:rsidRDefault="005C4BFD" w:rsidP="005C4BF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5C4BFD" w:rsidRDefault="005C4BFD" w:rsidP="005C4B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5C4BFD" w:rsidRDefault="005C4BFD" w:rsidP="005C4BF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317758" w:rsidRPr="005C4BFD" w:rsidRDefault="00317758"/>
    <w:sectPr w:rsidR="00317758" w:rsidRPr="005C4BFD" w:rsidSect="00B317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B9C" w:rsidRDefault="002B5B9C" w:rsidP="005C4BFD">
      <w:r>
        <w:separator/>
      </w:r>
    </w:p>
  </w:endnote>
  <w:endnote w:type="continuationSeparator" w:id="1">
    <w:p w:rsidR="002B5B9C" w:rsidRDefault="002B5B9C" w:rsidP="005C4B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B9C" w:rsidRDefault="002B5B9C" w:rsidP="005C4BFD">
      <w:r>
        <w:separator/>
      </w:r>
    </w:p>
  </w:footnote>
  <w:footnote w:type="continuationSeparator" w:id="1">
    <w:p w:rsidR="002B5B9C" w:rsidRDefault="002B5B9C" w:rsidP="005C4B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BFD"/>
    <w:rsid w:val="000A24FC"/>
    <w:rsid w:val="00135D8B"/>
    <w:rsid w:val="00211E66"/>
    <w:rsid w:val="00226713"/>
    <w:rsid w:val="002B5B9C"/>
    <w:rsid w:val="00317758"/>
    <w:rsid w:val="00326AFD"/>
    <w:rsid w:val="003B2B7C"/>
    <w:rsid w:val="003F0B43"/>
    <w:rsid w:val="004227C3"/>
    <w:rsid w:val="004D7C63"/>
    <w:rsid w:val="005011CF"/>
    <w:rsid w:val="00557B29"/>
    <w:rsid w:val="005B2BDB"/>
    <w:rsid w:val="005C4BFD"/>
    <w:rsid w:val="006D6D8C"/>
    <w:rsid w:val="00806770"/>
    <w:rsid w:val="0082209E"/>
    <w:rsid w:val="008C39A0"/>
    <w:rsid w:val="009E774D"/>
    <w:rsid w:val="00AA26AC"/>
    <w:rsid w:val="00AB734E"/>
    <w:rsid w:val="00B21EF7"/>
    <w:rsid w:val="00B3174F"/>
    <w:rsid w:val="00D157A7"/>
    <w:rsid w:val="00DD1244"/>
    <w:rsid w:val="00DF0489"/>
    <w:rsid w:val="00E77177"/>
    <w:rsid w:val="00FF54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F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4B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C4BFD"/>
    <w:rPr>
      <w:sz w:val="18"/>
      <w:szCs w:val="18"/>
    </w:rPr>
  </w:style>
  <w:style w:type="paragraph" w:styleId="a4">
    <w:name w:val="footer"/>
    <w:basedOn w:val="a"/>
    <w:link w:val="Char0"/>
    <w:uiPriority w:val="99"/>
    <w:semiHidden/>
    <w:unhideWhenUsed/>
    <w:rsid w:val="005C4B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C4BF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9</cp:revision>
  <dcterms:created xsi:type="dcterms:W3CDTF">2023-09-28T09:56:00Z</dcterms:created>
  <dcterms:modified xsi:type="dcterms:W3CDTF">2023-12-07T09:12:00Z</dcterms:modified>
</cp:coreProperties>
</file>