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_GBK" w:cs="方正小标宋_GBK"/>
          <w:sz w:val="40"/>
          <w:szCs w:val="40"/>
        </w:rPr>
      </w:pPr>
      <w:bookmarkStart w:id="0" w:name="_GoBack"/>
      <w:bookmarkEnd w:id="0"/>
      <w:r>
        <w:rPr>
          <w:rFonts w:hint="eastAsia" w:ascii="Times New Roman" w:hAnsi="方正小标宋_GBK" w:eastAsia="方正小标宋_GBK" w:cs="方正小标宋_GBK"/>
          <w:sz w:val="40"/>
          <w:szCs w:val="40"/>
        </w:rPr>
        <w:t>政策性银行、全国性商业银行以外其他银行总行（含外国银行分行）人民币与外汇衍生产品业务市场准入审批</w:t>
      </w:r>
    </w:p>
    <w:p>
      <w:pPr>
        <w:jc w:val="center"/>
        <w:rPr>
          <w:rFonts w:ascii="Times New Roman" w:hAnsi="Times New Roman" w:eastAsia="方正小标宋_GBK" w:cs="方正小标宋_GBK"/>
          <w:sz w:val="40"/>
          <w:szCs w:val="40"/>
        </w:rPr>
      </w:pPr>
      <w:r>
        <w:rPr>
          <w:rFonts w:hint="eastAsia" w:ascii="Times New Roman" w:hAnsi="方正小标宋_GBK" w:eastAsia="方正小标宋_GBK" w:cs="方正小标宋_GBK"/>
          <w:sz w:val="40"/>
          <w:szCs w:val="40"/>
        </w:rPr>
        <w:t>【</w:t>
      </w:r>
      <w:r>
        <w:rPr>
          <w:rFonts w:hint="eastAsia" w:ascii="Times New Roman" w:hAnsi="Times New Roman" w:eastAsia="方正小标宋_GBK" w:cs="方正小标宋_GBK"/>
          <w:sz w:val="40"/>
          <w:szCs w:val="40"/>
        </w:rPr>
        <w:t>000171112005</w:t>
      </w:r>
      <w:r>
        <w:rPr>
          <w:rFonts w:hint="eastAsia" w:ascii="Times New Roman" w:hAnsi="方正小标宋_GBK" w:eastAsia="方正小标宋_GBK" w:cs="方正小标宋_GBK"/>
          <w:sz w:val="40"/>
          <w:szCs w:val="40"/>
        </w:rPr>
        <w:t>】</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经营或者终止结售汇业务审批【</w:t>
      </w:r>
      <w:r>
        <w:rPr>
          <w:rFonts w:hint="eastAsia" w:ascii="Times New Roman" w:hAnsi="Times New Roman" w:eastAsia="方正仿宋_GBK" w:cs="方正仿宋_GBK"/>
          <w:sz w:val="28"/>
          <w:szCs w:val="28"/>
        </w:rPr>
        <w:t>00017111200Y</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政策性银行、全国性商业银行以外其他银行总行（含外国银行分行）人民币与外汇衍生产品业务市场准入审批【</w:t>
      </w:r>
      <w:r>
        <w:rPr>
          <w:rFonts w:hint="eastAsia" w:ascii="Times New Roman" w:hAnsi="Times New Roman" w:eastAsia="方正仿宋_GBK" w:cs="方正仿宋_GBK"/>
          <w:sz w:val="28"/>
          <w:szCs w:val="28"/>
        </w:rPr>
        <w:t>000171112005</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政策性银行、全国性商业银行以外其他银行总行（含外国银行分行）人民币与外汇衍生产品业务市场准入审批</w:t>
      </w:r>
      <w:r>
        <w:rPr>
          <w:rFonts w:hint="eastAsia" w:ascii="Times New Roman" w:hAnsi="Times New Roman" w:eastAsia="方正仿宋_GBK" w:cs="方正仿宋_GBK"/>
          <w:sz w:val="28"/>
          <w:szCs w:val="28"/>
        </w:rPr>
        <w:t>(00017111200501)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《中华人民共和国外汇管理条例》第二十四条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号）第三条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号文印发）第七条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4</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国家外汇局分局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省级</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银行（含农村信用社）人民币与外汇衍生产品业务市场准入</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外国银行分行头寸集中管理审批</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15.要素统一情况：</w:t>
      </w:r>
      <w:r>
        <w:rPr>
          <w:rFonts w:hint="eastAsia" w:ascii="Times New Roman"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（1）</w:t>
      </w:r>
      <w:r>
        <w:rPr>
          <w:rFonts w:ascii="Times New Roman" w:hAnsi="方正仿宋_GBK" w:eastAsia="方正仿宋_GBK" w:cs="方正仿宋_GBK"/>
          <w:sz w:val="28"/>
          <w:szCs w:val="28"/>
        </w:rPr>
        <w:t>取得即期结售汇业务资格。</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（2）</w:t>
      </w:r>
      <w:r>
        <w:rPr>
          <w:rFonts w:ascii="Times New Roman" w:hAnsi="方正仿宋_GBK" w:eastAsia="方正仿宋_GBK" w:cs="方正仿宋_GBK"/>
          <w:sz w:val="28"/>
          <w:szCs w:val="28"/>
        </w:rPr>
        <w:t>有健全的衍生产品交易风险管理制度和内部控制制度及适当的风险识别、计量、管理和交易系统，配备开展衍生产品业务所需要的专业人员。</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（3）</w:t>
      </w:r>
      <w:r>
        <w:rPr>
          <w:rFonts w:ascii="Times New Roman" w:hAnsi="方正仿宋_GBK" w:eastAsia="方正仿宋_GBK" w:cs="方正仿宋_GBK"/>
          <w:sz w:val="28"/>
          <w:szCs w:val="28"/>
        </w:rPr>
        <w:t>符合银行业监督管理部门有关金融衍生产品交易业务资格的规定。</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号文印发）第七条银行申请办理衍生产品业务，应当具备下列条件：</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（一）取得即期结售汇业务资格。</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（二）有健全的衍生产品交易风险管理制度和内部控制制度及适当的风险识别、计量、管理和交易系统，配备开展衍生产品业务所需要的专业人员。</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（三）符合银行业监督管理部门有关金融衍生产品交易业务资格的规定。</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Times New Roman"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Times New Roman" w:hAnsi="方正仿宋_GBK" w:eastAsia="方正仿宋_GBK" w:cs="方正仿宋_GBK"/>
          <w:sz w:val="28"/>
          <w:szCs w:val="28"/>
        </w:rPr>
        <w:t>银行、农村信用社、兑换机构及非金融机构等结汇、售汇业务市场准入、退出审批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Times New Roman" w:hAnsi="方正仿宋_GBK" w:eastAsia="方正仿宋_GBK" w:cs="方正仿宋_GBK"/>
          <w:sz w:val="28"/>
          <w:szCs w:val="28"/>
        </w:rPr>
        <w:t>优化审批服务</w:t>
      </w:r>
    </w:p>
    <w:p>
      <w:pPr>
        <w:spacing w:line="540" w:lineRule="exact"/>
        <w:ind w:firstLine="562" w:firstLineChars="200"/>
        <w:rPr>
          <w:rFonts w:ascii="Times New Roman" w:hAnsi="Times New Roman" w:eastAsia="方正仿宋_GBK" w:cs="方正仿宋_GBK"/>
          <w:sz w:val="28"/>
          <w:szCs w:val="28"/>
        </w:rPr>
      </w:pPr>
      <w:r>
        <w:rPr>
          <w:rFonts w:hint="eastAsia" w:ascii="Times New Roman" w:hAnsi="Times New Roman" w:eastAsia="仿宋GB2312"/>
          <w:b/>
          <w:bCs/>
          <w:sz w:val="28"/>
          <w:szCs w:val="28"/>
        </w:rPr>
        <w:t>6.具体改革举措：</w:t>
      </w:r>
      <w:r>
        <w:rPr>
          <w:rFonts w:ascii="Times New Roman" w:hAnsi="方正仿宋_GBK" w:eastAsia="方正仿宋_GBK" w:cs="方正仿宋_GBK"/>
          <w:sz w:val="28"/>
          <w:szCs w:val="28"/>
        </w:rPr>
        <w:t>实现预审、审批进度和结果网上查询，推动实现全程网上办理。</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ascii="Times New Roman" w:hAnsi="方正仿宋_GBK" w:eastAsia="方正仿宋_GBK" w:cs="方正仿宋_GBK"/>
          <w:sz w:val="28"/>
          <w:szCs w:val="28"/>
        </w:rPr>
        <w:t>开展</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双随机、一公开</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监管，依法查处违规行为，适时公开相关案例。</w:t>
      </w:r>
      <w:r>
        <w:rPr>
          <w:rFonts w:hint="eastAsia" w:ascii="Times New Roman" w:hAnsi="Times New Roman" w:eastAsia="方正仿宋_GBK" w:cs="方正仿宋_GBK"/>
          <w:sz w:val="28"/>
          <w:szCs w:val="28"/>
        </w:rPr>
        <w:t>（2）</w:t>
      </w:r>
      <w:r>
        <w:rPr>
          <w:rFonts w:ascii="Times New Roman" w:hAnsi="方正仿宋_GBK" w:eastAsia="方正仿宋_GBK" w:cs="方正仿宋_GBK"/>
          <w:sz w:val="28"/>
          <w:szCs w:val="28"/>
        </w:rPr>
        <w:t>依法及时处理投诉举报。</w:t>
      </w:r>
      <w:r>
        <w:rPr>
          <w:rFonts w:hint="eastAsia" w:ascii="Times New Roman" w:hAnsi="Times New Roman" w:eastAsia="方正仿宋_GBK" w:cs="方正仿宋_GBK"/>
          <w:sz w:val="28"/>
          <w:szCs w:val="28"/>
        </w:rPr>
        <w:t>（3）</w:t>
      </w:r>
      <w:r>
        <w:rPr>
          <w:rFonts w:ascii="Times New Roman"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申请报告、可行性报告及业务计划书</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衍生产品业务内部管理规章制度</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主管人员和主要交易人员名单、履历</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符合银行业监督管理部门有关金融衍生产品交易业务资格规定的证明文件的复印件</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份（加盖银行公章）。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号文印发）第十条银行总行申请衍生产品业务，应提交下列文件和资料：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（一）申请报告、可行性报告及业务计划书。</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（二）衍生产品业务内部管理规章制度，应当至少包括以下内容：</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．业务操作规程，包括交易受理、客户评估、单证审核等业务流程和操作标准；</w:t>
      </w:r>
      <w:r>
        <w:rPr>
          <w:rFonts w:hint="eastAsia" w:ascii="Times New Roman" w:hAnsi="Times New Roman" w:eastAsia="方正仿宋_GBK" w:cs="方正仿宋_GBK"/>
          <w:sz w:val="28"/>
          <w:szCs w:val="28"/>
        </w:rPr>
        <w:t></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．产品定价模型，包括定价方法和各项参数的选取标准及来源；</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r>
        <w:rPr>
          <w:rFonts w:hint="eastAsia" w:ascii="Times New Roman" w:hAnsi="方正仿宋_GBK" w:eastAsia="方正仿宋_GBK" w:cs="方正仿宋_GBK"/>
          <w:sz w:val="28"/>
          <w:szCs w:val="28"/>
        </w:rPr>
        <w:t>．风险管理制度，包括风险管理架构、风险模型指标及量化管理指标、风险缓释措施、头寸平盘机制；</w:t>
      </w:r>
      <w:r>
        <w:rPr>
          <w:rFonts w:hint="eastAsia" w:ascii="Times New Roman" w:hAnsi="Times New Roman" w:eastAsia="方正仿宋_GBK" w:cs="方正仿宋_GBK"/>
          <w:sz w:val="28"/>
          <w:szCs w:val="28"/>
        </w:rPr>
        <w:t></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4</w:t>
      </w:r>
      <w:r>
        <w:rPr>
          <w:rFonts w:hint="eastAsia" w:ascii="Times New Roman" w:hAnsi="方正仿宋_GBK" w:eastAsia="方正仿宋_GBK" w:cs="方正仿宋_GBK"/>
          <w:sz w:val="28"/>
          <w:szCs w:val="28"/>
        </w:rPr>
        <w:t>．会计核算制度，包括科目设置和会计核算方法；</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r>
        <w:rPr>
          <w:rFonts w:hint="eastAsia" w:ascii="Times New Roman" w:hAnsi="方正仿宋_GBK" w:eastAsia="方正仿宋_GBK" w:cs="方正仿宋_GBK"/>
          <w:sz w:val="28"/>
          <w:szCs w:val="28"/>
        </w:rPr>
        <w:t>．统计报告制度，包括数据采集渠道和操作程序。</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（三）主管人员和主要交易人员名单、履历。</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（四）符合银行业监督管理部门有关金融衍生产品交易业务资格规定的证明文件。</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银行应当根据拟开办各类衍生产品业务的实际特征，提交具有针对性与适用性的文件和资料。</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（1）</w:t>
      </w:r>
      <w:r>
        <w:rPr>
          <w:rFonts w:ascii="Times New Roman" w:hAnsi="方正仿宋_GBK" w:eastAsia="方正仿宋_GBK" w:cs="方正仿宋_GBK"/>
          <w:sz w:val="28"/>
          <w:szCs w:val="28"/>
        </w:rPr>
        <w:t>申请人申请；</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（2）</w:t>
      </w:r>
      <w:r>
        <w:rPr>
          <w:rFonts w:ascii="Times New Roman" w:hAnsi="方正仿宋_GBK" w:eastAsia="方正仿宋_GBK" w:cs="方正仿宋_GBK"/>
          <w:sz w:val="28"/>
          <w:szCs w:val="28"/>
        </w:rPr>
        <w:t>审批机构受理</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不予受理；</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（3）</w:t>
      </w:r>
      <w:r>
        <w:rPr>
          <w:rFonts w:ascii="Times New Roman" w:hAnsi="方正仿宋_GBK" w:eastAsia="方正仿宋_GBK" w:cs="方正仿宋_GBK"/>
          <w:sz w:val="28"/>
          <w:szCs w:val="28"/>
        </w:rPr>
        <w:t>审批机构审查；</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（4）</w:t>
      </w:r>
      <w:r>
        <w:rPr>
          <w:rFonts w:ascii="Times New Roman" w:hAnsi="方正仿宋_GBK" w:eastAsia="方正仿宋_GBK" w:cs="方正仿宋_GBK"/>
          <w:sz w:val="28"/>
          <w:szCs w:val="28"/>
        </w:rPr>
        <w:t>决定作出许可决定书</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）《国家外汇管理局行政许可实施办法》第十条外汇局收到行政许可申请后，应区分下列情况分别作出处理：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（三）申请事项属于本局职责范围，但申请材料不齐全或不符合法定形式的，应当场或在收到申请材料之日起</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申请人拒不补正，或者自补正告知书送达之日起</w:t>
      </w:r>
      <w:r>
        <w:rPr>
          <w:rFonts w:ascii="Times New Roman" w:hAnsi="Times New Roman" w:eastAsia="方正仿宋_GBK" w:cs="方正仿宋_GBK"/>
          <w:sz w:val="28"/>
          <w:szCs w:val="28"/>
        </w:rPr>
        <w:t>30</w:t>
      </w:r>
      <w:r>
        <w:rPr>
          <w:rFonts w:ascii="Times New Roman" w:hAnsi="方正仿宋_GBK" w:eastAsia="方正仿宋_GBK" w:cs="方正仿宋_GBK"/>
          <w:sz w:val="28"/>
          <w:szCs w:val="28"/>
        </w:rPr>
        <w:t>日内未能提交全部且符合法定形式的补正材料的，应不予受理，出具不予受理行政许可通知书；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）《国家外汇管理局行政许可实施办法》第十四条外汇局对行政许可申请审查后，应区分下列情况分别作出处理：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Times New Roman"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Times New Roman" w:hAnsi="Times New Roman" w:eastAsia="方正仿宋_GBK" w:cs="方正仿宋_GBK"/>
          <w:sz w:val="28"/>
          <w:szCs w:val="28"/>
        </w:rPr>
        <w:t>20</w:t>
      </w:r>
      <w:r>
        <w:rPr>
          <w:rFonts w:hint="eastAsia"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号）第十五条外汇局应根据以下要求确保行政许可依法按时完成：</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（二）不能当场作出决定的，应自受理之日起</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个工作日内作出决定；</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个工作日内不能作出决定的，经本级外汇局局长或者主管副局长批准，可延长</w:t>
      </w:r>
      <w:r>
        <w:rPr>
          <w:rFonts w:ascii="Times New Roman" w:hAnsi="Times New Roman" w:eastAsia="方正仿宋_GBK" w:cs="方正仿宋_GBK"/>
          <w:sz w:val="28"/>
          <w:szCs w:val="28"/>
        </w:rPr>
        <w:t>10</w:t>
      </w:r>
      <w:r>
        <w:rPr>
          <w:rFonts w:ascii="Times New Roman" w:hAnsi="方正仿宋_GBK" w:eastAsia="方正仿宋_GBK" w:cs="方正仿宋_GBK"/>
          <w:sz w:val="28"/>
          <w:szCs w:val="28"/>
        </w:rPr>
        <w:t>个工作日，并向申请人出具延长行政许可办理期限通知书，说明延长期限的理由。行政许可办理期限只能延长一次。</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各级外汇局对行政许可办理时限具有对外承诺的，应按照其承诺的时限完成；对外承诺的时限应短于</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方正仿宋_GBK" w:cs="方正仿宋_GBK"/>
          <w:b/>
          <w:bCs/>
          <w:color w:val="FF0000"/>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Times New Roman"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Times New Roman" w:hAnsi="方正仿宋_GBK" w:eastAsia="方正仿宋_GBK" w:cs="方正仿宋_GBK"/>
          <w:sz w:val="28"/>
          <w:szCs w:val="28"/>
        </w:rPr>
        <w:t>批准文件或备案通知书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Times New Roman" w:hAnsi="方正仿宋_GBK" w:eastAsia="方正仿宋_GBK" w:cs="方正仿宋_GBK"/>
          <w:sz w:val="28"/>
          <w:szCs w:val="28"/>
        </w:rPr>
        <w:t>无期限</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4.规定审批结果有效期限的依据：</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6.办理审批结果变更手续的要求：</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8.办理审批结果延续手续的要求：</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方正仿宋_GBK" w:cs="方正仿宋_GBK"/>
          <w:sz w:val="28"/>
          <w:szCs w:val="28"/>
        </w:rPr>
      </w:pPr>
      <w:r>
        <w:rPr>
          <w:rFonts w:hint="eastAsia" w:ascii="Times New Roman" w:hAnsi="Times New Roman" w:eastAsia="仿宋GB2312"/>
          <w:b/>
          <w:bCs/>
          <w:sz w:val="28"/>
          <w:szCs w:val="28"/>
        </w:rPr>
        <w:t>9.审批结果的有效地域范围：</w:t>
      </w:r>
      <w:r>
        <w:rPr>
          <w:rFonts w:hint="eastAsia" w:ascii="Times New Roman"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10.规定审批结果有效地域范围的依据：</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sz w:val="28"/>
          <w:szCs w:val="28"/>
        </w:rPr>
      </w:pPr>
      <w:r>
        <w:rPr>
          <w:rFonts w:hint="eastAsia" w:ascii="Times New Roman" w:hAnsi="Times New Roman" w:eastAsia="仿宋GB2312"/>
          <w:b/>
          <w:bCs/>
          <w:sz w:val="28"/>
          <w:szCs w:val="28"/>
        </w:rPr>
        <w:t>5.规定在数量限制条件下实施行政许可方式的依据：</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2.设定年检要求的依据：</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方正仿宋_GBK" w:cs="方正仿宋_GBK"/>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国家外汇局及其分局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Times New Roman" w:hAnsi="Times New Roman" w:eastAsia="方正仿宋_GBK" w:cs="方正仿宋_GBK"/>
          <w:sz w:val="28"/>
          <w:szCs w:val="28"/>
        </w:rPr>
      </w:pPr>
    </w:p>
    <w:p>
      <w:pPr>
        <w:rPr>
          <w:rFonts w:ascii="Times New Roman" w:hAnsi="Times New Roman"/>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0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569</Words>
  <Characters>3248</Characters>
  <Lines>27</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2023-12-22T07:34:00Z</dcterms:created>
  <dc:creator>kylin</dc:creator>
  <cp:lastModifiedBy>韩美琪/收支处/长春/PBC</cp:lastModifiedBy>
  <dcterms:modified xsi:type="dcterms:W3CDTF">2024-03-11T07:58:35Z</dcterms:modified>
  <dc:title>政策性银行、全国性商业银行以外其他银行总行（含外国银行分行）人民币与外汇衍生产品业务市场准入审批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