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方正小标宋_GBK" w:eastAsia="方正小标宋_GBK" w:cs="方正小标宋_GBK"/>
          <w:sz w:val="40"/>
          <w:szCs w:val="40"/>
        </w:rPr>
        <w:t>银行总行合作办理远期业务市场准入审批</w:t>
      </w:r>
    </w:p>
    <w:p>
      <w:pPr>
        <w:jc w:val="center"/>
        <w:rPr>
          <w:rFonts w:ascii="Times New Roman" w:hAnsi="Times New Roman" w:eastAsia="方正小标宋_GBK" w:cs="方正小标宋_GBK"/>
          <w:sz w:val="40"/>
          <w:szCs w:val="40"/>
        </w:rPr>
      </w:pPr>
      <w:r>
        <w:rPr>
          <w:rFonts w:hint="eastAsia" w:ascii="Times New Roman" w:hAnsi="方正小标宋_GBK" w:eastAsia="方正小标宋_GBK" w:cs="方正小标宋_GBK"/>
          <w:sz w:val="40"/>
          <w:szCs w:val="40"/>
        </w:rPr>
        <w:t>【</w:t>
      </w:r>
      <w:r>
        <w:rPr>
          <w:rFonts w:hint="eastAsia" w:ascii="Times New Roman" w:hAnsi="Times New Roman" w:eastAsia="方正小标宋_GBK" w:cs="方正小标宋_GBK"/>
          <w:sz w:val="40"/>
          <w:szCs w:val="40"/>
        </w:rPr>
        <w:t>000171112008</w:t>
      </w:r>
      <w:r>
        <w:rPr>
          <w:rFonts w:hint="eastAsia" w:ascii="Times New Roman" w:hAnsi="方正小标宋_GBK" w:eastAsia="方正小标宋_GBK" w:cs="方正小标宋_GBK"/>
          <w:sz w:val="40"/>
          <w:szCs w:val="40"/>
        </w:rPr>
        <w:t>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经营或者终止结售汇业务审批【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00017111200Y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银行总行合作办理远期业务市场准入审批【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000171112008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1.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银行总行合作办理远期业务市场准入审批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(00017111200802)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）《中华人民共和国外汇管理条例》第二十四条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）《银行办理结售汇业务管理办法》（中国人民银行令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号）第二条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）《银行办理结售汇业务管理办法》（中国人民银行令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号）第三条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3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2022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15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号文印发）第一条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4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2022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15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号文印发）第二条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）《中华人民共和国外汇管理条例》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国家外汇局省级分局和计划单列市分局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省级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直属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省级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银行合作办理远期结售汇业务市场准入审批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具备即期结售汇业务资格，并已开办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年（含）以上。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上年度外汇资产季平均余额在等值</w:t>
      </w:r>
      <w:r>
        <w:rPr>
          <w:rFonts w:ascii="Times New Roman" w:hAnsi="Times New Roman" w:eastAsia="方正仿宋_GBK" w:cs="方正仿宋_GBK"/>
          <w:sz w:val="28"/>
          <w:szCs w:val="28"/>
        </w:rPr>
        <w:t>2000</w:t>
      </w:r>
      <w:r>
        <w:rPr>
          <w:rFonts w:ascii="Times New Roman" w:hAnsi="方正仿宋_GBK" w:eastAsia="方正仿宋_GBK" w:cs="方正仿宋_GBK"/>
          <w:sz w:val="28"/>
          <w:szCs w:val="28"/>
        </w:rPr>
        <w:t>万美元（含）以上。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近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年银行外汇业务合规与审慎经营评估等级为</w:t>
      </w:r>
      <w:r>
        <w:rPr>
          <w:rFonts w:ascii="Times New Roman" w:hAnsi="Times New Roman" w:eastAsia="方正仿宋_GBK" w:cs="方正仿宋_GBK"/>
          <w:sz w:val="28"/>
          <w:szCs w:val="28"/>
        </w:rPr>
        <w:t>B</w:t>
      </w:r>
      <w:r>
        <w:rPr>
          <w:rFonts w:ascii="Times New Roman" w:hAnsi="方正仿宋_GBK" w:eastAsia="方正仿宋_GBK" w:cs="方正仿宋_GBK"/>
          <w:sz w:val="28"/>
          <w:szCs w:val="28"/>
        </w:rPr>
        <w:t>级（含）以上。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具有完善的合作办理外汇衍生品业务管理制度。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2022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15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号文印发）第一条合作银行总行申请时应具备以下条件：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（一）具备即期结售汇业务资格，并已开办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年（含）以上。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（二）上年度外汇资产季平均余额在等值</w:t>
      </w:r>
      <w:r>
        <w:rPr>
          <w:rFonts w:ascii="Times New Roman" w:hAnsi="Times New Roman" w:eastAsia="方正仿宋_GBK" w:cs="方正仿宋_GBK"/>
          <w:sz w:val="28"/>
          <w:szCs w:val="28"/>
        </w:rPr>
        <w:t>2000</w:t>
      </w:r>
      <w:r>
        <w:rPr>
          <w:rFonts w:ascii="Times New Roman" w:hAnsi="方正仿宋_GBK" w:eastAsia="方正仿宋_GBK" w:cs="方正仿宋_GBK"/>
          <w:sz w:val="28"/>
          <w:szCs w:val="28"/>
        </w:rPr>
        <w:t>万美元（含）以上。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（三）近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年银行外汇业务合规与审慎经营评估等级为</w:t>
      </w:r>
      <w:r>
        <w:rPr>
          <w:rFonts w:ascii="Times New Roman" w:hAnsi="Times New Roman" w:eastAsia="方正仿宋_GBK" w:cs="方正仿宋_GBK"/>
          <w:sz w:val="28"/>
          <w:szCs w:val="28"/>
        </w:rPr>
        <w:t>B</w:t>
      </w:r>
      <w:r>
        <w:rPr>
          <w:rFonts w:ascii="Times New Roman" w:hAnsi="方正仿宋_GBK" w:eastAsia="方正仿宋_GBK" w:cs="方正仿宋_GBK"/>
          <w:sz w:val="28"/>
          <w:szCs w:val="28"/>
        </w:rPr>
        <w:t>级（含）以上。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（四）具有完善的合作办理外汇衍生品业务管理制度。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（五）申请合作掉期业务，应取得合作远期结售汇业务资格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年以上，且合作远期结售汇业务规模在最近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年均达到即期结售汇业务规模的</w:t>
      </w:r>
      <w:r>
        <w:rPr>
          <w:rFonts w:ascii="Times New Roman" w:hAnsi="Times New Roman" w:eastAsia="方正仿宋_GBK" w:cs="方正仿宋_GBK"/>
          <w:sz w:val="28"/>
          <w:szCs w:val="28"/>
        </w:rPr>
        <w:t>5%</w:t>
      </w:r>
      <w:r>
        <w:rPr>
          <w:rFonts w:ascii="Times New Roman" w:hAnsi="方正仿宋_GBK" w:eastAsia="方正仿宋_GBK" w:cs="方正仿宋_GBK"/>
          <w:sz w:val="28"/>
          <w:szCs w:val="28"/>
        </w:rPr>
        <w:t>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Times New Roman" w:hAnsi="方正仿宋_GBK" w:eastAsia="方正仿宋_GBK" w:cs="方正仿宋_GBK"/>
          <w:sz w:val="28"/>
          <w:szCs w:val="28"/>
        </w:rPr>
        <w:t>企业法人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Times New Roman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Times New Roman" w:hAnsi="方正仿宋_GBK" w:eastAsia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Times New Roman" w:hAnsi="方正仿宋_GBK" w:eastAsia="方正仿宋_GBK" w:cs="方正仿宋_GBK"/>
          <w:sz w:val="28"/>
          <w:szCs w:val="28"/>
        </w:rPr>
        <w:t>优化审批服务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实现预审、审批进度和结果网上查询，推动实现全程网上办理。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Times New Roman" w:eastAsia="方正仿宋_GBK" w:cs="方正仿宋_GBK"/>
          <w:sz w:val="28"/>
          <w:szCs w:val="28"/>
        </w:rPr>
        <w:t>1.</w:t>
      </w:r>
      <w:r>
        <w:rPr>
          <w:rFonts w:ascii="Times New Roman" w:hAnsi="方正仿宋_GBK" w:eastAsia="方正仿宋_GBK" w:cs="方正仿宋_GBK"/>
          <w:sz w:val="28"/>
          <w:szCs w:val="28"/>
        </w:rPr>
        <w:t>开展</w:t>
      </w:r>
      <w:r>
        <w:rPr>
          <w:rFonts w:ascii="Times New Roman" w:hAnsi="Times New Roman" w:eastAsia="方正仿宋_GBK" w:cs="方正仿宋_GBK"/>
          <w:sz w:val="28"/>
          <w:szCs w:val="28"/>
        </w:rPr>
        <w:t>“</w:t>
      </w:r>
      <w:r>
        <w:rPr>
          <w:rFonts w:ascii="Times New Roman" w:hAnsi="方正仿宋_GBK" w:eastAsia="方正仿宋_GBK" w:cs="方正仿宋_GBK"/>
          <w:sz w:val="28"/>
          <w:szCs w:val="28"/>
        </w:rPr>
        <w:t>双随机、一公开</w:t>
      </w:r>
      <w:r>
        <w:rPr>
          <w:rFonts w:ascii="Times New Roman" w:hAnsi="Times New Roman" w:eastAsia="方正仿宋_GBK" w:cs="方正仿宋_GBK"/>
          <w:sz w:val="28"/>
          <w:szCs w:val="28"/>
        </w:rPr>
        <w:t>”</w:t>
      </w:r>
      <w:r>
        <w:rPr>
          <w:rFonts w:ascii="Times New Roman" w:hAnsi="方正仿宋_GBK" w:eastAsia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hAnsi="Times New Roman" w:eastAsia="方正仿宋_GBK" w:cs="方正仿宋_GBK"/>
          <w:sz w:val="28"/>
          <w:szCs w:val="28"/>
        </w:rPr>
        <w:t>2.</w:t>
      </w:r>
      <w:r>
        <w:rPr>
          <w:rFonts w:ascii="Times New Roman" w:hAnsi="方正仿宋_GBK" w:eastAsia="方正仿宋_GBK" w:cs="方正仿宋_GBK"/>
          <w:sz w:val="28"/>
          <w:szCs w:val="28"/>
        </w:rPr>
        <w:t>依法及时处理投诉举报。</w:t>
      </w:r>
      <w:r>
        <w:rPr>
          <w:rFonts w:ascii="Times New Roman" w:hAnsi="Times New Roman" w:eastAsia="方正仿宋_GBK" w:cs="方正仿宋_GBK"/>
          <w:sz w:val="28"/>
          <w:szCs w:val="28"/>
        </w:rPr>
        <w:t>3.</w:t>
      </w:r>
      <w:r>
        <w:rPr>
          <w:rFonts w:ascii="Times New Roman" w:hAnsi="方正仿宋_GBK" w:eastAsia="方正仿宋_GBK" w:cs="方正仿宋_GBK"/>
          <w:sz w:val="28"/>
          <w:szCs w:val="28"/>
        </w:rPr>
        <w:t>开展数据统计与监测，掌握外汇业务情况。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申请报告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份（简要说明满足各项申请条件情况，并包括企业客户培育情况、业务计划等）。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合作办理外汇衍生品业务相关管理制度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份（包括：业务操作规程、风险管理制度、统计报告制度、会计核算制度等）。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与具备资格银行签订的合作协议书范本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份（范本中应明确双方权利和义务）。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上年度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4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个季度的外汇资产负债表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2022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〕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15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号文印发）第二条合作银行总行应持下列材料向所在地国家外汇管理局分局、外汇管理部（以下简称外汇分局）提出申请：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（一）申请报告，简要说明满足各项申请条件情况，并包括企业客户培育情况、业务计划等。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（三）与具备资格银行签订的合作协议书范本，范本中应明确双方权利和义务。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（四）总行上年度外汇资产季度余额情况。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申请人申请；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审批机构受理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不予受理；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审批机构审查；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决定作出许可决定书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不予许可决定书。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号）第十条外汇局收到行政许可申请后，应区分下列情况分别作出处理：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申请人拒不补正，或者自补正告知书送达之日起</w:t>
      </w:r>
      <w:r>
        <w:rPr>
          <w:rFonts w:ascii="Times New Roman" w:hAnsi="Times New Roman" w:eastAsia="方正仿宋_GBK" w:cs="方正仿宋_GBK"/>
          <w:sz w:val="28"/>
          <w:szCs w:val="28"/>
        </w:rPr>
        <w:t>30</w:t>
      </w:r>
      <w:r>
        <w:rPr>
          <w:rFonts w:ascii="Times New Roman" w:hAnsi="方正仿宋_GBK" w:eastAsia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）《国家外汇管理局行政许可实施办法》第十条（国家外汇管理局公告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号）第十四条外汇局对行政许可申请审查后，应区分下列情况分别作出处理：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号）第十五条外汇局应根据以下要求确保行政许可依法按时完成：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（二）不能当场作出决定的，应自受理之日起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个工作日内作出决定；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个工作日内不能作出决定的，经本级外汇局局长或者主管副局长批准，可延长</w:t>
      </w:r>
      <w:r>
        <w:rPr>
          <w:rFonts w:ascii="Times New Roman" w:hAnsi="Times New Roman" w:eastAsia="方正仿宋_GBK" w:cs="方正仿宋_GBK"/>
          <w:sz w:val="28"/>
          <w:szCs w:val="28"/>
        </w:rPr>
        <w:t>10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b/>
          <w:bCs/>
          <w:color w:val="FF0000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Times New Roman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《国家外汇管理局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____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分局（外汇管理部）银行合作办理人民币对外汇衍生品业务准予许可通知书》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无期限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国家外汇局及其分局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561</Words>
  <Characters>3201</Characters>
  <Lines>26</Lines>
  <Paragraphs>7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2023-09-28T05:25:00Z</dcterms:created>
  <dc:creator>kylin</dc:creator>
  <cp:lastModifiedBy>韩美琪/收支处/长春/PBC</cp:lastModifiedBy>
  <cp:lastPrinted>2024-03-26T05:55:00Z</cp:lastPrinted>
  <dcterms:modified xsi:type="dcterms:W3CDTF">2024-03-29T05:51:01Z</dcterms:modified>
  <dc:title>银行总行合作办理远期业务市场准入审批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16570029E7D94EE1A510CF5DEA0495C6_12</vt:lpwstr>
  </property>
</Properties>
</file>