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eastAsia="方正小标宋_GBK" w:cs="方正小标宋_GBK"/>
          <w:sz w:val="40"/>
          <w:szCs w:val="40"/>
        </w:rPr>
      </w:pPr>
      <w:bookmarkStart w:id="0" w:name="_GoBack"/>
      <w:bookmarkEnd w:id="0"/>
      <w:r>
        <w:rPr>
          <w:rFonts w:hint="eastAsia" w:ascii="Times New Roman" w:hAnsi="方正小标宋_GBK" w:eastAsia="方正小标宋_GBK" w:cs="方正小标宋_GBK"/>
          <w:sz w:val="40"/>
          <w:szCs w:val="40"/>
        </w:rPr>
        <w:t>地（市）分局办理的银行支行（含农村信用社）及下辖机构即期结售汇业务市场准入审批</w:t>
      </w:r>
    </w:p>
    <w:p>
      <w:pPr>
        <w:jc w:val="center"/>
        <w:rPr>
          <w:rFonts w:ascii="Times New Roman" w:hAnsi="Times New Roman" w:eastAsia="方正小标宋_GBK" w:cs="方正小标宋_GBK"/>
          <w:sz w:val="40"/>
          <w:szCs w:val="40"/>
        </w:rPr>
      </w:pPr>
      <w:r>
        <w:rPr>
          <w:rFonts w:hint="eastAsia" w:ascii="Times New Roman" w:hAnsi="方正小标宋_GBK" w:eastAsia="方正小标宋_GBK" w:cs="方正小标宋_GBK"/>
          <w:sz w:val="40"/>
          <w:szCs w:val="40"/>
        </w:rPr>
        <w:t>【</w:t>
      </w:r>
      <w:r>
        <w:rPr>
          <w:rFonts w:hint="eastAsia" w:ascii="Times New Roman" w:hAnsi="Times New Roman" w:eastAsia="方正小标宋_GBK" w:cs="方正小标宋_GBK"/>
          <w:sz w:val="40"/>
          <w:szCs w:val="40"/>
        </w:rPr>
        <w:t>000171112010</w:t>
      </w:r>
      <w:r>
        <w:rPr>
          <w:rFonts w:hint="eastAsia" w:ascii="Times New Roman" w:hAnsi="方正小标宋_GBK" w:eastAsia="方正小标宋_GBK" w:cs="方正小标宋_GBK"/>
          <w:sz w:val="40"/>
          <w:szCs w:val="40"/>
        </w:rPr>
        <w:t>】</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一、基本要素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行政许可事项名称</w:t>
      </w:r>
      <w:r>
        <w:rPr>
          <w:rFonts w:hint="eastAsia" w:ascii="Times New Roman" w:hAnsi="Times New Roman" w:eastAsia="仿宋GB2312"/>
          <w:b/>
          <w:bCs/>
          <w:sz w:val="28"/>
          <w:szCs w:val="28"/>
        </w:rPr>
        <w:t>及编码</w:t>
      </w:r>
    </w:p>
    <w:p>
      <w:pPr>
        <w:spacing w:line="540" w:lineRule="exact"/>
        <w:ind w:firstLine="560" w:firstLineChars="200"/>
        <w:outlineLvl w:val="2"/>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经营或者终止结售汇业务审批【</w:t>
      </w:r>
      <w:r>
        <w:rPr>
          <w:rFonts w:hint="eastAsia" w:ascii="Times New Roman" w:hAnsi="Times New Roman" w:eastAsia="方正仿宋_GBK" w:cs="方正仿宋_GBK"/>
          <w:sz w:val="28"/>
          <w:szCs w:val="28"/>
        </w:rPr>
        <w:t>00017111200Y</w:t>
      </w:r>
      <w:r>
        <w:rPr>
          <w:rFonts w:hint="eastAsia" w:ascii="Times New Roman" w:hAnsi="方正仿宋_GBK" w:eastAsia="方正仿宋_GBK" w:cs="方正仿宋_GBK"/>
          <w:sz w:val="28"/>
          <w:szCs w:val="28"/>
        </w:rPr>
        <w:t>】</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行政许可</w:t>
      </w:r>
      <w:r>
        <w:rPr>
          <w:rFonts w:hint="eastAsia" w:ascii="Times New Roman" w:hAnsi="Times New Roman" w:eastAsia="仿宋GB2312"/>
          <w:b/>
          <w:bCs/>
          <w:sz w:val="28"/>
          <w:szCs w:val="28"/>
        </w:rPr>
        <w:t>事项子项名称及编码</w:t>
      </w:r>
    </w:p>
    <w:p>
      <w:pPr>
        <w:spacing w:line="360" w:lineRule="auto"/>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地（市）分局办理的银行支行（含农村信用社）及下辖机构即期结售汇业务市场准入审批【</w:t>
      </w:r>
      <w:r>
        <w:rPr>
          <w:rFonts w:hint="eastAsia" w:ascii="Times New Roman" w:hAnsi="Times New Roman" w:eastAsia="方正仿宋_GBK" w:cs="方正仿宋_GBK"/>
          <w:sz w:val="28"/>
          <w:szCs w:val="28"/>
        </w:rPr>
        <w:t>000171112010</w:t>
      </w:r>
      <w:r>
        <w:rPr>
          <w:rFonts w:hint="eastAsia" w:ascii="Times New Roman" w:hAnsi="方正仿宋_GBK" w:eastAsia="方正仿宋_GBK" w:cs="方正仿宋_GBK"/>
          <w:sz w:val="28"/>
          <w:szCs w:val="28"/>
        </w:rPr>
        <w:t>】</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3.行政许可事项业务办理项名称及编码</w:t>
      </w:r>
    </w:p>
    <w:p>
      <w:pPr>
        <w:spacing w:line="360" w:lineRule="auto"/>
        <w:ind w:firstLine="560" w:firstLineChars="20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1.</w:t>
      </w:r>
      <w:r>
        <w:rPr>
          <w:rFonts w:hint="eastAsia" w:ascii="Times New Roman" w:hAnsi="方正仿宋_GBK" w:eastAsia="方正仿宋_GBK" w:cs="方正仿宋_GBK"/>
          <w:sz w:val="28"/>
          <w:szCs w:val="28"/>
        </w:rPr>
        <w:t>地（市）分局办理的银行支行（含农村信用社）及下辖机构即期结售汇业务市场准入审批</w:t>
      </w:r>
      <w:r>
        <w:rPr>
          <w:rFonts w:hint="eastAsia" w:ascii="Times New Roman" w:hAnsi="Times New Roman" w:eastAsia="方正仿宋_GBK" w:cs="方正仿宋_GBK"/>
          <w:sz w:val="28"/>
          <w:szCs w:val="28"/>
        </w:rPr>
        <w:t>(00017111201001)</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4.设定依据</w:t>
      </w:r>
    </w:p>
    <w:p>
      <w:pPr>
        <w:spacing w:line="540" w:lineRule="exact"/>
        <w:ind w:firstLine="560" w:firstLineChars="200"/>
        <w:outlineLvl w:val="2"/>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w:t>
      </w:r>
      <w:r>
        <w:rPr>
          <w:rFonts w:hint="eastAsia" w:ascii="Times New Roman" w:hAnsi="Times New Roman" w:eastAsia="方正仿宋_GBK" w:cs="方正仿宋_GBK"/>
          <w:sz w:val="28"/>
          <w:szCs w:val="28"/>
        </w:rPr>
        <w:t>1</w:t>
      </w:r>
      <w:r>
        <w:rPr>
          <w:rFonts w:hint="eastAsia" w:ascii="Times New Roman" w:hAnsi="方正仿宋_GBK" w:eastAsia="方正仿宋_GBK" w:cs="方正仿宋_GBK"/>
          <w:sz w:val="28"/>
          <w:szCs w:val="28"/>
        </w:rPr>
        <w:t>）《中华人民共和国外汇管理条例》第二十四条</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5.实施依据</w:t>
      </w:r>
    </w:p>
    <w:p>
      <w:pPr>
        <w:spacing w:line="540" w:lineRule="exact"/>
        <w:ind w:firstLine="560" w:firstLineChars="200"/>
        <w:outlineLvl w:val="2"/>
        <w:rPr>
          <w:rFonts w:ascii="Times New Roman" w:hAnsi="Times New Roman" w:eastAsia="方正仿宋_GBK" w:cs="方正仿宋_GBK"/>
          <w:sz w:val="28"/>
          <w:szCs w:val="28"/>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）《银行办理结售汇业务管理办法》（中国人民银行令</w:t>
      </w:r>
      <w:r>
        <w:rPr>
          <w:rFonts w:ascii="Times New Roman" w:hAnsi="Times New Roman" w:eastAsia="方正仿宋_GBK" w:cs="方正仿宋_GBK"/>
          <w:sz w:val="28"/>
          <w:szCs w:val="28"/>
        </w:rPr>
        <w:t>2014</w:t>
      </w:r>
      <w:r>
        <w:rPr>
          <w:rFonts w:ascii="Times New Roman" w:hAnsi="方正仿宋_GBK" w:eastAsia="方正仿宋_GBK" w:cs="方正仿宋_GBK"/>
          <w:sz w:val="28"/>
          <w:szCs w:val="28"/>
        </w:rPr>
        <w:t>年</w:t>
      </w:r>
      <w:r>
        <w:rPr>
          <w:rFonts w:ascii="Times New Roman" w:hAnsi="Times New Roman" w:eastAsia="方正仿宋_GBK" w:cs="方正仿宋_GBK"/>
          <w:sz w:val="28"/>
          <w:szCs w:val="28"/>
        </w:rPr>
        <w:t>2</w:t>
      </w:r>
      <w:r>
        <w:rPr>
          <w:rFonts w:ascii="Times New Roman" w:hAnsi="方正仿宋_GBK" w:eastAsia="方正仿宋_GBK" w:cs="方正仿宋_GBK"/>
          <w:sz w:val="28"/>
          <w:szCs w:val="28"/>
        </w:rPr>
        <w:t>号）第二条</w:t>
      </w:r>
    </w:p>
    <w:p>
      <w:pPr>
        <w:spacing w:line="540" w:lineRule="exact"/>
        <w:ind w:firstLine="560" w:firstLineChars="200"/>
        <w:outlineLvl w:val="2"/>
        <w:rPr>
          <w:rFonts w:ascii="Times New Roman" w:hAnsi="Times New Roman" w:eastAsia="方正仿宋_GBK" w:cs="方正仿宋_GBK"/>
          <w:sz w:val="28"/>
          <w:szCs w:val="28"/>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2</w:t>
      </w:r>
      <w:r>
        <w:rPr>
          <w:rFonts w:ascii="Times New Roman" w:hAnsi="方正仿宋_GBK" w:eastAsia="方正仿宋_GBK" w:cs="方正仿宋_GBK"/>
          <w:sz w:val="28"/>
          <w:szCs w:val="28"/>
        </w:rPr>
        <w:t>）《银行办理结售汇业务管理办法》（中国人民银行令</w:t>
      </w:r>
      <w:r>
        <w:rPr>
          <w:rFonts w:ascii="Times New Roman" w:hAnsi="Times New Roman" w:eastAsia="方正仿宋_GBK" w:cs="方正仿宋_GBK"/>
          <w:sz w:val="28"/>
          <w:szCs w:val="28"/>
        </w:rPr>
        <w:t>2014</w:t>
      </w:r>
      <w:r>
        <w:rPr>
          <w:rFonts w:ascii="Times New Roman" w:hAnsi="方正仿宋_GBK" w:eastAsia="方正仿宋_GBK" w:cs="方正仿宋_GBK"/>
          <w:sz w:val="28"/>
          <w:szCs w:val="28"/>
        </w:rPr>
        <w:t>年</w:t>
      </w:r>
      <w:r>
        <w:rPr>
          <w:rFonts w:ascii="Times New Roman" w:hAnsi="Times New Roman" w:eastAsia="方正仿宋_GBK" w:cs="方正仿宋_GBK"/>
          <w:sz w:val="28"/>
          <w:szCs w:val="28"/>
        </w:rPr>
        <w:t>2</w:t>
      </w:r>
      <w:r>
        <w:rPr>
          <w:rFonts w:ascii="Times New Roman" w:hAnsi="方正仿宋_GBK" w:eastAsia="方正仿宋_GBK" w:cs="方正仿宋_GBK"/>
          <w:sz w:val="28"/>
          <w:szCs w:val="28"/>
        </w:rPr>
        <w:t>号）第三条</w:t>
      </w:r>
    </w:p>
    <w:p>
      <w:pPr>
        <w:spacing w:line="540" w:lineRule="exact"/>
        <w:ind w:firstLine="560" w:firstLineChars="200"/>
        <w:outlineLvl w:val="2"/>
        <w:rPr>
          <w:rFonts w:ascii="Times New Roman" w:hAnsi="Times New Roman" w:eastAsia="方正仿宋_GBK" w:cs="方正仿宋_GBK"/>
          <w:sz w:val="28"/>
          <w:szCs w:val="28"/>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3</w:t>
      </w:r>
      <w:r>
        <w:rPr>
          <w:rFonts w:ascii="Times New Roman" w:hAnsi="方正仿宋_GBK" w:eastAsia="方正仿宋_GBK" w:cs="方正仿宋_GBK"/>
          <w:sz w:val="28"/>
          <w:szCs w:val="28"/>
        </w:rPr>
        <w:t>）《银行办理结售汇业务管理办法实施细则》（汇发〔</w:t>
      </w:r>
      <w:r>
        <w:rPr>
          <w:rFonts w:ascii="Times New Roman" w:hAnsi="Times New Roman" w:eastAsia="方正仿宋_GBK" w:cs="方正仿宋_GBK"/>
          <w:sz w:val="28"/>
          <w:szCs w:val="28"/>
        </w:rPr>
        <w:t>2014</w:t>
      </w: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53</w:t>
      </w:r>
      <w:r>
        <w:rPr>
          <w:rFonts w:ascii="Times New Roman" w:hAnsi="方正仿宋_GBK" w:eastAsia="方正仿宋_GBK" w:cs="方正仿宋_GBK"/>
          <w:sz w:val="28"/>
          <w:szCs w:val="28"/>
        </w:rPr>
        <w:t>号文印发）第十二条</w:t>
      </w:r>
    </w:p>
    <w:p>
      <w:pPr>
        <w:spacing w:line="540" w:lineRule="exact"/>
        <w:ind w:firstLine="560" w:firstLineChars="200"/>
        <w:outlineLvl w:val="2"/>
        <w:rPr>
          <w:rFonts w:ascii="Times New Roman" w:hAnsi="Times New Roman" w:eastAsia="方正仿宋_GBK" w:cs="方正仿宋_GBK"/>
          <w:sz w:val="28"/>
          <w:szCs w:val="28"/>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4</w:t>
      </w:r>
      <w:r>
        <w:rPr>
          <w:rFonts w:ascii="Times New Roman" w:hAnsi="方正仿宋_GBK" w:eastAsia="方正仿宋_GBK" w:cs="方正仿宋_GBK"/>
          <w:sz w:val="28"/>
          <w:szCs w:val="28"/>
        </w:rPr>
        <w:t>）《国家外汇管理局行政许可实施办法》（国家外汇管理局公告</w:t>
      </w:r>
      <w:r>
        <w:rPr>
          <w:rFonts w:ascii="Times New Roman" w:hAnsi="Times New Roman" w:eastAsia="方正仿宋_GBK" w:cs="方正仿宋_GBK"/>
          <w:sz w:val="28"/>
          <w:szCs w:val="28"/>
        </w:rPr>
        <w:t>2021</w:t>
      </w:r>
      <w:r>
        <w:rPr>
          <w:rFonts w:ascii="Times New Roman" w:hAnsi="方正仿宋_GBK" w:eastAsia="方正仿宋_GBK" w:cs="方正仿宋_GBK"/>
          <w:sz w:val="28"/>
          <w:szCs w:val="28"/>
        </w:rPr>
        <w:t>年第</w:t>
      </w: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号）</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6.监管依据</w:t>
      </w:r>
    </w:p>
    <w:p>
      <w:pPr>
        <w:spacing w:line="540" w:lineRule="exact"/>
        <w:ind w:firstLine="560" w:firstLineChars="200"/>
        <w:outlineLvl w:val="2"/>
        <w:rPr>
          <w:rFonts w:ascii="Times New Roman" w:hAnsi="Times New Roman" w:eastAsia="方正仿宋_GBK" w:cs="方正仿宋_GBK"/>
          <w:sz w:val="28"/>
          <w:szCs w:val="28"/>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）《中华人民共和国外汇管理条例》</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实施机关</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国家外汇局地（市）分局</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审批层级</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国家级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9.行使</w:t>
      </w:r>
      <w:r>
        <w:rPr>
          <w:rFonts w:ascii="Times New Roman" w:hAnsi="Times New Roman" w:eastAsia="仿宋GB2312"/>
          <w:b/>
          <w:bCs/>
          <w:sz w:val="28"/>
          <w:szCs w:val="28"/>
        </w:rPr>
        <w:t>层级</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市级</w:t>
      </w:r>
      <w:r>
        <w:rPr>
          <w:rFonts w:ascii="Times New Roman" w:hAnsi="Times New Roman" w:eastAsia="方正仿宋_GBK" w:cs="方正仿宋_GBK"/>
          <w:sz w:val="28"/>
          <w:szCs w:val="28"/>
        </w:rPr>
        <w:t>/</w:t>
      </w:r>
      <w:r>
        <w:rPr>
          <w:rFonts w:ascii="Times New Roman" w:hAnsi="方正仿宋_GBK" w:eastAsia="方正仿宋_GBK" w:cs="方正仿宋_GBK"/>
          <w:sz w:val="28"/>
          <w:szCs w:val="28"/>
        </w:rPr>
        <w:t>隶属</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是否由审批机关受理</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是</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11.</w:t>
      </w:r>
      <w:r>
        <w:rPr>
          <w:rFonts w:ascii="Times New Roman" w:hAnsi="Times New Roman" w:eastAsia="仿宋GB2312"/>
          <w:b/>
          <w:bCs/>
          <w:sz w:val="28"/>
          <w:szCs w:val="28"/>
        </w:rPr>
        <w:t>受理层级</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设区的市级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12.</w:t>
      </w:r>
      <w:r>
        <w:rPr>
          <w:rFonts w:ascii="Times New Roman" w:hAnsi="Times New Roman" w:eastAsia="仿宋GB2312"/>
          <w:b/>
          <w:bCs/>
          <w:sz w:val="28"/>
          <w:szCs w:val="28"/>
        </w:rPr>
        <w:t>是否存在初审环节</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highlight w:val="yellow"/>
        </w:rPr>
      </w:pPr>
      <w:r>
        <w:rPr>
          <w:rFonts w:hint="eastAsia" w:ascii="Times New Roman" w:hAnsi="Times New Roman" w:eastAsia="仿宋GB2312"/>
          <w:b/>
          <w:bCs/>
          <w:sz w:val="28"/>
          <w:szCs w:val="28"/>
        </w:rPr>
        <w:t>13.</w:t>
      </w:r>
      <w:r>
        <w:rPr>
          <w:rFonts w:ascii="Times New Roman" w:hAnsi="Times New Roman" w:eastAsia="仿宋GB2312"/>
          <w:b/>
          <w:bCs/>
          <w:sz w:val="28"/>
          <w:szCs w:val="28"/>
        </w:rPr>
        <w:t>初审层级</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无</w:t>
      </w:r>
    </w:p>
    <w:p>
      <w:pPr>
        <w:spacing w:line="600" w:lineRule="exact"/>
        <w:ind w:firstLine="562" w:firstLineChars="200"/>
        <w:jc w:val="left"/>
        <w:rPr>
          <w:rFonts w:ascii="Times New Roman" w:hAnsi="Times New Roman" w:eastAsia="方正仿宋_GBK" w:cs="方正仿宋_GBK"/>
          <w:sz w:val="28"/>
          <w:szCs w:val="28"/>
        </w:rPr>
      </w:pPr>
      <w:r>
        <w:rPr>
          <w:rFonts w:hint="eastAsia" w:ascii="Times New Roman" w:hAnsi="Times New Roman" w:eastAsia="仿宋GB2312"/>
          <w:b/>
          <w:bCs/>
          <w:sz w:val="28"/>
          <w:szCs w:val="28"/>
        </w:rPr>
        <w:t>14.</w:t>
      </w:r>
      <w:r>
        <w:rPr>
          <w:rFonts w:ascii="Times New Roman" w:hAnsi="Times New Roman" w:eastAsia="仿宋GB2312"/>
          <w:b/>
          <w:bCs/>
          <w:sz w:val="28"/>
          <w:szCs w:val="28"/>
        </w:rPr>
        <w:t>对应政务服务事项国家级基本目录名称</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银行（含农村信用社）即期结售汇业务市场准入</w:t>
      </w:r>
    </w:p>
    <w:p>
      <w:pPr>
        <w:spacing w:line="600" w:lineRule="exact"/>
        <w:ind w:firstLine="562" w:firstLineChars="200"/>
        <w:jc w:val="left"/>
        <w:rPr>
          <w:rFonts w:ascii="Times New Roman" w:hAnsi="Times New Roman" w:eastAsia="方正仿宋_GBK" w:cs="方正仿宋_GBK"/>
          <w:sz w:val="28"/>
          <w:szCs w:val="28"/>
        </w:rPr>
      </w:pPr>
      <w:r>
        <w:rPr>
          <w:rFonts w:hint="eastAsia" w:ascii="Times New Roman" w:hAnsi="Times New Roman" w:eastAsia="仿宋GB2312"/>
          <w:b/>
          <w:bCs/>
          <w:sz w:val="28"/>
          <w:szCs w:val="28"/>
        </w:rPr>
        <w:t>15.要素统一情况：</w:t>
      </w:r>
      <w:r>
        <w:rPr>
          <w:rFonts w:hint="eastAsia" w:ascii="Times New Roman" w:hAnsi="方正仿宋_GBK" w:eastAsia="方正仿宋_GBK" w:cs="方正仿宋_GBK"/>
          <w:sz w:val="28"/>
          <w:szCs w:val="28"/>
        </w:rPr>
        <w:t>全部要素全国统一</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二、行政许可事项类型</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条件型</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三、行政许可条件</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1.准予行政许可的条件</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银行总行及申请机构的上级分支行应具备完善的结售汇业务管理制度，即执行外汇管理规定情况考核等级最近一次为</w:t>
      </w:r>
      <w:r>
        <w:rPr>
          <w:rFonts w:ascii="Times New Roman" w:hAnsi="Times New Roman" w:eastAsia="方正仿宋_GBK" w:cs="方正仿宋_GBK"/>
          <w:sz w:val="28"/>
          <w:szCs w:val="28"/>
        </w:rPr>
        <w:t>B</w:t>
      </w:r>
      <w:r>
        <w:rPr>
          <w:rFonts w:ascii="Times New Roman" w:hAnsi="方正仿宋_GBK" w:eastAsia="方正仿宋_GBK" w:cs="方正仿宋_GBK"/>
          <w:sz w:val="28"/>
          <w:szCs w:val="28"/>
        </w:rPr>
        <w:t>级以上。</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规定行政许可条件的依据</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）《银行办理结售汇业务管理办法实施细则》（汇发〔</w:t>
      </w:r>
      <w:r>
        <w:rPr>
          <w:rFonts w:ascii="Times New Roman" w:hAnsi="Times New Roman" w:eastAsia="方正仿宋_GBK" w:cs="方正仿宋_GBK"/>
          <w:sz w:val="28"/>
          <w:szCs w:val="28"/>
        </w:rPr>
        <w:t>2014</w:t>
      </w: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53</w:t>
      </w:r>
      <w:r>
        <w:rPr>
          <w:rFonts w:ascii="Times New Roman" w:hAnsi="方正仿宋_GBK" w:eastAsia="方正仿宋_GBK" w:cs="方正仿宋_GBK"/>
          <w:sz w:val="28"/>
          <w:szCs w:val="28"/>
        </w:rPr>
        <w:t>号文印发）第十二条银行分支机构申请办理即期结售汇业务，按照下列规定执行：</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（一）银行总行及申请机构的上级分支行应具备完善的结售汇业务管理制度，即执行外汇管理规定情况考核等级最近一次为</w:t>
      </w:r>
      <w:r>
        <w:rPr>
          <w:rFonts w:ascii="Times New Roman" w:hAnsi="Times New Roman" w:eastAsia="方正仿宋_GBK" w:cs="方正仿宋_GBK"/>
          <w:sz w:val="28"/>
          <w:szCs w:val="28"/>
        </w:rPr>
        <w:t>B</w:t>
      </w:r>
      <w:r>
        <w:rPr>
          <w:rFonts w:ascii="Times New Roman" w:hAnsi="方正仿宋_GBK" w:eastAsia="方正仿宋_GBK" w:cs="方正仿宋_GBK"/>
          <w:sz w:val="28"/>
          <w:szCs w:val="28"/>
        </w:rPr>
        <w:t>级以上。</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四、</w:t>
      </w:r>
      <w:r>
        <w:rPr>
          <w:rFonts w:ascii="Times New Roman" w:hAnsi="Times New Roman" w:eastAsia="黑体"/>
          <w:sz w:val="28"/>
          <w:szCs w:val="28"/>
        </w:rPr>
        <w:t>行政许可服务对象类型</w:t>
      </w:r>
      <w:r>
        <w:rPr>
          <w:rFonts w:hint="eastAsia" w:ascii="Times New Roman" w:hAnsi="Times New Roman" w:eastAsia="黑体"/>
          <w:sz w:val="28"/>
          <w:szCs w:val="28"/>
        </w:rPr>
        <w:t>与改革举措</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1.服务对象类型：</w:t>
      </w:r>
      <w:r>
        <w:rPr>
          <w:rFonts w:ascii="Times New Roman" w:hAnsi="方正仿宋_GBK" w:eastAsia="方正仿宋_GBK" w:cs="方正仿宋_GBK"/>
          <w:sz w:val="28"/>
          <w:szCs w:val="28"/>
        </w:rPr>
        <w:t>企业法人</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2.是否为涉企许可事项：</w:t>
      </w:r>
      <w:r>
        <w:rPr>
          <w:rFonts w:ascii="Times New Roman" w:hAnsi="方正仿宋_GBK" w:eastAsia="方正仿宋_GBK" w:cs="方正仿宋_GBK"/>
          <w:sz w:val="28"/>
          <w:szCs w:val="28"/>
        </w:rPr>
        <w:t>是</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3.涉企经营许可事项名称：</w:t>
      </w:r>
      <w:r>
        <w:rPr>
          <w:rFonts w:ascii="Times New Roman" w:hAnsi="方正仿宋_GBK" w:eastAsia="方正仿宋_GBK" w:cs="方正仿宋_GBK"/>
          <w:sz w:val="28"/>
          <w:szCs w:val="28"/>
        </w:rPr>
        <w:t>银行、农村信用社、兑换机构及非金融机构等结汇、售汇业务市场准入、退出审批</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4.许可证件名称：</w:t>
      </w:r>
      <w:r>
        <w:rPr>
          <w:rFonts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5.改革方式：</w:t>
      </w:r>
      <w:r>
        <w:rPr>
          <w:rFonts w:ascii="Times New Roman" w:hAnsi="方正仿宋_GBK" w:eastAsia="方正仿宋_GBK" w:cs="方正仿宋_GBK"/>
          <w:sz w:val="28"/>
          <w:szCs w:val="28"/>
        </w:rPr>
        <w:t>优化审批服务</w:t>
      </w:r>
    </w:p>
    <w:p>
      <w:pPr>
        <w:spacing w:line="54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6.具体改革举措</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实现预审、审批进度和结果网上查询，推动实现全程网上办理。</w:t>
      </w:r>
    </w:p>
    <w:p>
      <w:pPr>
        <w:spacing w:line="54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7.加强事中事后监管措施</w:t>
      </w:r>
    </w:p>
    <w:p>
      <w:pPr>
        <w:spacing w:line="600" w:lineRule="exact"/>
        <w:ind w:firstLine="560" w:firstLineChars="200"/>
        <w:rPr>
          <w:rFonts w:ascii="Times New Roman" w:hAnsi="Times New Roman" w:eastAsia="方正仿宋_GBK" w:cs="方正仿宋_GBK"/>
          <w:sz w:val="28"/>
          <w:szCs w:val="28"/>
        </w:rPr>
      </w:pP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开展</w:t>
      </w:r>
      <w:r>
        <w:rPr>
          <w:rFonts w:ascii="Times New Roman" w:hAnsi="Times New Roman" w:eastAsia="方正仿宋_GBK" w:cs="方正仿宋_GBK"/>
          <w:sz w:val="28"/>
          <w:szCs w:val="28"/>
        </w:rPr>
        <w:t>“</w:t>
      </w:r>
      <w:r>
        <w:rPr>
          <w:rFonts w:ascii="Times New Roman" w:hAnsi="方正仿宋_GBK" w:eastAsia="方正仿宋_GBK" w:cs="方正仿宋_GBK"/>
          <w:sz w:val="28"/>
          <w:szCs w:val="28"/>
        </w:rPr>
        <w:t>双随机、一公开</w:t>
      </w:r>
      <w:r>
        <w:rPr>
          <w:rFonts w:ascii="Times New Roman" w:hAnsi="Times New Roman" w:eastAsia="方正仿宋_GBK" w:cs="方正仿宋_GBK"/>
          <w:sz w:val="28"/>
          <w:szCs w:val="28"/>
        </w:rPr>
        <w:t>”</w:t>
      </w:r>
      <w:r>
        <w:rPr>
          <w:rFonts w:ascii="Times New Roman" w:hAnsi="方正仿宋_GBK" w:eastAsia="方正仿宋_GBK" w:cs="方正仿宋_GBK"/>
          <w:sz w:val="28"/>
          <w:szCs w:val="28"/>
        </w:rPr>
        <w:t>监管，依法查处违规行为，适时公开相关案例。</w:t>
      </w:r>
      <w:r>
        <w:rPr>
          <w:rFonts w:ascii="Times New Roman" w:hAnsi="Times New Roman" w:eastAsia="方正仿宋_GBK" w:cs="方正仿宋_GBK"/>
          <w:sz w:val="28"/>
          <w:szCs w:val="28"/>
        </w:rPr>
        <w:t>2.</w:t>
      </w:r>
      <w:r>
        <w:rPr>
          <w:rFonts w:ascii="Times New Roman" w:hAnsi="方正仿宋_GBK" w:eastAsia="方正仿宋_GBK" w:cs="方正仿宋_GBK"/>
          <w:sz w:val="28"/>
          <w:szCs w:val="28"/>
        </w:rPr>
        <w:t>依法及时处理投诉举报。</w:t>
      </w:r>
      <w:r>
        <w:rPr>
          <w:rFonts w:ascii="Times New Roman" w:hAnsi="Times New Roman" w:eastAsia="方正仿宋_GBK" w:cs="方正仿宋_GBK"/>
          <w:sz w:val="28"/>
          <w:szCs w:val="28"/>
        </w:rPr>
        <w:t>3.</w:t>
      </w:r>
      <w:r>
        <w:rPr>
          <w:rFonts w:ascii="Times New Roman" w:hAnsi="方正仿宋_GBK" w:eastAsia="方正仿宋_GBK" w:cs="方正仿宋_GBK"/>
          <w:sz w:val="28"/>
          <w:szCs w:val="28"/>
        </w:rPr>
        <w:t>开展数据统计与监测，掌握外汇业务情况。</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五、申请材料</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1.申请材料名称</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《银行办理即期结售汇业务备案表》</w:t>
      </w:r>
      <w:r>
        <w:rPr>
          <w:rFonts w:hint="eastAsia" w:ascii="Times New Roman" w:hAnsi="Times New Roman" w:eastAsia="方正仿宋_GBK" w:cs="方正仿宋_GBK"/>
          <w:sz w:val="28"/>
          <w:szCs w:val="28"/>
        </w:rPr>
        <w:t>2</w:t>
      </w:r>
      <w:r>
        <w:rPr>
          <w:rFonts w:hint="eastAsia" w:ascii="Times New Roman" w:hAnsi="方正仿宋_GBK" w:eastAsia="方正仿宋_GBK" w:cs="方正仿宋_GBK"/>
          <w:sz w:val="28"/>
          <w:szCs w:val="28"/>
        </w:rPr>
        <w:t>份。</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《金融许可证》复印件（加盖银行公章）</w:t>
      </w:r>
      <w:r>
        <w:rPr>
          <w:rFonts w:hint="eastAsia" w:ascii="Times New Roman" w:hAnsi="Times New Roman" w:eastAsia="方正仿宋_GBK" w:cs="方正仿宋_GBK"/>
          <w:sz w:val="28"/>
          <w:szCs w:val="28"/>
        </w:rPr>
        <w:t>1</w:t>
      </w:r>
      <w:r>
        <w:rPr>
          <w:rFonts w:hint="eastAsia" w:ascii="Times New Roman" w:hAnsi="方正仿宋_GBK" w:eastAsia="方正仿宋_GBK" w:cs="方正仿宋_GBK"/>
          <w:sz w:val="28"/>
          <w:szCs w:val="28"/>
        </w:rPr>
        <w:t>份。</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规定申请材料的依据</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w:t>
      </w:r>
      <w:r>
        <w:rPr>
          <w:rFonts w:hint="eastAsia" w:ascii="Times New Roman" w:hAnsi="Times New Roman" w:eastAsia="方正仿宋_GBK" w:cs="方正仿宋_GBK"/>
          <w:sz w:val="28"/>
          <w:szCs w:val="28"/>
        </w:rPr>
        <w:t>1</w:t>
      </w:r>
      <w:r>
        <w:rPr>
          <w:rFonts w:hint="eastAsia" w:ascii="Times New Roman" w:hAnsi="方正仿宋_GBK" w:eastAsia="方正仿宋_GBK" w:cs="方正仿宋_GBK"/>
          <w:sz w:val="28"/>
          <w:szCs w:val="28"/>
        </w:rPr>
        <w:t>）《银行办理结售汇业务管理办法实施细则》（汇发〔</w:t>
      </w:r>
      <w:r>
        <w:rPr>
          <w:rFonts w:hint="eastAsia" w:ascii="Times New Roman" w:hAnsi="Times New Roman" w:eastAsia="方正仿宋_GBK" w:cs="方正仿宋_GBK"/>
          <w:sz w:val="28"/>
          <w:szCs w:val="28"/>
        </w:rPr>
        <w:t>2014</w:t>
      </w:r>
      <w:r>
        <w:rPr>
          <w:rFonts w:hint="eastAsia" w:ascii="Times New Roman" w:hAnsi="方正仿宋_GBK" w:eastAsia="方正仿宋_GBK" w:cs="方正仿宋_GBK"/>
          <w:sz w:val="28"/>
          <w:szCs w:val="28"/>
        </w:rPr>
        <w:t>〕</w:t>
      </w:r>
      <w:r>
        <w:rPr>
          <w:rFonts w:hint="eastAsia" w:ascii="Times New Roman" w:hAnsi="Times New Roman" w:eastAsia="方正仿宋_GBK" w:cs="方正仿宋_GBK"/>
          <w:sz w:val="28"/>
          <w:szCs w:val="28"/>
        </w:rPr>
        <w:t>53</w:t>
      </w:r>
      <w:r>
        <w:rPr>
          <w:rFonts w:hint="eastAsia" w:ascii="Times New Roman" w:hAnsi="方正仿宋_GBK" w:eastAsia="方正仿宋_GBK" w:cs="方正仿宋_GBK"/>
          <w:sz w:val="28"/>
          <w:szCs w:val="28"/>
        </w:rPr>
        <w:t>号文印发）第十二条第二款银行分支机构应持下列材料履行事前备案手续：</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1.</w:t>
      </w:r>
      <w:r>
        <w:rPr>
          <w:rFonts w:hint="eastAsia" w:ascii="Times New Roman" w:hAnsi="方正仿宋_GBK" w:eastAsia="方正仿宋_GBK" w:cs="方正仿宋_GBK"/>
          <w:sz w:val="28"/>
          <w:szCs w:val="28"/>
        </w:rPr>
        <w:t>银行分行办理即期结售汇业务，持《银行办理即期结售汇业务备案表》（见附</w:t>
      </w:r>
      <w:r>
        <w:rPr>
          <w:rFonts w:hint="eastAsia" w:ascii="Times New Roman" w:hAnsi="Times New Roman" w:eastAsia="方正仿宋_GBK" w:cs="方正仿宋_GBK"/>
          <w:sz w:val="28"/>
          <w:szCs w:val="28"/>
        </w:rPr>
        <w:t>1</w:t>
      </w:r>
      <w:r>
        <w:rPr>
          <w:rFonts w:hint="eastAsia" w:ascii="Times New Roman" w:hAnsi="方正仿宋_GBK" w:eastAsia="方正仿宋_GBK" w:cs="方正仿宋_GBK"/>
          <w:sz w:val="28"/>
          <w:szCs w:val="28"/>
        </w:rPr>
        <w:t>）一式两份，总行及上级分行执行外汇管理规定情况考核等级证明材料，并按照第九条（一）、（二）、（四）、（五）提供材料，向所在地外汇局分支局备案。</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2.</w:t>
      </w:r>
      <w:r>
        <w:rPr>
          <w:rFonts w:hint="eastAsia" w:ascii="Times New Roman" w:hAnsi="方正仿宋_GBK" w:eastAsia="方正仿宋_GBK" w:cs="方正仿宋_GBK"/>
          <w:sz w:val="28"/>
          <w:szCs w:val="28"/>
        </w:rPr>
        <w:t>银行支行及下辖机构办理即期结售汇业务，持《银行办理即期结售汇业务备案表》一式两份，金融许可证复印件、总行及上级分支行执行外汇管理规定情况考核等级证明材料，向所在地外汇局分支局备案。其中，下辖机构可以由支行集中办理备案手续，但只能在下辖机构所在地外汇局分支局办理。</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六、中介服务</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1.有无法定中介服务事项：</w:t>
      </w:r>
      <w:r>
        <w:rPr>
          <w:rFonts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方正仿宋_GBK" w:cs="方正仿宋_GBK"/>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中介服务事项名称</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设定中介服务事项的依据</w:t>
      </w:r>
    </w:p>
    <w:p>
      <w:pPr>
        <w:spacing w:line="600" w:lineRule="exact"/>
        <w:ind w:firstLine="560" w:firstLineChars="200"/>
        <w:rPr>
          <w:rFonts w:ascii="Times New Roman" w:hAnsi="Times New Roman" w:eastAsia="仿宋GB2312"/>
          <w:sz w:val="28"/>
          <w:szCs w:val="28"/>
        </w:rPr>
      </w:pPr>
      <w:r>
        <w:rPr>
          <w:rFonts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提供中介服务的机构</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中介服务事项的收费性质</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七、审批程序</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1.办理行政许可的程序环节</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申请人申请；</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审批机构受理</w:t>
      </w:r>
      <w:r>
        <w:rPr>
          <w:rFonts w:ascii="Times New Roman" w:hAnsi="Times New Roman" w:eastAsia="方正仿宋_GBK" w:cs="方正仿宋_GBK"/>
          <w:sz w:val="28"/>
          <w:szCs w:val="28"/>
        </w:rPr>
        <w:t>/</w:t>
      </w:r>
      <w:r>
        <w:rPr>
          <w:rFonts w:ascii="Times New Roman" w:hAnsi="方正仿宋_GBK" w:eastAsia="方正仿宋_GBK" w:cs="方正仿宋_GBK"/>
          <w:sz w:val="28"/>
          <w:szCs w:val="28"/>
        </w:rPr>
        <w:t>不予受理；</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审批机构审查；</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决定作出许可决定书</w:t>
      </w:r>
      <w:r>
        <w:rPr>
          <w:rFonts w:ascii="Times New Roman" w:hAnsi="Times New Roman" w:eastAsia="方正仿宋_GBK" w:cs="方正仿宋_GBK"/>
          <w:sz w:val="28"/>
          <w:szCs w:val="28"/>
        </w:rPr>
        <w:t>/</w:t>
      </w:r>
      <w:r>
        <w:rPr>
          <w:rFonts w:ascii="Times New Roman" w:hAnsi="方正仿宋_GBK" w:eastAsia="方正仿宋_GBK" w:cs="方正仿宋_GBK"/>
          <w:sz w:val="28"/>
          <w:szCs w:val="28"/>
        </w:rPr>
        <w:t>不予许可决定书。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2.规定行政许可程序的依据</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）《国家外汇管理局行政许可实施办法》（国家外汇管理局公告</w:t>
      </w:r>
      <w:r>
        <w:rPr>
          <w:rFonts w:ascii="Times New Roman" w:hAnsi="Times New Roman" w:eastAsia="方正仿宋_GBK" w:cs="方正仿宋_GBK"/>
          <w:sz w:val="28"/>
          <w:szCs w:val="28"/>
        </w:rPr>
        <w:t>2021</w:t>
      </w:r>
      <w:r>
        <w:rPr>
          <w:rFonts w:ascii="Times New Roman" w:hAnsi="方正仿宋_GBK" w:eastAsia="方正仿宋_GBK" w:cs="方正仿宋_GBK"/>
          <w:sz w:val="28"/>
          <w:szCs w:val="28"/>
        </w:rPr>
        <w:t>年第</w:t>
      </w: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号）第十条外汇局收到行政许可申请后，应区分下列情况分别作出处理：</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（一）申请事项属于本局职责范围，但依法不需要取得行政许可的，应即时告知申请人不受理，出具不予受理行政许可通知书；</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（二）申请事项不属于本局职责范围，应即时作出不予受理的决定，出具不予受理行政许可通知书，并告知申请人向有关行政机关申请；</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（三）申请事项属于本局职责范围，但申请材料不齐全或不符合法定形式的，应当场或在收到申请材料之日起</w:t>
      </w:r>
      <w:r>
        <w:rPr>
          <w:rFonts w:ascii="Times New Roman" w:hAnsi="Times New Roman" w:eastAsia="方正仿宋_GBK" w:cs="方正仿宋_GBK"/>
          <w:sz w:val="28"/>
          <w:szCs w:val="28"/>
        </w:rPr>
        <w:t>5</w:t>
      </w:r>
      <w:r>
        <w:rPr>
          <w:rFonts w:ascii="Times New Roman" w:hAnsi="方正仿宋_GBK" w:eastAsia="方正仿宋_GBK" w:cs="方正仿宋_GBK"/>
          <w:sz w:val="28"/>
          <w:szCs w:val="28"/>
        </w:rPr>
        <w:t>个工作日内作出要求申请人补正材料的决定，出具补正告知书，一次性告知申请人需要补正的全部内容；逾期不告知的，自收到申请材料之日起即为受理；</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申请人拒不补正，或者自补正告知书送达之日起</w:t>
      </w:r>
      <w:r>
        <w:rPr>
          <w:rFonts w:ascii="Times New Roman" w:hAnsi="Times New Roman" w:eastAsia="方正仿宋_GBK" w:cs="方正仿宋_GBK"/>
          <w:sz w:val="28"/>
          <w:szCs w:val="28"/>
        </w:rPr>
        <w:t>30</w:t>
      </w:r>
      <w:r>
        <w:rPr>
          <w:rFonts w:ascii="Times New Roman" w:hAnsi="方正仿宋_GBK" w:eastAsia="方正仿宋_GBK" w:cs="方正仿宋_GBK"/>
          <w:sz w:val="28"/>
          <w:szCs w:val="28"/>
        </w:rPr>
        <w:t>日内未能提交全部且符合法定形式的补正材料的，应不予受理，出具不予受理行政许可通知书；</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申请材料存在文字笔误等可当场更正的错误的，应允许申请人当场更正，并告知其在修改处签字或盖章确认；</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（四）申请事项属于本局职责范围，申请材料齐全、符合法定形式，或者申请人按照要求提交全部补正申请材料的，应受理行政许可申请，出具行政许可受理通知书。</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2</w:t>
      </w:r>
      <w:r>
        <w:rPr>
          <w:rFonts w:ascii="Times New Roman" w:hAnsi="方正仿宋_GBK" w:eastAsia="方正仿宋_GBK" w:cs="方正仿宋_GBK"/>
          <w:sz w:val="28"/>
          <w:szCs w:val="28"/>
        </w:rPr>
        <w:t>）《国家外汇管理局行政许可实施办法》（国家外汇管理局公告</w:t>
      </w:r>
      <w:r>
        <w:rPr>
          <w:rFonts w:ascii="Times New Roman" w:hAnsi="Times New Roman" w:eastAsia="方正仿宋_GBK" w:cs="方正仿宋_GBK"/>
          <w:sz w:val="28"/>
          <w:szCs w:val="28"/>
        </w:rPr>
        <w:t>2021</w:t>
      </w:r>
      <w:r>
        <w:rPr>
          <w:rFonts w:ascii="Times New Roman" w:hAnsi="方正仿宋_GBK" w:eastAsia="方正仿宋_GBK" w:cs="方正仿宋_GBK"/>
          <w:sz w:val="28"/>
          <w:szCs w:val="28"/>
        </w:rPr>
        <w:t>年第</w:t>
      </w: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号）第十四条外汇局对行政许可申请审查后，应区分下列情况分别作出处理：</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（二）申请不符合法定条件、拟不予行政许可的，应出具不予行政许可决定书，并说明不予行政许可的理由，告知申请人享有依法申请行政复议的权利。</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是否需要现场勘验</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是否需要组织听证</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是否需要招标、拍卖、挂牌交易</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6.</w:t>
      </w:r>
      <w:r>
        <w:rPr>
          <w:rFonts w:ascii="Times New Roman" w:hAnsi="Times New Roman" w:eastAsia="仿宋GB2312"/>
          <w:b/>
          <w:bCs/>
          <w:sz w:val="28"/>
          <w:szCs w:val="28"/>
        </w:rPr>
        <w:t>是否需要检验、检测、检疫</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是否需要鉴定</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是否需要专家评审</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w:t>
      </w:r>
      <w:r>
        <w:rPr>
          <w:rFonts w:ascii="Times New Roman" w:hAnsi="Times New Roman" w:eastAsia="仿宋GB2312"/>
          <w:b/>
          <w:bCs/>
          <w:sz w:val="28"/>
          <w:szCs w:val="28"/>
        </w:rPr>
        <w:t>是否需要向社会公示</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是否实行告知承诺办理</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否</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11.审批机关是否委托服务机构开展技术性服务：</w:t>
      </w:r>
      <w:r>
        <w:rPr>
          <w:rFonts w:hint="eastAsia" w:ascii="Times New Roman" w:hAnsi="方正仿宋_GBK" w:eastAsia="方正仿宋_GBK" w:cs="方正仿宋_GBK"/>
          <w:sz w:val="28"/>
          <w:szCs w:val="28"/>
        </w:rPr>
        <w:t>否</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八、受理和审批时限</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1.承诺受理时限：</w:t>
      </w:r>
      <w:r>
        <w:rPr>
          <w:rFonts w:ascii="Times New Roman" w:hAnsi="Times New Roman" w:eastAsia="方正仿宋_GBK" w:cs="方正仿宋_GBK"/>
          <w:sz w:val="28"/>
          <w:szCs w:val="28"/>
        </w:rPr>
        <w:t>5</w:t>
      </w:r>
      <w:r>
        <w:rPr>
          <w:rFonts w:ascii="Times New Roman" w:hAnsi="方正仿宋_GBK" w:eastAsia="方正仿宋_GBK" w:cs="方正仿宋_GBK"/>
          <w:sz w:val="28"/>
          <w:szCs w:val="28"/>
        </w:rPr>
        <w:t>个工作日</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2.法定审批时限：</w:t>
      </w:r>
      <w:r>
        <w:rPr>
          <w:rFonts w:hint="eastAsia" w:ascii="Times New Roman" w:hAnsi="Times New Roman" w:eastAsia="方正仿宋_GBK" w:cs="方正仿宋_GBK"/>
          <w:sz w:val="28"/>
          <w:szCs w:val="28"/>
        </w:rPr>
        <w:t>20</w:t>
      </w:r>
      <w:r>
        <w:rPr>
          <w:rFonts w:hint="eastAsia" w:ascii="Times New Roman" w:hAnsi="方正仿宋_GBK" w:eastAsia="方正仿宋_GBK" w:cs="方正仿宋_GBK"/>
          <w:sz w:val="28"/>
          <w:szCs w:val="28"/>
        </w:rPr>
        <w:t>个工作日</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3.规定法定审批时限依据</w:t>
      </w:r>
    </w:p>
    <w:p>
      <w:pPr>
        <w:spacing w:line="600" w:lineRule="exact"/>
        <w:ind w:firstLine="560" w:firstLineChars="200"/>
        <w:rPr>
          <w:rFonts w:ascii="Times New Roman" w:hAnsi="Times New Roman" w:eastAsia="仿宋GB2312"/>
          <w:sz w:val="32"/>
          <w:szCs w:val="32"/>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）《国家外汇管理局行政许可实施办法》（国家外汇管理局公告</w:t>
      </w:r>
      <w:r>
        <w:rPr>
          <w:rFonts w:ascii="Times New Roman" w:hAnsi="Times New Roman" w:eastAsia="方正仿宋_GBK" w:cs="方正仿宋_GBK"/>
          <w:sz w:val="28"/>
          <w:szCs w:val="28"/>
        </w:rPr>
        <w:t>2021</w:t>
      </w:r>
      <w:r>
        <w:rPr>
          <w:rFonts w:ascii="Times New Roman" w:hAnsi="方正仿宋_GBK" w:eastAsia="方正仿宋_GBK" w:cs="方正仿宋_GBK"/>
          <w:sz w:val="28"/>
          <w:szCs w:val="28"/>
        </w:rPr>
        <w:t>年第</w:t>
      </w: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号）第十五条外汇局应根据以下要求确保行政许可依法按时完成：</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（一）能当场作出决定的，应当场作出行政许可决定。当场作出行政许可决定的，可不出具行政许可受理通知书；</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（二）不能当场作出决定的，应自受理之日起</w:t>
      </w:r>
      <w:r>
        <w:rPr>
          <w:rFonts w:ascii="Times New Roman" w:hAnsi="Times New Roman" w:eastAsia="方正仿宋_GBK" w:cs="方正仿宋_GBK"/>
          <w:sz w:val="28"/>
          <w:szCs w:val="28"/>
        </w:rPr>
        <w:t>20</w:t>
      </w:r>
      <w:r>
        <w:rPr>
          <w:rFonts w:ascii="Times New Roman" w:hAnsi="方正仿宋_GBK" w:eastAsia="方正仿宋_GBK" w:cs="方正仿宋_GBK"/>
          <w:sz w:val="28"/>
          <w:szCs w:val="28"/>
        </w:rPr>
        <w:t>个工作日内作出决定；</w:t>
      </w:r>
      <w:r>
        <w:rPr>
          <w:rFonts w:ascii="Times New Roman" w:hAnsi="Times New Roman" w:eastAsia="方正仿宋_GBK" w:cs="方正仿宋_GBK"/>
          <w:sz w:val="28"/>
          <w:szCs w:val="28"/>
        </w:rPr>
        <w:t>20</w:t>
      </w:r>
      <w:r>
        <w:rPr>
          <w:rFonts w:ascii="Times New Roman" w:hAnsi="方正仿宋_GBK" w:eastAsia="方正仿宋_GBK" w:cs="方正仿宋_GBK"/>
          <w:sz w:val="28"/>
          <w:szCs w:val="28"/>
        </w:rPr>
        <w:t>个工作日内不能作出决定的，经本级外汇局局长或者主管副局长批准，可延长</w:t>
      </w:r>
      <w:r>
        <w:rPr>
          <w:rFonts w:ascii="Times New Roman" w:hAnsi="Times New Roman" w:eastAsia="方正仿宋_GBK" w:cs="方正仿宋_GBK"/>
          <w:sz w:val="28"/>
          <w:szCs w:val="28"/>
        </w:rPr>
        <w:t>10</w:t>
      </w:r>
      <w:r>
        <w:rPr>
          <w:rFonts w:ascii="Times New Roman" w:hAnsi="方正仿宋_GBK" w:eastAsia="方正仿宋_GBK" w:cs="方正仿宋_GBK"/>
          <w:sz w:val="28"/>
          <w:szCs w:val="28"/>
        </w:rPr>
        <w:t>个工作日，并向申请人出具延长行政许可办理期限通知书，说明延长期限的理由。行政许可办理期限只能延长一次。</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外汇局征求其他部门意见的时间计算在以上办理时限内；依法需要听证、检验、检测、鉴定、专家评审等的时间，不计算在上述办理时限内。</w:t>
      </w:r>
    </w:p>
    <w:p>
      <w:pPr>
        <w:spacing w:line="600" w:lineRule="exact"/>
        <w:ind w:firstLine="560" w:firstLineChars="200"/>
        <w:rPr>
          <w:rFonts w:ascii="Times New Roman" w:hAnsi="Times New Roman" w:eastAsia="仿宋GB2312"/>
          <w:sz w:val="32"/>
          <w:szCs w:val="32"/>
        </w:rPr>
      </w:pPr>
      <w:r>
        <w:rPr>
          <w:rFonts w:ascii="Times New Roman" w:hAnsi="方正仿宋_GBK" w:eastAsia="方正仿宋_GBK" w:cs="方正仿宋_GBK"/>
          <w:sz w:val="28"/>
          <w:szCs w:val="28"/>
        </w:rPr>
        <w:t>各级外汇局对行政许可办理时限具有对外承诺的，应按照其承诺的时限完成；对外承诺的时限应短于</w:t>
      </w:r>
      <w:r>
        <w:rPr>
          <w:rFonts w:ascii="Times New Roman" w:hAnsi="Times New Roman" w:eastAsia="方正仿宋_GBK" w:cs="方正仿宋_GBK"/>
          <w:sz w:val="28"/>
          <w:szCs w:val="28"/>
        </w:rPr>
        <w:t>20</w:t>
      </w:r>
      <w:r>
        <w:rPr>
          <w:rFonts w:ascii="Times New Roman" w:hAnsi="方正仿宋_GBK" w:eastAsia="方正仿宋_GBK" w:cs="方正仿宋_GBK"/>
          <w:sz w:val="28"/>
          <w:szCs w:val="28"/>
        </w:rPr>
        <w:t>个工作日。</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4.承诺审批时限：</w:t>
      </w:r>
      <w:r>
        <w:rPr>
          <w:rFonts w:ascii="Times New Roman" w:hAnsi="Times New Roman" w:eastAsia="方正仿宋_GBK" w:cs="方正仿宋_GBK"/>
          <w:sz w:val="28"/>
          <w:szCs w:val="28"/>
        </w:rPr>
        <w:t>20</w:t>
      </w:r>
      <w:r>
        <w:rPr>
          <w:rFonts w:ascii="Times New Roman" w:hAnsi="方正仿宋_GBK" w:eastAsia="方正仿宋_GBK" w:cs="方正仿宋_GBK"/>
          <w:sz w:val="28"/>
          <w:szCs w:val="28"/>
        </w:rPr>
        <w:t>个工作日</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九、收费</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1.办理行政许可是否收费：</w:t>
      </w:r>
      <w:r>
        <w:rPr>
          <w:rFonts w:hint="eastAsia" w:ascii="Times New Roman"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2.收费项目的名称、收费项目的标准、设定收费项目的依据、规定收费标准的依据</w:t>
      </w:r>
    </w:p>
    <w:p>
      <w:pPr>
        <w:spacing w:line="600" w:lineRule="exact"/>
        <w:ind w:firstLine="560" w:firstLineChars="200"/>
        <w:rPr>
          <w:rFonts w:ascii="Times New Roman" w:hAnsi="Times New Roman" w:eastAsia="方正仿宋_GBK" w:cs="方正仿宋_GBK"/>
          <w:b/>
          <w:bCs/>
          <w:color w:val="FF0000"/>
          <w:sz w:val="28"/>
          <w:szCs w:val="28"/>
        </w:rPr>
      </w:pPr>
      <w:r>
        <w:rPr>
          <w:rFonts w:hint="eastAsia" w:ascii="Times New Roman"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十、行政许可证件</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1.审批结果类型：</w:t>
      </w:r>
      <w:r>
        <w:rPr>
          <w:rFonts w:ascii="Times New Roman" w:hAnsi="方正仿宋_GBK" w:eastAsia="方正仿宋_GBK" w:cs="方正仿宋_GBK"/>
          <w:sz w:val="28"/>
          <w:szCs w:val="28"/>
        </w:rPr>
        <w:t>批文</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2.审批结果名称：</w:t>
      </w:r>
      <w:r>
        <w:rPr>
          <w:rFonts w:hint="eastAsia" w:ascii="Times New Roman" w:hAnsi="方正仿宋_GBK" w:eastAsia="方正仿宋_GBK" w:cs="方正仿宋_GBK"/>
          <w:sz w:val="28"/>
          <w:szCs w:val="28"/>
        </w:rPr>
        <w:t>《银行办理即期结售汇业务备案表》</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3.审批结果的有效期限：</w:t>
      </w:r>
      <w:r>
        <w:rPr>
          <w:rFonts w:hint="eastAsia" w:ascii="Times New Roman" w:hAnsi="方正仿宋_GBK" w:eastAsia="方正仿宋_GBK" w:cs="方正仿宋_GBK"/>
          <w:sz w:val="28"/>
          <w:szCs w:val="28"/>
        </w:rPr>
        <w:t>无期限</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4.规定审批结果有效期限的依据</w:t>
      </w:r>
    </w:p>
    <w:p>
      <w:pPr>
        <w:spacing w:line="600" w:lineRule="exact"/>
        <w:ind w:firstLine="560" w:firstLineChars="200"/>
        <w:rPr>
          <w:rFonts w:ascii="Times New Roman" w:hAnsi="Times New Roman" w:eastAsia="仿宋GB2312"/>
          <w:sz w:val="32"/>
          <w:szCs w:val="32"/>
        </w:rPr>
      </w:pP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5.是否需要办理审批结果变更手续：</w:t>
      </w:r>
      <w:r>
        <w:rPr>
          <w:rFonts w:ascii="Times New Roman"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6.办理审批结果变更手续的要求</w:t>
      </w:r>
    </w:p>
    <w:p>
      <w:pPr>
        <w:spacing w:line="600" w:lineRule="exact"/>
        <w:ind w:firstLine="560" w:firstLineChars="200"/>
        <w:rPr>
          <w:rFonts w:ascii="Times New Roman" w:hAnsi="Times New Roman" w:eastAsia="仿宋GB2312"/>
          <w:sz w:val="32"/>
          <w:szCs w:val="32"/>
        </w:rPr>
      </w:pP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7.是否需要办理审批结果延续手续：</w:t>
      </w:r>
      <w:r>
        <w:rPr>
          <w:rFonts w:hint="eastAsia" w:ascii="Times New Roman"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8.办理审批结果延续手续的要求</w:t>
      </w:r>
    </w:p>
    <w:p>
      <w:pPr>
        <w:spacing w:line="600" w:lineRule="exact"/>
        <w:ind w:firstLine="560" w:firstLineChars="200"/>
        <w:rPr>
          <w:rFonts w:ascii="Times New Roman" w:hAnsi="Times New Roman" w:eastAsia="仿宋GB2312"/>
          <w:sz w:val="32"/>
          <w:szCs w:val="32"/>
        </w:rPr>
      </w:pPr>
      <w:r>
        <w:rPr>
          <w:rFonts w:hint="eastAsia" w:ascii="Times New Roman"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9.审批结果的有效地域范围</w:t>
      </w:r>
    </w:p>
    <w:p>
      <w:pPr>
        <w:spacing w:line="540" w:lineRule="exact"/>
        <w:ind w:firstLine="560" w:firstLineChars="200"/>
        <w:outlineLvl w:val="2"/>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全国</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10.规定审批结果有效地域范围的依据</w:t>
      </w:r>
    </w:p>
    <w:p>
      <w:pPr>
        <w:spacing w:line="600" w:lineRule="exact"/>
        <w:ind w:firstLine="560" w:firstLineChars="200"/>
        <w:rPr>
          <w:rFonts w:ascii="Times New Roman" w:hAnsi="Times New Roman" w:eastAsia="仿宋GB2312"/>
          <w:sz w:val="28"/>
          <w:szCs w:val="28"/>
        </w:rPr>
      </w:pPr>
      <w:r>
        <w:rPr>
          <w:rFonts w:hint="eastAsia" w:ascii="Times New Roman"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十一、行政许可数量限制</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1.有无行政许可数量限制：</w:t>
      </w:r>
      <w:r>
        <w:rPr>
          <w:rFonts w:hint="eastAsia" w:ascii="Times New Roman"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2.公布数量限制的方式：</w:t>
      </w:r>
      <w:r>
        <w:rPr>
          <w:rFonts w:hint="eastAsia" w:ascii="Times New Roman"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3.公布数量限制的周期：</w:t>
      </w: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4.在数量限制条件下实施行政许可的方式：</w:t>
      </w:r>
      <w:r>
        <w:rPr>
          <w:rFonts w:hint="eastAsia" w:ascii="Times New Roman" w:hAnsi="方正仿宋_GBK" w:eastAsia="方正仿宋_GBK" w:cs="方正仿宋_GBK"/>
          <w:sz w:val="28"/>
          <w:szCs w:val="28"/>
        </w:rPr>
        <w:t>无</w:t>
      </w:r>
    </w:p>
    <w:p>
      <w:pPr>
        <w:spacing w:line="600" w:lineRule="exact"/>
        <w:ind w:firstLine="562" w:firstLineChars="200"/>
        <w:jc w:val="left"/>
        <w:rPr>
          <w:rFonts w:ascii="Times New Roman" w:hAnsi="Times New Roman" w:eastAsia="仿宋GB2312"/>
          <w:b/>
          <w:bCs/>
          <w:sz w:val="28"/>
          <w:szCs w:val="28"/>
        </w:rPr>
      </w:pPr>
      <w:r>
        <w:rPr>
          <w:rFonts w:hint="eastAsia" w:ascii="Times New Roman" w:hAnsi="Times New Roman" w:eastAsia="仿宋GB2312"/>
          <w:b/>
          <w:bCs/>
          <w:sz w:val="28"/>
          <w:szCs w:val="28"/>
        </w:rPr>
        <w:t>5.规定在数量限制条件下实施行政许可方式的依据</w:t>
      </w:r>
    </w:p>
    <w:p>
      <w:pPr>
        <w:spacing w:line="600" w:lineRule="exact"/>
        <w:ind w:firstLine="560" w:firstLineChars="200"/>
        <w:jc w:val="left"/>
        <w:rPr>
          <w:rFonts w:ascii="Times New Roman" w:hAnsi="Times New Roman" w:eastAsia="仿宋GB2312"/>
          <w:sz w:val="28"/>
          <w:szCs w:val="28"/>
        </w:rPr>
      </w:pPr>
      <w:r>
        <w:rPr>
          <w:rFonts w:hint="eastAsia" w:ascii="Times New Roman"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十二、行政许可后年检</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1.有无年检要求：</w:t>
      </w:r>
      <w:r>
        <w:rPr>
          <w:rFonts w:hint="eastAsia" w:ascii="Times New Roman"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2.设定年检要求的依据</w:t>
      </w:r>
    </w:p>
    <w:p>
      <w:pPr>
        <w:spacing w:line="540" w:lineRule="exact"/>
        <w:ind w:firstLine="560" w:firstLineChars="200"/>
        <w:outlineLvl w:val="2"/>
        <w:rPr>
          <w:rFonts w:ascii="Times New Roman" w:hAnsi="Times New Roman" w:eastAsia="仿宋GB2312"/>
          <w:sz w:val="28"/>
          <w:szCs w:val="28"/>
        </w:rPr>
      </w:pPr>
      <w:r>
        <w:rPr>
          <w:rFonts w:hint="eastAsia" w:ascii="Times New Roman"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3.年检周期：</w:t>
      </w: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4.年检是否要求报送材料：</w:t>
      </w: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5.年检报送材料名称：</w:t>
      </w: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6.年检是否收费：</w:t>
      </w: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7.年检收费项目的名称、年检收费项目的标准、设定年检收费项目的依据、规定年检项目收费标准的依据</w:t>
      </w:r>
    </w:p>
    <w:p>
      <w:pPr>
        <w:spacing w:line="600" w:lineRule="exact"/>
        <w:ind w:firstLine="560" w:firstLineChars="200"/>
        <w:rPr>
          <w:rFonts w:ascii="Times New Roman" w:hAnsi="Times New Roman" w:eastAsia="仿宋GB2312"/>
          <w:sz w:val="28"/>
          <w:szCs w:val="28"/>
        </w:rPr>
      </w:pPr>
      <w:r>
        <w:rPr>
          <w:rFonts w:hint="eastAsia" w:ascii="Times New Roman"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8.通过年检的证明或者标志：</w:t>
      </w:r>
      <w:r>
        <w:rPr>
          <w:rFonts w:hint="eastAsia" w:ascii="Times New Roman"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十三、行政许可后年报</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有无年报要求</w:t>
      </w:r>
      <w:r>
        <w:rPr>
          <w:rFonts w:hint="eastAsia" w:ascii="Times New Roman" w:hAnsi="Times New Roman" w:eastAsia="仿宋GB2312"/>
          <w:b/>
          <w:bCs/>
          <w:sz w:val="28"/>
          <w:szCs w:val="28"/>
        </w:rPr>
        <w:t>：</w:t>
      </w: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年报报送材料名称</w:t>
      </w:r>
      <w:r>
        <w:rPr>
          <w:rFonts w:hint="eastAsia" w:ascii="Times New Roman" w:hAnsi="Times New Roman" w:eastAsia="仿宋GB2312"/>
          <w:b/>
          <w:bCs/>
          <w:sz w:val="28"/>
          <w:szCs w:val="28"/>
        </w:rPr>
        <w:t>：</w:t>
      </w:r>
      <w:r>
        <w:rPr>
          <w:rFonts w:hint="eastAsia" w:ascii="Times New Roman"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设定年报要求的依据</w:t>
      </w:r>
    </w:p>
    <w:p>
      <w:pPr>
        <w:spacing w:line="540" w:lineRule="exact"/>
        <w:ind w:firstLine="560" w:firstLineChars="200"/>
        <w:outlineLvl w:val="2"/>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年报周期</w:t>
      </w:r>
      <w:r>
        <w:rPr>
          <w:rFonts w:hint="eastAsia" w:ascii="Times New Roman" w:hAnsi="Times New Roman" w:eastAsia="仿宋GB2312"/>
          <w:b/>
          <w:bCs/>
          <w:sz w:val="28"/>
          <w:szCs w:val="28"/>
        </w:rPr>
        <w:t>：</w:t>
      </w:r>
      <w:r>
        <w:rPr>
          <w:rFonts w:hint="eastAsia" w:ascii="Times New Roman"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十四、监管主体</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国家外汇局及其分局</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十五、备注</w:t>
      </w:r>
    </w:p>
    <w:p>
      <w:pPr>
        <w:spacing w:line="600" w:lineRule="exact"/>
        <w:ind w:firstLine="560" w:firstLineChars="200"/>
        <w:rPr>
          <w:rFonts w:ascii="Times New Roman" w:hAnsi="Times New Roman" w:eastAsia="方正仿宋_GBK" w:cs="方正仿宋_GBK"/>
          <w:sz w:val="28"/>
          <w:szCs w:val="28"/>
        </w:rPr>
      </w:pPr>
    </w:p>
    <w:p>
      <w:pPr>
        <w:rPr>
          <w:rFonts w:ascii="Times New Roman" w:hAnsi="Times New Roman"/>
        </w:rPr>
      </w:pPr>
    </w:p>
    <w:sectPr>
      <w:foot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_GBK">
    <w:altName w:val="Arial Unicode MS"/>
    <w:panose1 w:val="02000000000000000000"/>
    <w:charset w:val="86"/>
    <w:family w:val="auto"/>
    <w:pitch w:val="default"/>
    <w:sig w:usb0="A00002BF" w:usb1="38CF7CFA" w:usb2="00082016" w:usb3="00000000" w:csb0="00040001" w:csb1="00000000"/>
  </w:font>
  <w:font w:name="仿宋GB2312">
    <w:altName w:val="仿宋"/>
    <w:panose1 w:val="00000000000000000000"/>
    <w:charset w:val="86"/>
    <w:family w:val="auto"/>
    <w:pitch w:val="default"/>
    <w:sig w:usb0="00000000" w:usb1="00000000" w:usb2="00000000" w:usb3="00000000" w:csb0="00040001" w:csb1="00000000"/>
  </w:font>
  <w:font w:name="方正仿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18"/>
        <w:lang w:val="en-US" w:eastAsia="zh-CN" w:bidi="ar-SA"/>
      </w:rPr>
      <w:pict>
        <v:shape id="_x0000_s3073"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link w:val="6"/>
    <w:semiHidden/>
    <w:unhideWhenUsed/>
    <w:qFormat/>
    <w:uiPriority w:val="99"/>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5"/>
    <w:semiHidden/>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customStyle="1" w:styleId="5">
    <w:name w:val="页眉 Char Char"/>
    <w:basedOn w:val="4"/>
    <w:link w:val="3"/>
    <w:uiPriority w:val="99"/>
    <w:rPr>
      <w:sz w:val="18"/>
      <w:szCs w:val="18"/>
    </w:rPr>
  </w:style>
  <w:style w:type="character" w:customStyle="1" w:styleId="6">
    <w:name w:val="页脚 Char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528</Words>
  <Characters>3014</Characters>
  <Lines>25</Lines>
  <Paragraphs>7</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2023-09-28T05:26:00Z</dcterms:created>
  <dc:creator>kylin</dc:creator>
  <cp:lastModifiedBy>韩美琪/收支处/长春/PBC</cp:lastModifiedBy>
  <cp:lastPrinted>2024-03-26T06:52:00Z</cp:lastPrinted>
  <dcterms:modified xsi:type="dcterms:W3CDTF">2024-03-29T05:53:54Z</dcterms:modified>
  <dc:title>地（市）分局办理的银行支行（含农村信用社）及下辖机构即期结售汇业务市场准入审批</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810B1123F17C45109D468EBB5B129912_12</vt:lpwstr>
  </property>
</Properties>
</file>