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_GBK" w:cs="方正小标宋_GBK"/>
          <w:sz w:val="40"/>
          <w:szCs w:val="40"/>
        </w:rPr>
      </w:pPr>
      <w:bookmarkStart w:id="0" w:name="_GoBack"/>
      <w:bookmarkEnd w:id="0"/>
      <w:r>
        <w:rPr>
          <w:rFonts w:hint="eastAsia" w:ascii="Times New Roman" w:hAnsi="方正小标宋_GBK" w:eastAsia="方正小标宋_GBK" w:cs="方正小标宋_GBK"/>
          <w:sz w:val="40"/>
          <w:szCs w:val="40"/>
        </w:rPr>
        <w:t>省级分局和计划单列市分局办理的银行支行（含农村信用社）及下辖机构即期结售汇业务市场准入审批</w:t>
      </w:r>
    </w:p>
    <w:p>
      <w:pPr>
        <w:jc w:val="center"/>
        <w:rPr>
          <w:rFonts w:ascii="Times New Roman" w:hAnsi="Times New Roman" w:eastAsia="方正小标宋_GBK" w:cs="方正小标宋_GBK"/>
          <w:sz w:val="40"/>
          <w:szCs w:val="40"/>
        </w:rPr>
      </w:pPr>
      <w:r>
        <w:rPr>
          <w:rFonts w:hint="eastAsia" w:ascii="Times New Roman" w:hAnsi="方正小标宋_GBK" w:eastAsia="方正小标宋_GBK" w:cs="方正小标宋_GBK"/>
          <w:sz w:val="40"/>
          <w:szCs w:val="40"/>
        </w:rPr>
        <w:t>【</w:t>
      </w:r>
      <w:r>
        <w:rPr>
          <w:rFonts w:hint="eastAsia" w:ascii="Times New Roman" w:hAnsi="Times New Roman" w:eastAsia="方正小标宋_GBK" w:cs="方正小标宋_GBK"/>
          <w:sz w:val="40"/>
          <w:szCs w:val="40"/>
        </w:rPr>
        <w:t>000171112007</w:t>
      </w:r>
      <w:r>
        <w:rPr>
          <w:rFonts w:hint="eastAsia" w:ascii="Times New Roman" w:hAnsi="方正小标宋_GBK" w:eastAsia="方正小标宋_GBK" w:cs="方正小标宋_GBK"/>
          <w:sz w:val="40"/>
          <w:szCs w:val="40"/>
        </w:rPr>
        <w:t>】</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经营或者终止结售汇业务审批【</w:t>
      </w:r>
      <w:r>
        <w:rPr>
          <w:rFonts w:hint="eastAsia" w:ascii="Times New Roman" w:hAnsi="Times New Roman" w:eastAsia="方正仿宋_GBK" w:cs="方正仿宋_GBK"/>
          <w:sz w:val="28"/>
          <w:szCs w:val="28"/>
        </w:rPr>
        <w:t>00017111200Y</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省级分局和计划单列市分局办理的银行支行（含农村信用社）及下辖机构即期结售汇业务市场准入审批【</w:t>
      </w:r>
      <w:r>
        <w:rPr>
          <w:rFonts w:hint="eastAsia" w:ascii="Times New Roman" w:hAnsi="Times New Roman" w:eastAsia="方正仿宋_GBK" w:cs="方正仿宋_GBK"/>
          <w:sz w:val="28"/>
          <w:szCs w:val="28"/>
        </w:rPr>
        <w:t>000171112007</w:t>
      </w:r>
      <w:r>
        <w:rPr>
          <w:rFonts w:hint="eastAsia" w:ascii="Times New Roman" w:hAnsi="方正仿宋_GBK" w:eastAsia="方正仿宋_GBK" w:cs="方正仿宋_GBK"/>
          <w:sz w:val="28"/>
          <w:szCs w:val="28"/>
        </w:rPr>
        <w:t>】</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省级分局和计划单列市分局办理的银行支行（含农村信用社）及下辖机构即期结售汇业务市场准入审批</w:t>
      </w:r>
      <w:r>
        <w:rPr>
          <w:rFonts w:hint="eastAsia" w:ascii="Times New Roman" w:hAnsi="Times New Roman" w:eastAsia="方正仿宋_GBK" w:cs="方正仿宋_GBK"/>
          <w:sz w:val="28"/>
          <w:szCs w:val="28"/>
        </w:rPr>
        <w:t>(00017111200701)</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）《中华人民共和国外汇管理条例》第二十四条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）《银行办理结售汇业务管理办法》（中国人民银行令</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年</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号）第三条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号文印发）第十二条</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4</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省级</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银行（含农村信用社）即期结售汇业务市场准入</w:t>
      </w:r>
    </w:p>
    <w:p>
      <w:pPr>
        <w:spacing w:line="600" w:lineRule="exact"/>
        <w:ind w:firstLine="562" w:firstLineChars="200"/>
        <w:jc w:val="left"/>
        <w:rPr>
          <w:rFonts w:ascii="Times New Roman" w:hAnsi="Times New Roman" w:eastAsia="方正仿宋_GBK" w:cs="方正仿宋_GBK"/>
          <w:sz w:val="28"/>
          <w:szCs w:val="28"/>
        </w:rPr>
      </w:pPr>
      <w:r>
        <w:rPr>
          <w:rFonts w:hint="eastAsia" w:ascii="Times New Roman" w:hAnsi="Times New Roman" w:eastAsia="仿宋GB2312"/>
          <w:b/>
          <w:bCs/>
          <w:sz w:val="28"/>
          <w:szCs w:val="28"/>
        </w:rPr>
        <w:t>15.要素统一情况：</w:t>
      </w:r>
      <w:r>
        <w:rPr>
          <w:rFonts w:hint="eastAsia" w:ascii="Times New Roman"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银行总行及申请机构的上级分支行应具备完善的结售汇业务管理制度，即执行外汇管理规定情况考核等级最近一次为</w:t>
      </w:r>
      <w:r>
        <w:rPr>
          <w:rFonts w:ascii="Times New Roman" w:hAnsi="Times New Roman" w:eastAsia="方正仿宋_GBK" w:cs="方正仿宋_GBK"/>
          <w:sz w:val="28"/>
          <w:szCs w:val="28"/>
        </w:rPr>
        <w:t>B</w:t>
      </w:r>
      <w:r>
        <w:rPr>
          <w:rFonts w:ascii="Times New Roman" w:hAnsi="方正仿宋_GBK" w:eastAsia="方正仿宋_GBK" w:cs="方正仿宋_GBK"/>
          <w:sz w:val="28"/>
          <w:szCs w:val="28"/>
        </w:rPr>
        <w:t>级以上。</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）《银行办理结售汇业务管理办法实施细则》（汇发〔</w:t>
      </w:r>
      <w:r>
        <w:rPr>
          <w:rFonts w:ascii="Times New Roman" w:hAnsi="Times New Roman" w:eastAsia="方正仿宋_GBK" w:cs="方正仿宋_GBK"/>
          <w:sz w:val="28"/>
          <w:szCs w:val="28"/>
        </w:rPr>
        <w:t>2014</w:t>
      </w: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53</w:t>
      </w:r>
      <w:r>
        <w:rPr>
          <w:rFonts w:ascii="Times New Roman" w:hAnsi="方正仿宋_GBK" w:eastAsia="方正仿宋_GBK" w:cs="方正仿宋_GBK"/>
          <w:sz w:val="28"/>
          <w:szCs w:val="28"/>
        </w:rPr>
        <w:t>号文印发）第十二条银行分支机构申请办理即期结售汇业务，按照下列规定执行：</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（一）银行总行及申请机构的上级分支行应具备完善的结售汇业务管理制度，即执行外汇管理规定情况考核等级最近一次为</w:t>
      </w:r>
      <w:r>
        <w:rPr>
          <w:rFonts w:ascii="Times New Roman" w:hAnsi="Times New Roman" w:eastAsia="方正仿宋_GBK" w:cs="方正仿宋_GBK"/>
          <w:sz w:val="28"/>
          <w:szCs w:val="28"/>
        </w:rPr>
        <w:t>B</w:t>
      </w:r>
      <w:r>
        <w:rPr>
          <w:rFonts w:ascii="Times New Roman" w:hAnsi="方正仿宋_GBK" w:eastAsia="方正仿宋_GBK" w:cs="方正仿宋_GBK"/>
          <w:sz w:val="28"/>
          <w:szCs w:val="28"/>
        </w:rPr>
        <w:t>级以上。</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Times New Roman"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Times New Roman"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Times New Roman" w:hAnsi="方正仿宋_GBK" w:eastAsia="方正仿宋_GBK" w:cs="方正仿宋_GBK"/>
          <w:sz w:val="28"/>
          <w:szCs w:val="28"/>
        </w:rPr>
        <w:t>银行、农村信用社、兑换机构及非金融机构等结汇、售汇业务市场准入、退出审批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Times New Roman" w:hAnsi="方正仿宋_GBK" w:eastAsia="方正仿宋_GBK" w:cs="方正仿宋_GBK"/>
          <w:sz w:val="28"/>
          <w:szCs w:val="28"/>
        </w:rPr>
        <w:t>优化审批服务</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实现预审、审批进度和结果网上查询，推动实现全程网上办理。</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Times New Roman" w:hAnsi="Times New Roman" w:eastAsia="方正仿宋_GBK" w:cs="方正仿宋_GBK"/>
          <w:sz w:val="28"/>
          <w:szCs w:val="28"/>
        </w:rPr>
      </w:pP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开展</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双随机、一公开</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监管，依法查处违规行为，适时公开相关案例。</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依法及时处理投诉举报。</w:t>
      </w:r>
      <w:r>
        <w:rPr>
          <w:rFonts w:ascii="Times New Roman" w:hAnsi="Times New Roman" w:eastAsia="方正仿宋_GBK" w:cs="方正仿宋_GBK"/>
          <w:sz w:val="28"/>
          <w:szCs w:val="28"/>
        </w:rPr>
        <w:t>3.</w:t>
      </w:r>
      <w:r>
        <w:rPr>
          <w:rFonts w:ascii="Times New Roman"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《银行办理即期结售汇业务备案表》</w:t>
      </w: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份。</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《金融许可证》复印件</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份（加盖银行公章）。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）《银行办理结售汇业务管理办法实施细则》（汇发〔</w:t>
      </w:r>
      <w:r>
        <w:rPr>
          <w:rFonts w:hint="eastAsia" w:ascii="Times New Roman" w:hAnsi="Times New Roman" w:eastAsia="方正仿宋_GBK" w:cs="方正仿宋_GBK"/>
          <w:sz w:val="28"/>
          <w:szCs w:val="28"/>
        </w:rPr>
        <w:t>2014</w:t>
      </w:r>
      <w:r>
        <w:rPr>
          <w:rFonts w:hint="eastAsia" w:ascii="Times New Roman" w:hAnsi="方正仿宋_GBK" w:eastAsia="方正仿宋_GBK" w:cs="方正仿宋_GBK"/>
          <w:sz w:val="28"/>
          <w:szCs w:val="28"/>
        </w:rPr>
        <w:t>〕</w:t>
      </w:r>
      <w:r>
        <w:rPr>
          <w:rFonts w:hint="eastAsia" w:ascii="Times New Roman" w:hAnsi="Times New Roman" w:eastAsia="方正仿宋_GBK" w:cs="方正仿宋_GBK"/>
          <w:sz w:val="28"/>
          <w:szCs w:val="28"/>
        </w:rPr>
        <w:t>53</w:t>
      </w:r>
      <w:r>
        <w:rPr>
          <w:rFonts w:hint="eastAsia" w:ascii="Times New Roman" w:hAnsi="方正仿宋_GBK" w:eastAsia="方正仿宋_GBK" w:cs="方正仿宋_GBK"/>
          <w:sz w:val="28"/>
          <w:szCs w:val="28"/>
        </w:rPr>
        <w:t>号文印发）第十二条第二款银行分支机构应持下列材料履行事前备案手续：</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银行分行办理即期结售汇业务，持《银行办理即期结售汇业务备案表》（见附</w:t>
      </w:r>
      <w:r>
        <w:rPr>
          <w:rFonts w:hint="eastAsia" w:ascii="Times New Roman" w:hAnsi="Times New Roman" w:eastAsia="方正仿宋_GBK" w:cs="方正仿宋_GBK"/>
          <w:sz w:val="28"/>
          <w:szCs w:val="28"/>
        </w:rPr>
        <w:t>1</w:t>
      </w:r>
      <w:r>
        <w:rPr>
          <w:rFonts w:hint="eastAsia" w:ascii="Times New Roman" w:hAnsi="方正仿宋_GBK" w:eastAsia="方正仿宋_GBK" w:cs="方正仿宋_GBK"/>
          <w:sz w:val="28"/>
          <w:szCs w:val="28"/>
        </w:rPr>
        <w:t>）一式两份，总行及上级分行执行外汇管理规定情况考核等级证明材料，并按照第九条（一）、（二）、（四）、（五）提供材料，向所在地外汇局分支局备案。</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r>
        <w:rPr>
          <w:rFonts w:hint="eastAsia" w:ascii="Times New Roman" w:hAnsi="方正仿宋_GBK" w:eastAsia="方正仿宋_GBK" w:cs="方正仿宋_GBK"/>
          <w:sz w:val="28"/>
          <w:szCs w:val="28"/>
        </w:rPr>
        <w:t>银行支行及下辖机构办理即期结售汇业务，持《银行办理即期结售汇业务备案表》一式两份，金融许可证复印件、总行及上级分支行执行外汇管理规定情况考核等级证明材料，向所在地外汇局分支局备案。其中，下辖机构可以由支行集中办理备案手续，但只能在下辖机构所在地外汇局分支局办理。</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审批机构受理</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审批机构审查；</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决定作出许可决定书</w:t>
      </w:r>
      <w:r>
        <w:rPr>
          <w:rFonts w:ascii="Times New Roman" w:hAnsi="Times New Roman" w:eastAsia="方正仿宋_GBK" w:cs="方正仿宋_GBK"/>
          <w:sz w:val="28"/>
          <w:szCs w:val="28"/>
        </w:rPr>
        <w:t>/</w:t>
      </w:r>
      <w:r>
        <w:rPr>
          <w:rFonts w:ascii="Times New Roman" w:hAnsi="方正仿宋_GBK" w:eastAsia="方正仿宋_GBK" w:cs="方正仿宋_GBK"/>
          <w:sz w:val="28"/>
          <w:szCs w:val="28"/>
        </w:rPr>
        <w:t>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号）第十条外汇局收到行政许可申请后，应区分下列情况分别作出处理：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（三）申请事项属于本局职责范围，但申请材料不齐全或不符合法定形式的，应当场或在收到申请材料之日起</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申请人拒不补正，或者自补正告知书送达之日起</w:t>
      </w:r>
      <w:r>
        <w:rPr>
          <w:rFonts w:ascii="Times New Roman" w:hAnsi="Times New Roman" w:eastAsia="方正仿宋_GBK" w:cs="方正仿宋_GBK"/>
          <w:sz w:val="28"/>
          <w:szCs w:val="28"/>
        </w:rPr>
        <w:t>30</w:t>
      </w:r>
      <w:r>
        <w:rPr>
          <w:rFonts w:ascii="Times New Roman" w:hAnsi="方正仿宋_GBK" w:eastAsia="方正仿宋_GBK" w:cs="方正仿宋_GBK"/>
          <w:sz w:val="28"/>
          <w:szCs w:val="28"/>
        </w:rPr>
        <w:t>日内未能提交全部且符合法定形式的补正材料的，应不予受理，出具不予受理行政许可通知书；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2</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号）第十四条外汇局对行政许可申请审查后，应区分下列情况分别作出处理：</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Times New Roman"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Times New Roman"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Times New Roman" w:hAnsi="Times New Roman" w:eastAsia="方正仿宋_GBK" w:cs="方正仿宋_GBK"/>
          <w:sz w:val="28"/>
          <w:szCs w:val="28"/>
        </w:rPr>
        <w:t>5</w:t>
      </w:r>
      <w:r>
        <w:rPr>
          <w:rFonts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Times New Roman" w:hAnsi="Times New Roman" w:eastAsia="方正仿宋_GBK" w:cs="方正仿宋_GBK"/>
          <w:sz w:val="28"/>
          <w:szCs w:val="28"/>
        </w:rPr>
        <w:t>20</w:t>
      </w:r>
      <w:r>
        <w:rPr>
          <w:rFonts w:hint="eastAsia" w:ascii="Times New Roman" w:hAnsi="方正仿宋_GBK" w:eastAsia="方正仿宋_GBK" w:cs="方正仿宋_GBK"/>
          <w:sz w:val="28"/>
          <w:szCs w:val="28"/>
        </w:rPr>
        <w:t>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）《国家外汇管理局行政许可实施办法》（国家外汇管理局公告</w:t>
      </w:r>
      <w:r>
        <w:rPr>
          <w:rFonts w:ascii="Times New Roman" w:hAnsi="Times New Roman" w:eastAsia="方正仿宋_GBK" w:cs="方正仿宋_GBK"/>
          <w:sz w:val="28"/>
          <w:szCs w:val="28"/>
        </w:rPr>
        <w:t>2021</w:t>
      </w:r>
      <w:r>
        <w:rPr>
          <w:rFonts w:ascii="Times New Roman" w:hAnsi="方正仿宋_GBK" w:eastAsia="方正仿宋_GBK" w:cs="方正仿宋_GBK"/>
          <w:sz w:val="28"/>
          <w:szCs w:val="28"/>
        </w:rPr>
        <w:t>年第</w:t>
      </w:r>
      <w:r>
        <w:rPr>
          <w:rFonts w:ascii="Times New Roman" w:hAnsi="Times New Roman" w:eastAsia="方正仿宋_GBK" w:cs="方正仿宋_GBK"/>
          <w:sz w:val="28"/>
          <w:szCs w:val="28"/>
        </w:rPr>
        <w:t>1</w:t>
      </w:r>
      <w:r>
        <w:rPr>
          <w:rFonts w:ascii="Times New Roman" w:hAnsi="方正仿宋_GBK" w:eastAsia="方正仿宋_GBK" w:cs="方正仿宋_GBK"/>
          <w:sz w:val="28"/>
          <w:szCs w:val="28"/>
        </w:rPr>
        <w:t>号）第十五条外汇局应根据以下要求确保行政许可依法按时完成：</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（二）不能当场作出决定的，应自受理之日起</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个工作日内作出决定；</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个工作日内不能作出决定的，经本级外汇局局长或者主管副局长批准，可延长</w:t>
      </w:r>
      <w:r>
        <w:rPr>
          <w:rFonts w:ascii="Times New Roman" w:hAnsi="Times New Roman" w:eastAsia="方正仿宋_GBK" w:cs="方正仿宋_GBK"/>
          <w:sz w:val="28"/>
          <w:szCs w:val="28"/>
        </w:rPr>
        <w:t>10</w:t>
      </w:r>
      <w:r>
        <w:rPr>
          <w:rFonts w:ascii="Times New Roman" w:hAnsi="方正仿宋_GBK" w:eastAsia="方正仿宋_GBK" w:cs="方正仿宋_GBK"/>
          <w:sz w:val="28"/>
          <w:szCs w:val="28"/>
        </w:rPr>
        <w:t>个工作日，并向申请人出具延长行政许可办理期限通知书，说明延长期限的理由。行政许可办理期限只能延长一次。</w:t>
      </w:r>
    </w:p>
    <w:p>
      <w:pPr>
        <w:spacing w:line="600" w:lineRule="exact"/>
        <w:ind w:firstLine="560" w:firstLineChars="200"/>
        <w:rPr>
          <w:rFonts w:ascii="Times New Roman" w:hAnsi="Times New Roman" w:eastAsia="方正仿宋_GBK" w:cs="方正仿宋_GBK"/>
          <w:sz w:val="28"/>
          <w:szCs w:val="28"/>
        </w:rPr>
      </w:pPr>
      <w:r>
        <w:rPr>
          <w:rFonts w:ascii="Times New Roman"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Times New Roman" w:hAnsi="方正仿宋_GBK" w:eastAsia="方正仿宋_GBK" w:cs="方正仿宋_GBK"/>
          <w:sz w:val="28"/>
          <w:szCs w:val="28"/>
        </w:rPr>
        <w:t>各级外汇局对行政许可办理时限具有对外承诺的，应按照其承诺的时限完成；对外承诺的时限应短于</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Times New Roman" w:hAnsi="Times New Roman" w:eastAsia="方正仿宋_GBK" w:cs="方正仿宋_GBK"/>
          <w:sz w:val="28"/>
          <w:szCs w:val="28"/>
        </w:rPr>
        <w:t>20</w:t>
      </w:r>
      <w:r>
        <w:rPr>
          <w:rFonts w:ascii="Times New Roman" w:hAnsi="方正仿宋_GBK" w:eastAsia="方正仿宋_GBK" w:cs="方正仿宋_GBK"/>
          <w:sz w:val="28"/>
          <w:szCs w:val="28"/>
        </w:rPr>
        <w:t>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Times New Roman" w:hAnsi="Times New Roman" w:eastAsia="方正仿宋_GBK" w:cs="方正仿宋_GBK"/>
          <w:b/>
          <w:bCs/>
          <w:color w:val="FF0000"/>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Times New Roman"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Times New Roman" w:hAnsi="方正仿宋_GBK" w:eastAsia="方正仿宋_GBK" w:cs="方正仿宋_GBK"/>
          <w:sz w:val="28"/>
          <w:szCs w:val="28"/>
        </w:rPr>
        <w:t>《银行办理即期结售汇业务备案表》</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Times New Roman" w:hAnsi="方正仿宋_GBK" w:eastAsia="方正仿宋_GBK" w:cs="方正仿宋_GBK"/>
          <w:sz w:val="28"/>
          <w:szCs w:val="28"/>
        </w:rPr>
        <w:t>无期限</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Times New Roman"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ascii="Times New Roman" w:hAnsi="Times New Roman" w:eastAsia="仿宋GB2312"/>
          <w:sz w:val="32"/>
          <w:szCs w:val="32"/>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Times New Roman"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ascii="Times New Roman" w:hAnsi="Times New Roman" w:eastAsia="仿宋GB2312"/>
          <w:sz w:val="28"/>
          <w:szCs w:val="28"/>
        </w:rPr>
      </w:pP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Times New Roman"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Times New Roman" w:hAnsi="Times New Roman" w:eastAsia="方正仿宋_GBK" w:cs="方正仿宋_GBK"/>
          <w:sz w:val="28"/>
          <w:szCs w:val="28"/>
        </w:rPr>
      </w:pPr>
      <w:r>
        <w:rPr>
          <w:rFonts w:hint="eastAsia" w:ascii="Times New Roman" w:hAnsi="方正仿宋_GBK" w:eastAsia="方正仿宋_GBK" w:cs="方正仿宋_GBK"/>
          <w:sz w:val="28"/>
          <w:szCs w:val="28"/>
        </w:rPr>
        <w:t>国家外汇局及其分局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ascii="Times New Roman" w:hAnsi="Times New Roman" w:eastAsia="方正仿宋_GBK" w:cs="方正仿宋_GBK"/>
          <w:sz w:val="28"/>
          <w:szCs w:val="28"/>
        </w:rPr>
      </w:pPr>
    </w:p>
    <w:p>
      <w:pPr>
        <w:rPr>
          <w:rFonts w:ascii="Times New Roman" w:hAnsi="Times New Roman"/>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Arial Unicode MS"/>
    <w:panose1 w:val="02000000000000000000"/>
    <w:charset w:val="86"/>
    <w:family w:val="auto"/>
    <w:pitch w:val="default"/>
    <w:sig w:usb0="A00002BF" w:usb1="38CF7CFA" w:usb2="00082016" w:usb3="00000000" w:csb0="00040001"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_x0000_s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semiHidden/>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531</Words>
  <Characters>3032</Characters>
  <Lines>25</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2023-09-28T05:25:00Z</dcterms:created>
  <dc:creator>kylin</dc:creator>
  <cp:lastModifiedBy>韩美琪/收支处/长春/PBC</cp:lastModifiedBy>
  <cp:lastPrinted>2024-03-26T06:26:00Z</cp:lastPrinted>
  <dcterms:modified xsi:type="dcterms:W3CDTF">2024-03-29T05:51:54Z</dcterms:modified>
  <dc:title>省级分局和计划单列市分局办理的银行支行（含农村信用社）及下辖机构即期结售汇业务市场准入审批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5946EDE8251143EC8C392FA759E117E0_12</vt:lpwstr>
  </property>
</Properties>
</file>