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color w:val="000000"/>
          <w:sz w:val="48"/>
          <w:szCs w:val="48"/>
        </w:rPr>
      </w:pPr>
      <w:r>
        <w:rPr>
          <w:rFonts w:ascii="Times New Roman" w:hAnsi="Times New Roman" w:eastAsia="黑体" w:cs="Times New Roman"/>
          <w:color w:val="000000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color w:val="000000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52"/>
          <w:szCs w:val="52"/>
        </w:rPr>
      </w:pPr>
      <w:r>
        <w:rPr>
          <w:rFonts w:ascii="Times New Roman" w:hAnsi="Times New Roman" w:eastAsia="黑体" w:cs="Times New Roman"/>
          <w:color w:val="000000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52"/>
          <w:szCs w:val="52"/>
        </w:rPr>
      </w:pPr>
      <w:r>
        <w:rPr>
          <w:rFonts w:ascii="Times New Roman" w:hAnsi="Times New Roman" w:eastAsia="黑体" w:cs="Times New Roman"/>
          <w:color w:val="000000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000000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br/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（一）C类企业出口收汇登记申请材料清单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类企业的，应当按规定办理贸易外汇收入登记。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（二）超过收汇额度的B类企业出口收汇登记申请材料清单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（三）90天以上延期收款的B类企业出口收汇登记申请材料清单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（四）超期限或无法原路退汇的企业收汇登记申请材料清单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待核查账户的资本项目资金结汇或划出登记申请材料清单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外汇服务窗口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提交申请。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十八、咨询途径、监督和投诉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Style w:val="6"/>
          <w:rFonts w:ascii="Times New Roman" w:hAnsi="Times New Roman" w:eastAsia="仿宋_GB2312" w:cs="Times New Roman"/>
          <w:color w:val="000000"/>
          <w:sz w:val="30"/>
          <w:szCs w:val="30"/>
        </w:rPr>
        <w:t>www.safe.gov.cn</w:t>
      </w:r>
      <w:r>
        <w:rPr>
          <w:color w:val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吉林省分局及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国家外汇管理局吉林省分局官方互联网站“咨询反馈”栏目进行。网址为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"http://www.safe.gov.cn/jilin" </w:instrText>
      </w:r>
      <w:r>
        <w:rPr>
          <w:color w:val="000000"/>
        </w:rPr>
        <w:fldChar w:fldCharType="separate"/>
      </w:r>
      <w:r>
        <w:rPr>
          <w:rStyle w:val="6"/>
          <w:rFonts w:ascii="Times New Roman" w:hAnsi="Times New Roman" w:eastAsia="仿宋_GB2312" w:cs="Times New Roman"/>
          <w:color w:val="000000"/>
          <w:sz w:val="30"/>
          <w:szCs w:val="30"/>
        </w:rPr>
        <w:t>www.safe.gov.cn/jilin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公布的电话进行。</w:t>
      </w:r>
    </w:p>
    <w:p>
      <w:pPr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二十、办公地址和时间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该项行政许可具体由国家外汇管理局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吉林省分局及</w:t>
      </w:r>
      <w:bookmarkStart w:id="0" w:name="_GoBack"/>
      <w:bookmarkEnd w:id="0"/>
      <w:r>
        <w:rPr>
          <w:rFonts w:hint="eastAsia" w:eastAsia="仿宋_GB2312"/>
          <w:color w:val="000000"/>
          <w:sz w:val="30"/>
          <w:szCs w:val="30"/>
          <w:lang w:eastAsia="zh-CN"/>
        </w:rPr>
        <w:t>分支机构</w:t>
      </w:r>
      <w:r>
        <w:rPr>
          <w:rFonts w:eastAsia="仿宋_GB2312"/>
          <w:color w:val="000000"/>
          <w:sz w:val="30"/>
          <w:szCs w:val="30"/>
        </w:rPr>
        <w:t>办理，</w:t>
      </w:r>
      <w:r>
        <w:rPr>
          <w:rFonts w:hint="eastAsia" w:eastAsia="仿宋_GB2312"/>
          <w:color w:val="000000"/>
          <w:sz w:val="30"/>
          <w:szCs w:val="30"/>
        </w:rPr>
        <w:t>国家外汇管理局吉林省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分支机构</w:t>
      </w:r>
      <w:r>
        <w:rPr>
          <w:rFonts w:hint="eastAsia" w:eastAsia="仿宋_GB2312"/>
          <w:color w:val="000000"/>
          <w:sz w:val="30"/>
          <w:szCs w:val="30"/>
        </w:rPr>
        <w:t>的</w:t>
      </w:r>
      <w:r>
        <w:rPr>
          <w:rFonts w:eastAsia="仿宋_GB2312"/>
          <w:color w:val="000000"/>
          <w:sz w:val="30"/>
          <w:szCs w:val="30"/>
        </w:rPr>
        <w:t>办公地址和办公时间见</w:t>
      </w:r>
      <w:r>
        <w:rPr>
          <w:rFonts w:hint="eastAsia" w:eastAsia="仿宋_GB2312"/>
          <w:color w:val="000000"/>
          <w:sz w:val="30"/>
          <w:szCs w:val="30"/>
        </w:rPr>
        <w:t>国家外汇管理局吉林省分局官方互联网站“咨询反馈——联系我们”栏目。</w:t>
      </w:r>
    </w:p>
    <w:p>
      <w:pPr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45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4" o:spid="_x0000_s1028" type="#_x0000_t32" style="position:absolute;left:0;margin-left:39.75pt;margin-top:6.65pt;height:54.9pt;width:0.85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8" o:spid="_x0000_s1029" type="#_x0000_t32" style="position:absolute;left:0;flip:x;margin-left:41.45pt;margin-top:21.05pt;height:0.05pt;width:232.15pt;rotation:0f;z-index:25167155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rect id="_x0000_s1047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2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3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61" o:spid="_x0000_s1033" type="#_x0000_t32" style="position:absolute;left:0;margin-left:122.1pt;margin-top:318.35pt;height:52.85pt;width:0.05pt;rotation:0f;z-index:25167462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9" o:spid="_x0000_s1034" type="#_x0000_t32" style="position:absolute;left:0;margin-left:179.6pt;margin-top:233pt;height:30.55pt;width:0.05pt;rotation:0f;z-index:25167257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rect id="_x0000_s1050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6" o:spid="_x0000_s1036" type="#_x0000_t32" style="position:absolute;left:0;margin-left:81.7pt;margin-top:109.6pt;height:0.05pt;width:70.25pt;rotation:0f;z-index:25166950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5" o:spid="_x0000_s1037" type="#_x0000_t32" style="position:absolute;left:0;margin-left:88.45pt;margin-top:61.45pt;height:0.05pt;width:63.5pt;rotation:0f;z-index:25166848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46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60" o:spid="_x0000_s1039" type="#_x0000_t32" style="position:absolute;left:0;margin-left:247.8pt;margin-top:318.35pt;height:52.85pt;width:0.85pt;rotation:0f;z-index:25167360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1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62" o:spid="_x0000_s1041" type="#_x0000_t32" style="position:absolute;left:0;margin-left:40.6pt;margin-top:132.2pt;height:50.65pt;width:0.0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63" o:spid="_x0000_s1042" type="#_x0000_t32" style="position:absolute;left:0;margin-left:40.6pt;margin-top:182.85pt;height:0.05pt;width:41.1pt;rotation:0f;z-index:25167667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rect id="_x0000_s1049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_x0000_s1057" o:spid="_x0000_s1044" type="#_x0000_t32" style="position:absolute;left:0;flip:y;margin-left:345.35pt;margin-top:4.1pt;height:44.75pt;width:0.0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rect id="_x0000_s1048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745</Words>
  <Characters>4248</Characters>
  <Lines>35</Lines>
  <Paragraphs>9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韩美琪/收支处/长春/PBC</cp:lastModifiedBy>
  <cp:lastPrinted>2020-05-07T10:41:00Z</cp:lastPrinted>
  <dcterms:modified xsi:type="dcterms:W3CDTF">2023-09-01T06:35:25Z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