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bookmarkStart w:id="1" w:name="_GoBack"/>
      <w:r>
        <w:rPr>
          <w:rFonts w:ascii="Times New Roman" w:hAnsi="Times New Roman" w:eastAsia="黑体" w:cs="Times New Roman"/>
          <w:sz w:val="30"/>
          <w:szCs w:val="30"/>
        </w:rPr>
        <w:t>服务贸易外汇收入存放境外外汇账户审批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sz w:val="30"/>
          <w:szCs w:val="30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5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外汇局吉林省分局及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分支机构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进行咨询、监督和投诉等可通过国家外汇管理局吉林省分局官方互联网站“咨询反馈”栏目进行。网址为</w:t>
      </w:r>
      <w:r>
        <w:fldChar w:fldCharType="begin"/>
      </w:r>
      <w:r>
        <w:instrText xml:space="preserve">HYPERLINK "http://www.safe.gov.cn/jilin" </w:instrText>
      </w:r>
      <w:r>
        <w:fldChar w:fldCharType="separate"/>
      </w:r>
      <w:r>
        <w:rPr>
          <w:rStyle w:val="15"/>
          <w:rFonts w:hint="eastAsia"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，也可通过国家外汇管理局吉林省分局官方互联网站“咨询反馈——联系我们”栏目中公布的电话进行。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吉林省分局及分支机构</w:t>
      </w:r>
      <w:r>
        <w:rPr>
          <w:rFonts w:ascii="Times New Roman" w:hAnsi="Times New Roman" w:eastAsia="仿宋_GB2312" w:cs="Times New Roman"/>
          <w:sz w:val="30"/>
          <w:szCs w:val="30"/>
        </w:rPr>
        <w:t>办理，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国家外汇管理局吉林省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分局及分支机构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的办公地址和办公时间见国家外汇管理局吉林省分局官方互联网站“咨询反馈——联系我们”栏目。</w:t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333</Words>
  <Characters>1902</Characters>
  <Lines>15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韩美琪/收支处/长春/PBC</cp:lastModifiedBy>
  <cp:lastPrinted>2020-09-08T02:25:00Z</cp:lastPrinted>
  <dcterms:modified xsi:type="dcterms:W3CDTF">2023-09-01T08:42:33Z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